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F6D8C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1D610F" w14:textId="77777777" w:rsidR="002D5AAC" w:rsidRDefault="002D5AAC" w:rsidP="00460A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216F1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AF9BC0" w14:textId="5D4B414D" w:rsidR="002D5AAC" w:rsidRDefault="00460A98" w:rsidP="00460A98">
            <w:pPr>
              <w:jc w:val="right"/>
            </w:pPr>
            <w:r w:rsidRPr="00460A98">
              <w:rPr>
                <w:sz w:val="40"/>
              </w:rPr>
              <w:t>ECE</w:t>
            </w:r>
            <w:r>
              <w:t>/TRANS/WP.29/GRPE/2023/13</w:t>
            </w:r>
          </w:p>
        </w:tc>
      </w:tr>
      <w:tr w:rsidR="002D5AAC" w14:paraId="74E8050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E76E2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36C4E36" wp14:editId="3D012BB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7A154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7D8701" w14:textId="77777777" w:rsidR="002D5AAC" w:rsidRDefault="00460A9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52C5FC" w14:textId="77777777" w:rsidR="00460A98" w:rsidRDefault="00460A98" w:rsidP="00460A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October 2022</w:t>
            </w:r>
          </w:p>
          <w:p w14:paraId="49F81DA4" w14:textId="77777777" w:rsidR="00460A98" w:rsidRDefault="00460A98" w:rsidP="00460A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8E29D7" w14:textId="6AB9516D" w:rsidR="00460A98" w:rsidRPr="008D53B6" w:rsidRDefault="00460A98" w:rsidP="00460A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415DB5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C92455" w14:textId="77777777" w:rsidR="00460A98" w:rsidRPr="00460A98" w:rsidRDefault="00460A98" w:rsidP="00460A98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460A98">
        <w:rPr>
          <w:sz w:val="28"/>
          <w:szCs w:val="28"/>
        </w:rPr>
        <w:t xml:space="preserve">Комитет по внутреннему транспорту </w:t>
      </w:r>
    </w:p>
    <w:p w14:paraId="0083A81A" w14:textId="200DFAE9" w:rsidR="00460A98" w:rsidRPr="00BD658D" w:rsidRDefault="00460A98" w:rsidP="00460A98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BD658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D658D">
        <w:rPr>
          <w:b/>
          <w:bCs/>
          <w:sz w:val="24"/>
          <w:szCs w:val="24"/>
        </w:rPr>
        <w:br/>
      </w:r>
      <w:r w:rsidRPr="00BD658D">
        <w:rPr>
          <w:b/>
          <w:bCs/>
          <w:sz w:val="24"/>
          <w:szCs w:val="24"/>
        </w:rPr>
        <w:t>в области транспортных средств</w:t>
      </w:r>
      <w:r w:rsidRPr="00BD658D">
        <w:rPr>
          <w:sz w:val="24"/>
          <w:szCs w:val="24"/>
        </w:rPr>
        <w:t xml:space="preserve"> </w:t>
      </w:r>
    </w:p>
    <w:p w14:paraId="55D48B0A" w14:textId="535F918A" w:rsidR="00460A98" w:rsidRPr="006477EE" w:rsidRDefault="00460A98" w:rsidP="00460A98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55E6F52B" w14:textId="77777777" w:rsidR="00460A98" w:rsidRPr="00954CAD" w:rsidRDefault="00460A98" w:rsidP="00460A98">
      <w:pPr>
        <w:rPr>
          <w:rFonts w:eastAsia="MS Mincho"/>
          <w:b/>
        </w:rPr>
      </w:pPr>
      <w:bookmarkStart w:id="0" w:name="_Hlk116995826"/>
      <w:r>
        <w:rPr>
          <w:b/>
          <w:bCs/>
        </w:rPr>
        <w:t>Восемьдесят седьмая сессия</w:t>
      </w:r>
    </w:p>
    <w:p w14:paraId="18586590" w14:textId="77777777" w:rsidR="00460A98" w:rsidRPr="00954CAD" w:rsidRDefault="00460A98" w:rsidP="00460A98">
      <w:bookmarkStart w:id="1" w:name="_Hlk80714809"/>
      <w:r>
        <w:t>Женева, 10</w:t>
      </w:r>
      <w:r w:rsidRPr="00954CAD">
        <w:t>–</w:t>
      </w:r>
      <w:r>
        <w:t>13 января 2023 года</w:t>
      </w:r>
    </w:p>
    <w:p w14:paraId="123D1138" w14:textId="77777777" w:rsidR="00460A98" w:rsidRPr="006477EE" w:rsidRDefault="00460A98" w:rsidP="00460A98">
      <w:pPr>
        <w:rPr>
          <w:b/>
        </w:rPr>
      </w:pPr>
      <w:r>
        <w:t xml:space="preserve">Пункт 3 a) предварительной повестки дня </w:t>
      </w:r>
      <w:bookmarkEnd w:id="0"/>
      <w:bookmarkEnd w:id="1"/>
    </w:p>
    <w:p w14:paraId="4BCA44E5" w14:textId="5E10C6A9" w:rsidR="00460A98" w:rsidRPr="006477EE" w:rsidRDefault="00460A98" w:rsidP="00460A98">
      <w:pPr>
        <w:rPr>
          <w:b/>
          <w:bCs/>
        </w:rPr>
      </w:pPr>
      <w:r>
        <w:rPr>
          <w:b/>
          <w:bCs/>
        </w:rPr>
        <w:t xml:space="preserve">Транспортные средства малой грузоподъемности: </w:t>
      </w:r>
      <w:r>
        <w:rPr>
          <w:b/>
          <w:bCs/>
        </w:rPr>
        <w:br/>
      </w:r>
      <w:r>
        <w:rPr>
          <w:b/>
          <w:bCs/>
        </w:rPr>
        <w:t xml:space="preserve">правила ООН № 68 (измерение максимальной скорости, </w:t>
      </w:r>
      <w:r>
        <w:rPr>
          <w:b/>
          <w:bCs/>
        </w:rPr>
        <w:br/>
      </w:r>
      <w:r>
        <w:rPr>
          <w:b/>
          <w:bCs/>
        </w:rPr>
        <w:t xml:space="preserve">включая электромобили), № 83 (выбросы загрязняющих </w:t>
      </w:r>
      <w:r>
        <w:rPr>
          <w:b/>
          <w:bCs/>
        </w:rPr>
        <w:br/>
      </w:r>
      <w:r>
        <w:rPr>
          <w:b/>
          <w:bCs/>
        </w:rPr>
        <w:t>веществ транспортными средствами 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), </w:t>
      </w:r>
      <w:r>
        <w:rPr>
          <w:b/>
          <w:bCs/>
        </w:rPr>
        <w:br/>
      </w:r>
      <w:r>
        <w:rPr>
          <w:b/>
          <w:bCs/>
        </w:rPr>
        <w:t>№ 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/расход топлива), № 103 (сменные </w:t>
      </w:r>
      <w:r>
        <w:rPr>
          <w:b/>
          <w:bCs/>
        </w:rPr>
        <w:br/>
      </w:r>
      <w:r>
        <w:rPr>
          <w:b/>
          <w:bCs/>
        </w:rPr>
        <w:t>устройства</w:t>
      </w:r>
      <w:r w:rsidRPr="00460A98">
        <w:rPr>
          <w:b/>
          <w:bCs/>
        </w:rPr>
        <w:t xml:space="preserve"> </w:t>
      </w:r>
      <w:r>
        <w:rPr>
          <w:b/>
          <w:bCs/>
        </w:rPr>
        <w:t xml:space="preserve">для предотвращения загрязнения) </w:t>
      </w:r>
      <w:r>
        <w:rPr>
          <w:b/>
          <w:bCs/>
        </w:rPr>
        <w:br/>
      </w:r>
      <w:r>
        <w:rPr>
          <w:b/>
          <w:bCs/>
        </w:rPr>
        <w:t xml:space="preserve">и № 154 (всемирные согласованные процедуры испытания </w:t>
      </w:r>
      <w:r>
        <w:rPr>
          <w:b/>
          <w:bCs/>
        </w:rPr>
        <w:br/>
      </w:r>
      <w:r>
        <w:rPr>
          <w:b/>
          <w:bCs/>
        </w:rPr>
        <w:t>транспортных средств малой грузоподъемности (ВПИМ))</w:t>
      </w:r>
    </w:p>
    <w:p w14:paraId="29C1DDD5" w14:textId="03A25D34" w:rsidR="00460A98" w:rsidRPr="006477EE" w:rsidRDefault="00460A98" w:rsidP="00460A98">
      <w:pPr>
        <w:pStyle w:val="HChG"/>
      </w:pPr>
      <w:r>
        <w:tab/>
      </w:r>
      <w:r>
        <w:tab/>
      </w:r>
      <w:r>
        <w:t>Предложение по новому дополнению к поправкам</w:t>
      </w:r>
      <w:r>
        <w:br/>
        <w:t>серии 01 к Правилам № 101 ООН (выбросы СО</w:t>
      </w:r>
      <w:r>
        <w:rPr>
          <w:vertAlign w:val="subscript"/>
        </w:rPr>
        <w:t>2</w:t>
      </w:r>
      <w:r>
        <w:t>/</w:t>
      </w:r>
      <w:r>
        <w:br/>
      </w:r>
      <w:r>
        <w:t>расход топлива)</w:t>
      </w:r>
    </w:p>
    <w:p w14:paraId="0D6809A7" w14:textId="77777777" w:rsidR="00460A98" w:rsidRPr="006477EE" w:rsidRDefault="00460A98" w:rsidP="00460A98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460A98">
        <w:rPr>
          <w:rStyle w:val="H1GChar"/>
          <w:sz w:val="20"/>
        </w:rPr>
        <w:footnoteReference w:customMarkFollows="1" w:id="1"/>
        <w:t>*</w:t>
      </w:r>
    </w:p>
    <w:p w14:paraId="6B46F3E7" w14:textId="2B7BA906" w:rsidR="00460A98" w:rsidRPr="006477EE" w:rsidRDefault="00460A98" w:rsidP="00460A98">
      <w:pPr>
        <w:pStyle w:val="SingleTxtG"/>
      </w:pPr>
      <w:bookmarkStart w:id="2" w:name="_Hlk80714824"/>
      <w:r>
        <w:tab/>
      </w:r>
      <w:r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согласование требований к определению объема выбросов CO</w:t>
      </w:r>
      <w:r w:rsidRPr="00537F6B">
        <w:rPr>
          <w:vertAlign w:val="subscript"/>
        </w:rPr>
        <w:t>2</w:t>
      </w:r>
      <w:r>
        <w:t xml:space="preserve">, расхода топлива и потребления электроэнергии исходя из предписаний в отношении разрядки применительно к ГЭМ-ВЗУ, имеющему переключатель рабочих режимов, с учетом критерия его остановки. Также обеспечивается согласование требования в отношении предварительного кондиционирования между поправками серии 01 к Правилам № 101 ООН (приложение 9 — определение запаса хода на электротяге) и поправками серий 06 и 07 к Правилам № 83 ООН (приложение 14 — положения по методике испытания ГЭМ на выбросы). Изменения </w:t>
      </w:r>
      <w:r>
        <w:lastRenderedPageBreak/>
        <w:t>к нынешнему тексту Правил выделены жирным шрифтом в случае новых элементов или зачеркиванием в случае исключенных элементов.</w:t>
      </w:r>
    </w:p>
    <w:bookmarkEnd w:id="2"/>
    <w:p w14:paraId="1C07D384" w14:textId="06DE48F2" w:rsidR="00460A98" w:rsidRPr="006477EE" w:rsidRDefault="00460A98" w:rsidP="00460A98">
      <w:pPr>
        <w:pStyle w:val="SingleTxtG"/>
        <w:rPr>
          <w:bCs/>
        </w:rPr>
      </w:pPr>
      <w:r>
        <w:tab/>
      </w:r>
      <w:r>
        <w:t>МОПАП хотела бы продолжить обсуждение содержания предложения в январе 2023 года, так чтобы подойти к принятию документа, которое запланировано на восемьдесят восьмую сессию GRPE в июне 2023 года.</w:t>
      </w:r>
    </w:p>
    <w:p w14:paraId="734A2653" w14:textId="77777777" w:rsidR="00460A98" w:rsidRPr="006477EE" w:rsidRDefault="00460A98" w:rsidP="00460A98">
      <w:pPr>
        <w:pStyle w:val="HChG"/>
        <w:tabs>
          <w:tab w:val="clear" w:pos="851"/>
        </w:tabs>
        <w:ind w:hanging="567"/>
        <w:rPr>
          <w:b w:val="0"/>
          <w:bCs/>
          <w:lang w:eastAsia="en-GB"/>
        </w:rPr>
      </w:pPr>
      <w:r w:rsidRPr="006477EE">
        <w:br w:type="page"/>
      </w:r>
    </w:p>
    <w:p w14:paraId="7EAD20E8" w14:textId="77777777" w:rsidR="00460A98" w:rsidRPr="006477EE" w:rsidRDefault="00460A98" w:rsidP="00460A98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2D44DB4" w14:textId="77777777" w:rsidR="00460A98" w:rsidRPr="006477EE" w:rsidRDefault="00460A98" w:rsidP="00460A98">
      <w:pPr>
        <w:pStyle w:val="SingleTxtG"/>
        <w:rPr>
          <w:i/>
          <w:iCs/>
        </w:rPr>
      </w:pPr>
      <w:r>
        <w:rPr>
          <w:i/>
          <w:iCs/>
        </w:rPr>
        <w:t>Включить новый пункт 13.6</w:t>
      </w:r>
      <w:r>
        <w:t xml:space="preserve"> следующего содержания:</w:t>
      </w:r>
    </w:p>
    <w:p w14:paraId="35B5E21C" w14:textId="6A87D9C9" w:rsidR="00460A98" w:rsidRPr="006477EE" w:rsidRDefault="00460A98" w:rsidP="00460A98">
      <w:pPr>
        <w:pStyle w:val="SingleTxtG"/>
        <w:ind w:left="2259" w:hanging="1125"/>
        <w:rPr>
          <w:rFonts w:eastAsia="MS Mincho"/>
        </w:rPr>
      </w:pPr>
      <w:r w:rsidRPr="00460A98">
        <w:t>«</w:t>
      </w:r>
      <w:r>
        <w:rPr>
          <w:b/>
          <w:bCs/>
        </w:rPr>
        <w:t>13.6</w:t>
      </w:r>
      <w:r>
        <w:t xml:space="preserve"> </w:t>
      </w:r>
      <w:r>
        <w:tab/>
      </w:r>
      <w:r>
        <w:tab/>
      </w:r>
      <w:r>
        <w:rPr>
          <w:b/>
          <w:bCs/>
        </w:rPr>
        <w:t xml:space="preserve">До 1 сентября 2024 года Договаривающиеся стороны, применяющие настоящие Правила, могут продолжать предоставлять распространения официальных утверждений типа на основании поправок серии 01 к настоящим Правилам на основе </w:t>
      </w:r>
      <w:r>
        <w:rPr>
          <w:b/>
          <w:bCs/>
        </w:rPr>
        <w:br/>
      </w:r>
      <w:r>
        <w:rPr>
          <w:b/>
          <w:bCs/>
        </w:rPr>
        <w:t>процедур испытаний с разрядкой накопительного устройства электрической/механической</w:t>
      </w:r>
      <w:r w:rsidRPr="00D04DBD">
        <w:rPr>
          <w:b/>
          <w:bCs/>
        </w:rPr>
        <w:t xml:space="preserve"> </w:t>
      </w:r>
      <w:r>
        <w:rPr>
          <w:b/>
          <w:bCs/>
        </w:rPr>
        <w:t>энергии транспортного средства, описанных в пункте 4.2.2.1 приложения 8 к настоящим Правилам, без учета положений дополнения 12</w:t>
      </w:r>
      <w:r w:rsidRPr="00460A98">
        <w:t>».</w:t>
      </w:r>
    </w:p>
    <w:p w14:paraId="1DB01F58" w14:textId="77777777" w:rsidR="00460A98" w:rsidRPr="006477EE" w:rsidRDefault="00460A98" w:rsidP="00460A98">
      <w:pPr>
        <w:pStyle w:val="SingleTxtG"/>
        <w:rPr>
          <w:i/>
          <w:iCs/>
        </w:rPr>
      </w:pPr>
      <w:r>
        <w:rPr>
          <w:i/>
          <w:iCs/>
        </w:rPr>
        <w:t>Приложение 8, пункт 4.2.2.1</w:t>
      </w:r>
      <w:r>
        <w:t xml:space="preserve"> изменить следующим образом:</w:t>
      </w:r>
    </w:p>
    <w:p w14:paraId="08AF3E46" w14:textId="3697079F" w:rsidR="00460A98" w:rsidRPr="006477EE" w:rsidRDefault="00460A98" w:rsidP="00460A98">
      <w:pPr>
        <w:pStyle w:val="SingleTxtG"/>
        <w:ind w:left="2268" w:hanging="1134"/>
        <w:rPr>
          <w:rFonts w:eastAsia="MS Mincho"/>
        </w:rPr>
      </w:pPr>
      <w:r>
        <w:t>«</w:t>
      </w:r>
      <w:r>
        <w:t xml:space="preserve">4.2.2.1 </w:t>
      </w:r>
      <w:r>
        <w:tab/>
        <w:t xml:space="preserve">Разрядка накопительного устройства электрической/механической энергии производится при движении транспортного средства после установки переключателя в сугубо электрический режим </w:t>
      </w:r>
      <w:r>
        <w:br/>
      </w:r>
      <w:r>
        <w:t>(на испытательном треке, на динамометрическом стенде и т.</w:t>
      </w:r>
      <w:r>
        <w:t> </w:t>
      </w:r>
      <w:r>
        <w:t>д.) на постоянной скорости, составляющей 70</w:t>
      </w:r>
      <w:r>
        <w:t> </w:t>
      </w:r>
      <w:r>
        <w:t>% ± 5</w:t>
      </w:r>
      <w:r>
        <w:t> </w:t>
      </w:r>
      <w:r>
        <w:t xml:space="preserve">% от максимальной скорости движения транспортного средства </w:t>
      </w:r>
      <w:r>
        <w:rPr>
          <w:b/>
          <w:bCs/>
        </w:rPr>
        <w:t xml:space="preserve">в течение 30 минут </w:t>
      </w:r>
      <w:r>
        <w:t xml:space="preserve">в сугубо электрическом режиме, что определяется в соответствии с процедурой испытания электромобилей, указанной в Правилах № 68 ООН. </w:t>
      </w:r>
    </w:p>
    <w:p w14:paraId="45F4CBF6" w14:textId="77777777" w:rsidR="00460A98" w:rsidRPr="006477EE" w:rsidRDefault="00460A98" w:rsidP="00460A98">
      <w:pPr>
        <w:pStyle w:val="SingleTxtG"/>
        <w:ind w:left="2268"/>
        <w:rPr>
          <w:rFonts w:eastAsia="MS Mincho"/>
        </w:rPr>
      </w:pPr>
      <w:r>
        <w:t>Разрядка прекращается:</w:t>
      </w:r>
    </w:p>
    <w:p w14:paraId="5B416F9C" w14:textId="5B0C38E6" w:rsidR="00460A98" w:rsidRPr="006477EE" w:rsidRDefault="00460A98" w:rsidP="00460A98">
      <w:pPr>
        <w:pStyle w:val="SingleTxtG"/>
        <w:ind w:left="2835" w:hanging="567"/>
        <w:rPr>
          <w:rFonts w:eastAsia="MS Mincho"/>
        </w:rPr>
      </w:pPr>
      <w:r>
        <w:t>a)</w:t>
      </w:r>
      <w:r>
        <w:tab/>
        <w:t>когда транспортное средство не может двигаться в течение 30 минут со скоростью, равной 65</w:t>
      </w:r>
      <w:r>
        <w:t> </w:t>
      </w:r>
      <w:r>
        <w:t>% максимальной скорости движения; или</w:t>
      </w:r>
    </w:p>
    <w:p w14:paraId="7863AC4E" w14:textId="77777777" w:rsidR="00460A98" w:rsidRPr="006477EE" w:rsidRDefault="00460A98" w:rsidP="00460A98">
      <w:pPr>
        <w:pStyle w:val="SingleTxtG"/>
        <w:ind w:left="2835" w:hanging="567"/>
        <w:rPr>
          <w:rFonts w:eastAsia="MS Mincho"/>
        </w:rPr>
      </w:pPr>
      <w:r>
        <w:t>b)</w:t>
      </w:r>
      <w:r>
        <w:tab/>
        <w:t>когда в соответствии с показаниями штатных бортовых приборов водитель должен остановить транспортное средство; или</w:t>
      </w:r>
    </w:p>
    <w:p w14:paraId="22D6171C" w14:textId="77777777" w:rsidR="00460A98" w:rsidRPr="006477EE" w:rsidRDefault="00460A98" w:rsidP="00460A98">
      <w:pPr>
        <w:pStyle w:val="SingleTxtG"/>
        <w:ind w:left="2835" w:hanging="567"/>
        <w:rPr>
          <w:rFonts w:eastAsia="MS Mincho"/>
        </w:rPr>
      </w:pPr>
      <w:r>
        <w:t>c)</w:t>
      </w:r>
      <w:r>
        <w:tab/>
        <w:t>после пробега 100 км.</w:t>
      </w:r>
    </w:p>
    <w:p w14:paraId="0A4160DF" w14:textId="7EEFBD19" w:rsidR="00460A98" w:rsidRPr="006477EE" w:rsidRDefault="00460A98" w:rsidP="00460A98">
      <w:pPr>
        <w:pStyle w:val="SingleTxtG"/>
        <w:ind w:left="2268"/>
        <w:rPr>
          <w:rFonts w:eastAsia="MS Mincho"/>
        </w:rPr>
      </w:pPr>
      <w:r>
        <w:t>Если транспортное средство не имеет сугубо электрического режима, то разрядка накопительного устройства электрической/механической энергии производится в процессе движения (на испытательном треке, динамометрическом стенде и т.</w:t>
      </w:r>
      <w:r>
        <w:t> </w:t>
      </w:r>
      <w:r>
        <w:t>д.):</w:t>
      </w:r>
    </w:p>
    <w:p w14:paraId="092DFA5F" w14:textId="77777777" w:rsidR="00460A98" w:rsidRPr="00C679A9" w:rsidRDefault="00460A98" w:rsidP="00460A98">
      <w:pPr>
        <w:pStyle w:val="SingleTxtG"/>
        <w:ind w:left="2835" w:hanging="567"/>
        <w:rPr>
          <w:rFonts w:eastAsia="MS Mincho"/>
        </w:rPr>
      </w:pPr>
      <w:r>
        <w:t>a)</w:t>
      </w:r>
      <w:r>
        <w:tab/>
        <w:t>на постоянной скорости 50 км/ч до запуска двигателя ГЭМ, потребляющего топливо;</w:t>
      </w:r>
    </w:p>
    <w:p w14:paraId="43EABA32" w14:textId="77777777" w:rsidR="00460A98" w:rsidRPr="006477EE" w:rsidRDefault="00460A98" w:rsidP="00460A98">
      <w:pPr>
        <w:pStyle w:val="SingleTxtG"/>
        <w:ind w:left="2835" w:hanging="567"/>
        <w:rPr>
          <w:rFonts w:eastAsia="MS Mincho"/>
        </w:rPr>
      </w:pPr>
      <w:r>
        <w:t>b)</w:t>
      </w:r>
      <w:r>
        <w:tab/>
        <w:t>или если транспортное средство не может развить постоянную скорость 50 км/час без запуска двигателя, потребляющего топливо, скорость снижается настолько, чтобы транспортное средство могло двигаться с меньшей постоянной скоростью без запуска двигателя, потребляющего топливо, на протяжении определенного промежутка времени/пробега (надлежит согласовать между технической службой и изготовителем);</w:t>
      </w:r>
    </w:p>
    <w:p w14:paraId="1EF5E609" w14:textId="77777777" w:rsidR="00460A98" w:rsidRPr="006477EE" w:rsidRDefault="00460A98" w:rsidP="00460A98">
      <w:pPr>
        <w:pStyle w:val="SingleTxtG"/>
        <w:ind w:left="2835" w:hanging="567"/>
        <w:rPr>
          <w:rFonts w:eastAsia="MS Mincho"/>
        </w:rPr>
      </w:pPr>
      <w:r>
        <w:t>c)</w:t>
      </w:r>
      <w:r>
        <w:tab/>
        <w:t>или по рекомендации изготовителя.</w:t>
      </w:r>
    </w:p>
    <w:p w14:paraId="5A86A0E3" w14:textId="77777777" w:rsidR="00460A98" w:rsidRPr="006477EE" w:rsidRDefault="00460A98" w:rsidP="00460A98">
      <w:pPr>
        <w:pStyle w:val="SingleTxtG"/>
        <w:ind w:left="2268"/>
        <w:rPr>
          <w:rFonts w:eastAsia="MS Mincho"/>
        </w:rPr>
      </w:pPr>
      <w:r>
        <w:t>Двигатель, потребляющий топливо, должен быть отключен в течение 10 секунд после его автоматического запуска».</w:t>
      </w:r>
    </w:p>
    <w:p w14:paraId="79D71873" w14:textId="77777777" w:rsidR="00460A98" w:rsidRPr="0001775F" w:rsidRDefault="00460A98" w:rsidP="00460A98">
      <w:pPr>
        <w:pStyle w:val="HChG"/>
        <w:rPr>
          <w:rFonts w:eastAsia="MS Mincho"/>
        </w:rPr>
      </w:pPr>
      <w:r>
        <w:tab/>
        <w:t>II.</w:t>
      </w:r>
      <w:r>
        <w:tab/>
        <w:t>Обоснование</w:t>
      </w:r>
    </w:p>
    <w:p w14:paraId="4BD1FADF" w14:textId="77777777" w:rsidR="00460A98" w:rsidRPr="00C679A9" w:rsidRDefault="00460A98" w:rsidP="00460A98">
      <w:pPr>
        <w:pStyle w:val="SingleTxtG"/>
      </w:pPr>
      <w:r>
        <w:t>1.</w:t>
      </w:r>
      <w:r>
        <w:tab/>
        <w:t>По итогам предшествующих обсуждений настоящий рабочий документ представляется на восемьдесят седьмой сессии GRPE в целях доработки и согласования существа, а также формулировок предложения. Принятие планируется на восемьдесят восьмой сессии GRPE в июне 2023 года.</w:t>
      </w:r>
    </w:p>
    <w:p w14:paraId="51922A08" w14:textId="5AEB8F5A" w:rsidR="00460A98" w:rsidRPr="006477EE" w:rsidRDefault="00460A98" w:rsidP="00460A98">
      <w:pPr>
        <w:pStyle w:val="SingleTxtG"/>
      </w:pPr>
      <w:r>
        <w:lastRenderedPageBreak/>
        <w:t>2.</w:t>
      </w:r>
      <w:r>
        <w:tab/>
        <w:t xml:space="preserve">Введение нового пункта 13.6 для определения того, в течение какого срока разрешается предоставлять распространения на основании дополнения 11 без учета положений, вступающих в силу с дополнением 12. </w:t>
      </w:r>
    </w:p>
    <w:p w14:paraId="6F6359C2" w14:textId="77777777" w:rsidR="00460A98" w:rsidRPr="006477EE" w:rsidRDefault="00460A98" w:rsidP="00460A98">
      <w:pPr>
        <w:pStyle w:val="SingleTxtG"/>
      </w:pPr>
      <w:r>
        <w:t xml:space="preserve">3. </w:t>
      </w:r>
      <w:r>
        <w:tab/>
        <w:t xml:space="preserve">Требование в отношении скорости, при которой производится разрядка (70 % ±5 % от максимальной скорости движения), применительно к условиям A и B в случае ГЭМ-ВЗУ, имеющего переключатель рабочих режимов, предусмотренное в приложении 8 «Метод измерения объема выбросов двуокиси углерода, расхода топлива и потребления электроэнергии транспортными средствами, приводимыми в движение гибридным электроприводом» поправок серии 01 к Правилам № 101 ООН, не соответствует одному из критериев его остановки (65 % от </w:t>
      </w:r>
      <w:r>
        <w:rPr>
          <w:b/>
          <w:bCs/>
        </w:rPr>
        <w:t>максимальной скорости движения в течение 30 минут</w:t>
      </w:r>
      <w:r>
        <w:t xml:space="preserve">). </w:t>
      </w:r>
    </w:p>
    <w:p w14:paraId="5177540C" w14:textId="77777777" w:rsidR="00460A98" w:rsidRPr="006477EE" w:rsidRDefault="00460A98" w:rsidP="00460A98">
      <w:pPr>
        <w:pStyle w:val="SingleTxtG"/>
        <w:keepNext/>
        <w:keepLines/>
      </w:pPr>
      <w:r>
        <w:t>4.</w:t>
      </w:r>
      <w:r>
        <w:tab/>
        <w:t xml:space="preserve">Требование в отношении скорости, при которой производится разрядка, и остановки: </w:t>
      </w:r>
    </w:p>
    <w:p w14:paraId="69E031D7" w14:textId="154A76BA" w:rsidR="00460A98" w:rsidRPr="006477EE" w:rsidRDefault="00460A98" w:rsidP="00460A98">
      <w:pPr>
        <w:pStyle w:val="SingleTxtG"/>
        <w:keepNext/>
        <w:keepLines/>
        <w:ind w:firstLine="567"/>
      </w:pPr>
      <w:r>
        <w:t>a)</w:t>
      </w:r>
      <w:r>
        <w:tab/>
        <w:t xml:space="preserve">применительно к условию A в случае ГЭМ-ВЗУ, имеющего переключатель рабочих режимов, — пункты 4.1.1.3.2 и 4.1.1.3.3 приложения 9 «Метод измерения запаса хода на электротяге транспортных средств, приводимых в движение только электроприводом либо гибридным электроприводом» поправок серии 01 к Правилам № 101 ООН; </w:t>
      </w:r>
    </w:p>
    <w:p w14:paraId="58E4EB02" w14:textId="77777777" w:rsidR="00460A98" w:rsidRPr="006477EE" w:rsidRDefault="00460A98" w:rsidP="00460A98">
      <w:pPr>
        <w:pStyle w:val="SingleTxtG"/>
        <w:ind w:firstLine="567"/>
      </w:pPr>
      <w:r>
        <w:t>b)</w:t>
      </w:r>
      <w:r>
        <w:tab/>
        <w:t>применительно к условиям A и B в случае ГЭМ-ВЗУ, имеющего переключатель рабочих режимов, — пункты 3.2.2.2 и 3.2.3.2 приложения 14 «Методика испытания гибридных электромобилей (ГЭМ) на производимые ими выбросы» поправок серий 06 и 07 к Правилам № 83 ООН.</w:t>
      </w:r>
    </w:p>
    <w:p w14:paraId="611886C3" w14:textId="77777777" w:rsidR="00460A98" w:rsidRPr="006477EE" w:rsidRDefault="00460A98" w:rsidP="00460A98">
      <w:pPr>
        <w:pStyle w:val="SingleTxtG"/>
        <w:ind w:right="1110" w:firstLine="567"/>
      </w:pPr>
      <w:r>
        <w:t xml:space="preserve">В обоих случаях имеется в виду максимальная скорость движения транспортного средства в течение 30 минут. </w:t>
      </w:r>
    </w:p>
    <w:p w14:paraId="04F6DB48" w14:textId="77C268CE" w:rsidR="00460A98" w:rsidRPr="006477EE" w:rsidRDefault="00460A98" w:rsidP="00460A98">
      <w:pPr>
        <w:pStyle w:val="SingleTxtG"/>
        <w:rPr>
          <w:u w:val="single"/>
        </w:rPr>
      </w:pPr>
      <w:r>
        <w:t xml:space="preserve">5. </w:t>
      </w:r>
      <w:r>
        <w:tab/>
        <w:t>Требование в отношении предварительного кондиционирования, предусмотренное правилами №</w:t>
      </w:r>
      <w:r w:rsidR="00197CE9">
        <w:t> </w:t>
      </w:r>
      <w:r>
        <w:t>101 и №</w:t>
      </w:r>
      <w:r w:rsidR="00197CE9">
        <w:t> </w:t>
      </w:r>
      <w:r>
        <w:t xml:space="preserve">83 ООН, согласуется с настоящим предложением. </w:t>
      </w:r>
    </w:p>
    <w:p w14:paraId="0D4716FA" w14:textId="77777777" w:rsidR="00460A98" w:rsidRPr="006477EE" w:rsidRDefault="00460A98" w:rsidP="00460A98">
      <w:pPr>
        <w:spacing w:before="240"/>
        <w:jc w:val="center"/>
        <w:rPr>
          <w:u w:val="single"/>
        </w:rPr>
      </w:pPr>
      <w:r w:rsidRPr="006477EE">
        <w:rPr>
          <w:u w:val="single"/>
        </w:rPr>
        <w:tab/>
      </w:r>
      <w:r w:rsidRPr="006477EE">
        <w:rPr>
          <w:u w:val="single"/>
        </w:rPr>
        <w:tab/>
      </w:r>
      <w:r w:rsidRPr="006477EE">
        <w:rPr>
          <w:u w:val="single"/>
        </w:rPr>
        <w:tab/>
      </w:r>
    </w:p>
    <w:p w14:paraId="5D50BD8A" w14:textId="77777777" w:rsidR="00E12C5F" w:rsidRPr="00D64DA0" w:rsidRDefault="00E12C5F" w:rsidP="00D9145B">
      <w:pPr>
        <w:rPr>
          <w:lang w:val="en-US"/>
        </w:rPr>
      </w:pPr>
    </w:p>
    <w:sectPr w:rsidR="00E12C5F" w:rsidRPr="00D64DA0" w:rsidSect="00460A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BED4" w14:textId="77777777" w:rsidR="007307CC" w:rsidRPr="00A312BC" w:rsidRDefault="007307CC" w:rsidP="00A312BC"/>
  </w:endnote>
  <w:endnote w:type="continuationSeparator" w:id="0">
    <w:p w14:paraId="4193EEB2" w14:textId="77777777" w:rsidR="007307CC" w:rsidRPr="00A312BC" w:rsidRDefault="007307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1312" w14:textId="3E99F84A" w:rsidR="00460A98" w:rsidRPr="00460A98" w:rsidRDefault="00460A98">
    <w:pPr>
      <w:pStyle w:val="a8"/>
    </w:pPr>
    <w:r w:rsidRPr="00460A98">
      <w:rPr>
        <w:b/>
        <w:sz w:val="18"/>
      </w:rPr>
      <w:fldChar w:fldCharType="begin"/>
    </w:r>
    <w:r w:rsidRPr="00460A98">
      <w:rPr>
        <w:b/>
        <w:sz w:val="18"/>
      </w:rPr>
      <w:instrText xml:space="preserve"> PAGE  \* MERGEFORMAT </w:instrText>
    </w:r>
    <w:r w:rsidRPr="00460A98">
      <w:rPr>
        <w:b/>
        <w:sz w:val="18"/>
      </w:rPr>
      <w:fldChar w:fldCharType="separate"/>
    </w:r>
    <w:r w:rsidRPr="00460A98">
      <w:rPr>
        <w:b/>
        <w:noProof/>
        <w:sz w:val="18"/>
      </w:rPr>
      <w:t>2</w:t>
    </w:r>
    <w:r w:rsidRPr="00460A98">
      <w:rPr>
        <w:b/>
        <w:sz w:val="18"/>
      </w:rPr>
      <w:fldChar w:fldCharType="end"/>
    </w:r>
    <w:r>
      <w:rPr>
        <w:b/>
        <w:sz w:val="18"/>
      </w:rPr>
      <w:tab/>
    </w:r>
    <w:r>
      <w:t>GE.22-17590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B5CE" w14:textId="7049FCEA" w:rsidR="00460A98" w:rsidRPr="00460A98" w:rsidRDefault="00460A98" w:rsidP="00460A98">
    <w:pPr>
      <w:pStyle w:val="a8"/>
      <w:tabs>
        <w:tab w:val="clear" w:pos="9639"/>
        <w:tab w:val="right" w:pos="9638"/>
      </w:tabs>
      <w:rPr>
        <w:b/>
        <w:sz w:val="18"/>
      </w:rPr>
    </w:pPr>
    <w:r>
      <w:t>GE.22-17590</w:t>
    </w:r>
    <w:r>
      <w:tab/>
    </w:r>
    <w:r w:rsidRPr="00460A98">
      <w:rPr>
        <w:b/>
        <w:sz w:val="18"/>
      </w:rPr>
      <w:fldChar w:fldCharType="begin"/>
    </w:r>
    <w:r w:rsidRPr="00460A98">
      <w:rPr>
        <w:b/>
        <w:sz w:val="18"/>
      </w:rPr>
      <w:instrText xml:space="preserve"> PAGE  \* MERGEFORMAT </w:instrText>
    </w:r>
    <w:r w:rsidRPr="00460A98">
      <w:rPr>
        <w:b/>
        <w:sz w:val="18"/>
      </w:rPr>
      <w:fldChar w:fldCharType="separate"/>
    </w:r>
    <w:r w:rsidRPr="00460A98">
      <w:rPr>
        <w:b/>
        <w:noProof/>
        <w:sz w:val="18"/>
      </w:rPr>
      <w:t>3</w:t>
    </w:r>
    <w:r w:rsidRPr="00460A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3943" w14:textId="39CC55CF" w:rsidR="00042B72" w:rsidRPr="00460A98" w:rsidRDefault="00460A98" w:rsidP="00460A9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669BD4" wp14:editId="0A5C069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22-17590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DAD92B" wp14:editId="275C72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161122  161122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9506" w14:textId="77777777" w:rsidR="007307CC" w:rsidRPr="001075E9" w:rsidRDefault="007307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2A1DF0" w14:textId="77777777" w:rsidR="007307CC" w:rsidRDefault="007307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4922AC" w14:textId="7E99BA2A" w:rsidR="00460A98" w:rsidRPr="007E5C8F" w:rsidRDefault="00460A98" w:rsidP="00460A98">
      <w:pPr>
        <w:pStyle w:val="ad"/>
      </w:pPr>
      <w:r>
        <w:tab/>
      </w:r>
      <w:r w:rsidRPr="00460A98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br/>
      </w:r>
      <w:r>
        <w:t>таблица 20.6), Всемирный форум будет разрабатывать, согласовывать и обновлять правила</w:t>
      </w:r>
      <w: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1A39" w14:textId="6D14FEE7" w:rsidR="00460A98" w:rsidRPr="00460A98" w:rsidRDefault="00460A98">
    <w:pPr>
      <w:pStyle w:val="a5"/>
    </w:pPr>
    <w:fldSimple w:instr=" TITLE  \* MERGEFORMAT ">
      <w:r w:rsidR="0091041D">
        <w:t>ECE/TRANS/WP.29/GRPE/2023/13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A0AB" w14:textId="342F46DF" w:rsidR="00460A98" w:rsidRPr="00460A98" w:rsidRDefault="00460A98" w:rsidP="00460A98">
    <w:pPr>
      <w:pStyle w:val="a5"/>
      <w:jc w:val="right"/>
    </w:pPr>
    <w:fldSimple w:instr=" TITLE  \* MERGEFORMAT ">
      <w:r w:rsidR="0091041D">
        <w:t>ECE/TRANS/WP.29/GRPE/2023/13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C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7CE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A98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3A28"/>
    <w:rsid w:val="007307CC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041D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658D"/>
    <w:rsid w:val="00BE1CC7"/>
    <w:rsid w:val="00C106D6"/>
    <w:rsid w:val="00C119AE"/>
    <w:rsid w:val="00C1672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4DA0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528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992FD"/>
  <w15:docId w15:val="{EAE41D54-D325-4D59-8755-D3F8D38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60A98"/>
    <w:rPr>
      <w:lang w:val="ru-RU" w:eastAsia="en-US"/>
    </w:rPr>
  </w:style>
  <w:style w:type="character" w:customStyle="1" w:styleId="HChGChar">
    <w:name w:val="_ H _Ch_G Char"/>
    <w:link w:val="HChG"/>
    <w:rsid w:val="00460A9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460A9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809</Words>
  <Characters>5516</Characters>
  <Application>Microsoft Office Word</Application>
  <DocSecurity>0</DocSecurity>
  <Lines>501</Lines>
  <Paragraphs>210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ECE/TRANS/WP.29/GRPE/2023/13</vt:lpstr>
      <vt:lpstr>A/</vt:lpstr>
      <vt:lpstr>A/</vt:lpstr>
    </vt:vector>
  </TitlesOfParts>
  <Company>DCM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ECE/TRANS/WP.29/GRPE/2023/13</dc:title>
  <dc:subject/>
  <dc:creator>Elena IZOTOVA</dc:creator>
  <cp:keywords/>
  <cp:lastModifiedBy>Elena Izotova</cp:lastModifiedBy>
  <cp:revision>3</cp:revision>
  <cp:lastPrinted>2022-11-16T10:16:00Z</cp:lastPrinted>
  <dcterms:created xsi:type="dcterms:W3CDTF">2022-11-16T10:16:00Z</dcterms:created>
  <dcterms:modified xsi:type="dcterms:W3CDTF">2022-11-16T10:16:00Z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