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23ED9039" w14:textId="77777777" w:rsidTr="00C97039">
        <w:trPr>
          <w:trHeight w:hRule="exact" w:val="851"/>
        </w:trPr>
        <w:tc>
          <w:tcPr>
            <w:tcW w:w="1276" w:type="dxa"/>
            <w:tcBorders>
              <w:bottom w:val="single" w:sz="4" w:space="0" w:color="auto"/>
            </w:tcBorders>
          </w:tcPr>
          <w:p w14:paraId="3193D586" w14:textId="77777777" w:rsidR="00F35BAF" w:rsidRPr="00DB58B5" w:rsidRDefault="00F35BAF" w:rsidP="00952215"/>
        </w:tc>
        <w:tc>
          <w:tcPr>
            <w:tcW w:w="2268" w:type="dxa"/>
            <w:tcBorders>
              <w:bottom w:val="single" w:sz="4" w:space="0" w:color="auto"/>
            </w:tcBorders>
            <w:vAlign w:val="bottom"/>
          </w:tcPr>
          <w:p w14:paraId="0F734C26"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53D18CF" w14:textId="58BA43E7" w:rsidR="00F35BAF" w:rsidRPr="00DB58B5" w:rsidRDefault="00952215" w:rsidP="00952215">
            <w:pPr>
              <w:jc w:val="right"/>
            </w:pPr>
            <w:r w:rsidRPr="00952215">
              <w:rPr>
                <w:sz w:val="40"/>
              </w:rPr>
              <w:t>ECE</w:t>
            </w:r>
            <w:r>
              <w:t>/TRANS/WP.29/GRPE/2023/7</w:t>
            </w:r>
          </w:p>
        </w:tc>
      </w:tr>
      <w:tr w:rsidR="00F35BAF" w:rsidRPr="00DB58B5" w14:paraId="082AD507" w14:textId="77777777" w:rsidTr="00C97039">
        <w:trPr>
          <w:trHeight w:hRule="exact" w:val="2835"/>
        </w:trPr>
        <w:tc>
          <w:tcPr>
            <w:tcW w:w="1276" w:type="dxa"/>
            <w:tcBorders>
              <w:top w:val="single" w:sz="4" w:space="0" w:color="auto"/>
              <w:bottom w:val="single" w:sz="12" w:space="0" w:color="auto"/>
            </w:tcBorders>
          </w:tcPr>
          <w:p w14:paraId="6BC29812" w14:textId="77777777" w:rsidR="00F35BAF" w:rsidRPr="00DB58B5" w:rsidRDefault="00F35BAF" w:rsidP="00C97039">
            <w:pPr>
              <w:spacing w:before="120"/>
              <w:jc w:val="center"/>
            </w:pPr>
            <w:r>
              <w:rPr>
                <w:noProof/>
                <w:lang w:eastAsia="fr-CH"/>
              </w:rPr>
              <w:drawing>
                <wp:inline distT="0" distB="0" distL="0" distR="0" wp14:anchorId="24C66826" wp14:editId="6A96381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350E1AD"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2C78C7E6" w14:textId="77777777" w:rsidR="00F35BAF" w:rsidRDefault="00952215" w:rsidP="00C97039">
            <w:pPr>
              <w:spacing w:before="240"/>
            </w:pPr>
            <w:r>
              <w:t>Distr. générale</w:t>
            </w:r>
          </w:p>
          <w:p w14:paraId="19BD465A" w14:textId="77777777" w:rsidR="00952215" w:rsidRDefault="00952215" w:rsidP="00952215">
            <w:pPr>
              <w:spacing w:line="240" w:lineRule="exact"/>
            </w:pPr>
            <w:r>
              <w:t>26 octobre 2022</w:t>
            </w:r>
          </w:p>
          <w:p w14:paraId="74410E51" w14:textId="77777777" w:rsidR="00952215" w:rsidRDefault="00952215" w:rsidP="00952215">
            <w:pPr>
              <w:spacing w:line="240" w:lineRule="exact"/>
            </w:pPr>
            <w:r>
              <w:t>Français</w:t>
            </w:r>
          </w:p>
          <w:p w14:paraId="70EE7C7E" w14:textId="6C7B82E9" w:rsidR="00952215" w:rsidRPr="00DB58B5" w:rsidRDefault="00952215" w:rsidP="00952215">
            <w:pPr>
              <w:spacing w:line="240" w:lineRule="exact"/>
            </w:pPr>
            <w:r>
              <w:t>Original : anglais</w:t>
            </w:r>
          </w:p>
        </w:tc>
      </w:tr>
    </w:tbl>
    <w:p w14:paraId="6E3B2CB4" w14:textId="77777777" w:rsidR="007F20FA" w:rsidRPr="000312C0" w:rsidRDefault="007F20FA" w:rsidP="007F20FA">
      <w:pPr>
        <w:spacing w:before="120"/>
        <w:rPr>
          <w:b/>
          <w:sz w:val="28"/>
          <w:szCs w:val="28"/>
        </w:rPr>
      </w:pPr>
      <w:r w:rsidRPr="000312C0">
        <w:rPr>
          <w:b/>
          <w:sz w:val="28"/>
          <w:szCs w:val="28"/>
        </w:rPr>
        <w:t>Commission économique pour l’Europe</w:t>
      </w:r>
    </w:p>
    <w:p w14:paraId="6F2EFA50" w14:textId="77777777" w:rsidR="007F20FA" w:rsidRDefault="007F20FA" w:rsidP="007F20FA">
      <w:pPr>
        <w:spacing w:before="120"/>
        <w:rPr>
          <w:sz w:val="28"/>
          <w:szCs w:val="28"/>
        </w:rPr>
      </w:pPr>
      <w:r w:rsidRPr="00685843">
        <w:rPr>
          <w:sz w:val="28"/>
          <w:szCs w:val="28"/>
        </w:rPr>
        <w:t>Comité des transports intérieurs</w:t>
      </w:r>
    </w:p>
    <w:p w14:paraId="7D02420E" w14:textId="5B692A74" w:rsidR="00134B58" w:rsidRPr="004B720F" w:rsidRDefault="00134B58" w:rsidP="004B720F">
      <w:pPr>
        <w:spacing w:before="120"/>
        <w:rPr>
          <w:rFonts w:eastAsia="MS Mincho"/>
          <w:sz w:val="24"/>
          <w:szCs w:val="24"/>
          <w:lang w:val="fr-FR"/>
        </w:rPr>
      </w:pPr>
      <w:r w:rsidRPr="004B720F">
        <w:rPr>
          <w:b/>
          <w:bCs/>
          <w:sz w:val="22"/>
          <w:szCs w:val="22"/>
          <w:lang w:val="fr-FR"/>
        </w:rPr>
        <w:t xml:space="preserve">Forum mondial de l’harmonisation des Règlements </w:t>
      </w:r>
      <w:r w:rsidR="004B720F">
        <w:rPr>
          <w:b/>
          <w:bCs/>
          <w:sz w:val="22"/>
          <w:szCs w:val="22"/>
          <w:lang w:val="fr-FR"/>
        </w:rPr>
        <w:br/>
      </w:r>
      <w:r w:rsidRPr="004B720F">
        <w:rPr>
          <w:b/>
          <w:bCs/>
          <w:sz w:val="22"/>
          <w:szCs w:val="22"/>
          <w:lang w:val="fr-FR"/>
        </w:rPr>
        <w:t>concernant les véhicules</w:t>
      </w:r>
      <w:r w:rsidRPr="004B720F">
        <w:rPr>
          <w:sz w:val="22"/>
          <w:szCs w:val="22"/>
          <w:lang w:val="fr-FR"/>
        </w:rPr>
        <w:t xml:space="preserve"> </w:t>
      </w:r>
    </w:p>
    <w:p w14:paraId="5AAD0B32" w14:textId="77777777" w:rsidR="00134B58" w:rsidRPr="006642A9" w:rsidRDefault="00134B58" w:rsidP="004B720F">
      <w:pPr>
        <w:spacing w:before="120"/>
        <w:rPr>
          <w:rFonts w:eastAsia="MS Mincho"/>
          <w:b/>
          <w:bCs/>
          <w:lang w:val="fr-FR"/>
        </w:rPr>
      </w:pPr>
      <w:r>
        <w:rPr>
          <w:b/>
          <w:bCs/>
          <w:lang w:val="fr-FR"/>
        </w:rPr>
        <w:t>Groupe de travail de la pollution et de l’énergie</w:t>
      </w:r>
    </w:p>
    <w:p w14:paraId="3B935D99" w14:textId="77777777" w:rsidR="00134B58" w:rsidRPr="006642A9" w:rsidRDefault="00134B58" w:rsidP="004B720F">
      <w:pPr>
        <w:spacing w:before="120"/>
        <w:rPr>
          <w:rFonts w:eastAsia="MS Mincho"/>
          <w:b/>
          <w:lang w:val="fr-FR"/>
        </w:rPr>
      </w:pPr>
      <w:r>
        <w:rPr>
          <w:b/>
          <w:bCs/>
          <w:lang w:val="fr-FR"/>
        </w:rPr>
        <w:t>Quatre-vingt-septième session</w:t>
      </w:r>
    </w:p>
    <w:p w14:paraId="1F7A87A8" w14:textId="77777777" w:rsidR="00134B58" w:rsidRPr="006642A9" w:rsidRDefault="00134B58" w:rsidP="004B720F">
      <w:pPr>
        <w:rPr>
          <w:lang w:val="fr-FR"/>
        </w:rPr>
      </w:pPr>
      <w:r>
        <w:rPr>
          <w:lang w:val="fr-FR"/>
        </w:rPr>
        <w:t>Genève, 10-13 janvier 2023</w:t>
      </w:r>
    </w:p>
    <w:p w14:paraId="3AB3000A" w14:textId="00220FB0" w:rsidR="00134B58" w:rsidRPr="006642A9" w:rsidRDefault="00134B58" w:rsidP="00134B58">
      <w:pPr>
        <w:rPr>
          <w:rFonts w:eastAsia="MS Mincho"/>
          <w:lang w:val="fr-FR"/>
        </w:rPr>
      </w:pPr>
      <w:r>
        <w:rPr>
          <w:lang w:val="fr-FR"/>
        </w:rPr>
        <w:t>Point 5 de l’ordre du jour provisoire</w:t>
      </w:r>
    </w:p>
    <w:p w14:paraId="00154878" w14:textId="079E8F4B" w:rsidR="00134B58" w:rsidRPr="006642A9" w:rsidRDefault="00134B58" w:rsidP="00134B58">
      <w:pPr>
        <w:rPr>
          <w:rFonts w:eastAsia="MS Mincho"/>
          <w:b/>
          <w:bCs/>
          <w:lang w:val="fr-FR"/>
        </w:rPr>
      </w:pPr>
      <w:r>
        <w:rPr>
          <w:b/>
          <w:bCs/>
          <w:lang w:val="fr-FR"/>
        </w:rPr>
        <w:t>Règlements ONU n</w:t>
      </w:r>
      <w:r>
        <w:rPr>
          <w:b/>
          <w:bCs/>
          <w:vertAlign w:val="superscript"/>
          <w:lang w:val="fr-FR"/>
        </w:rPr>
        <w:t>os</w:t>
      </w:r>
      <w:r w:rsidR="004B720F">
        <w:rPr>
          <w:b/>
          <w:bCs/>
          <w:lang w:val="fr-FR"/>
        </w:rPr>
        <w:t> </w:t>
      </w:r>
      <w:r>
        <w:rPr>
          <w:b/>
          <w:bCs/>
          <w:lang w:val="fr-FR"/>
        </w:rPr>
        <w:t xml:space="preserve">24 (Émissions de polluants visibles, mesure </w:t>
      </w:r>
      <w:r w:rsidR="004B720F">
        <w:rPr>
          <w:b/>
          <w:bCs/>
          <w:lang w:val="fr-FR"/>
        </w:rPr>
        <w:br/>
      </w:r>
      <w:r>
        <w:rPr>
          <w:b/>
          <w:bCs/>
          <w:lang w:val="fr-FR"/>
        </w:rPr>
        <w:t xml:space="preserve">de la puissance des moteurs à allumage par compression </w:t>
      </w:r>
      <w:r w:rsidR="004B720F">
        <w:rPr>
          <w:b/>
          <w:bCs/>
          <w:lang w:val="fr-FR"/>
        </w:rPr>
        <w:br/>
      </w:r>
      <w:r>
        <w:rPr>
          <w:b/>
          <w:bCs/>
          <w:lang w:val="fr-FR"/>
        </w:rPr>
        <w:t xml:space="preserve">(fumées des moteurs diesel)), 85 (Mesure de la puissance nette), </w:t>
      </w:r>
      <w:r w:rsidR="004B720F">
        <w:rPr>
          <w:b/>
          <w:bCs/>
          <w:lang w:val="fr-FR"/>
        </w:rPr>
        <w:br/>
      </w:r>
      <w:r>
        <w:rPr>
          <w:b/>
          <w:bCs/>
          <w:lang w:val="fr-FR"/>
        </w:rPr>
        <w:t xml:space="preserve">115 (Systèmes d’adaptation au GPL et au GNC), </w:t>
      </w:r>
      <w:r w:rsidR="004B720F">
        <w:rPr>
          <w:b/>
          <w:bCs/>
          <w:lang w:val="fr-FR"/>
        </w:rPr>
        <w:br/>
      </w:r>
      <w:r>
        <w:rPr>
          <w:b/>
          <w:bCs/>
          <w:lang w:val="fr-FR"/>
        </w:rPr>
        <w:t xml:space="preserve">133 (Aptitude au recyclage des véhicules automobiles) </w:t>
      </w:r>
      <w:r w:rsidR="004B720F">
        <w:rPr>
          <w:b/>
          <w:bCs/>
          <w:lang w:val="fr-FR"/>
        </w:rPr>
        <w:br/>
      </w:r>
      <w:r>
        <w:rPr>
          <w:b/>
          <w:bCs/>
          <w:lang w:val="fr-FR"/>
        </w:rPr>
        <w:t xml:space="preserve">et 143 (Systèmes d’adaptation des moteurs de véhicules </w:t>
      </w:r>
      <w:r w:rsidR="004B720F">
        <w:rPr>
          <w:b/>
          <w:bCs/>
          <w:lang w:val="fr-FR"/>
        </w:rPr>
        <w:br/>
      </w:r>
      <w:r>
        <w:rPr>
          <w:b/>
          <w:bCs/>
          <w:lang w:val="fr-FR"/>
        </w:rPr>
        <w:t>utilitaires lourds à la bicarburation)</w:t>
      </w:r>
    </w:p>
    <w:p w14:paraId="4B89C5FC" w14:textId="77777777" w:rsidR="00134B58" w:rsidRPr="006642A9" w:rsidRDefault="00134B58" w:rsidP="004B720F">
      <w:pPr>
        <w:pStyle w:val="HChG"/>
        <w:rPr>
          <w:lang w:val="fr-FR"/>
        </w:rPr>
      </w:pPr>
      <w:r>
        <w:rPr>
          <w:lang w:val="fr-FR"/>
        </w:rPr>
        <w:tab/>
      </w:r>
      <w:r>
        <w:rPr>
          <w:lang w:val="fr-FR"/>
        </w:rPr>
        <w:tab/>
        <w:t>Proposition de nouveau complément au Règlement ONU n</w:t>
      </w:r>
      <w:r>
        <w:rPr>
          <w:vertAlign w:val="superscript"/>
          <w:lang w:val="fr-FR"/>
        </w:rPr>
        <w:t>o</w:t>
      </w:r>
      <w:r>
        <w:rPr>
          <w:lang w:val="fr-FR"/>
        </w:rPr>
        <w:t> 85 (Mesure de la puissance nette)</w:t>
      </w:r>
    </w:p>
    <w:p w14:paraId="7F7D3CB2" w14:textId="4ADF2E57" w:rsidR="00134B58" w:rsidRPr="006642A9" w:rsidRDefault="00134B58" w:rsidP="004B720F">
      <w:pPr>
        <w:pStyle w:val="H1G"/>
        <w:rPr>
          <w:lang w:val="fr-FR"/>
        </w:rPr>
      </w:pPr>
      <w:r>
        <w:rPr>
          <w:lang w:val="fr-FR"/>
        </w:rPr>
        <w:tab/>
      </w:r>
      <w:r>
        <w:rPr>
          <w:lang w:val="fr-FR"/>
        </w:rPr>
        <w:tab/>
        <w:t xml:space="preserve">Communication de l’expert de l’Organisation internationale </w:t>
      </w:r>
      <w:r w:rsidR="004B720F">
        <w:rPr>
          <w:lang w:val="fr-FR"/>
        </w:rPr>
        <w:br/>
      </w:r>
      <w:r>
        <w:rPr>
          <w:lang w:val="fr-FR"/>
        </w:rPr>
        <w:t>des constructeurs d’automobiles</w:t>
      </w:r>
      <w:r w:rsidRPr="004B720F">
        <w:rPr>
          <w:b w:val="0"/>
          <w:bCs/>
          <w:sz w:val="20"/>
          <w:szCs w:val="16"/>
          <w:lang w:val="fr-FR"/>
        </w:rPr>
        <w:footnoteReference w:customMarkFollows="1" w:id="2"/>
        <w:t>*</w:t>
      </w:r>
    </w:p>
    <w:p w14:paraId="028E7294" w14:textId="7B294169" w:rsidR="00134B58" w:rsidRPr="006642A9" w:rsidRDefault="00134B58" w:rsidP="004B720F">
      <w:pPr>
        <w:pStyle w:val="SingleTxtG"/>
        <w:ind w:firstLine="567"/>
        <w:rPr>
          <w:lang w:val="fr-FR"/>
        </w:rPr>
      </w:pPr>
      <w:r>
        <w:rPr>
          <w:lang w:val="fr-FR"/>
        </w:rPr>
        <w:t>Le texte ci-après, établi par l’expert de l’Organisation internationale des constructeurs d’automobiles (OICA), vise à autoriser l’utilisation d’hydrogène (H</w:t>
      </w:r>
      <w:r w:rsidRPr="006642A9">
        <w:rPr>
          <w:vertAlign w:val="subscript"/>
          <w:lang w:val="fr-FR"/>
        </w:rPr>
        <w:t>2</w:t>
      </w:r>
      <w:r>
        <w:rPr>
          <w:lang w:val="fr-FR"/>
        </w:rPr>
        <w:t>) comme carburant pour l’homologation de type des véhicules utilitaires lourds et à autoriser explicitement l’utilisation du carburant de référence prescrit pour l’essai de mesure des émissions dans les cas où le constructeur dépose dans le même temps une demande d’homologation de type en vertu des Règlements ONU n</w:t>
      </w:r>
      <w:r>
        <w:rPr>
          <w:vertAlign w:val="superscript"/>
          <w:lang w:val="fr-FR"/>
        </w:rPr>
        <w:t>os</w:t>
      </w:r>
      <w:r w:rsidR="004B720F">
        <w:rPr>
          <w:lang w:val="fr-FR"/>
        </w:rPr>
        <w:t> </w:t>
      </w:r>
      <w:r>
        <w:rPr>
          <w:lang w:val="fr-FR"/>
        </w:rPr>
        <w:t>24 ou 49. Les modifications qu’il est proposé d’apporter au texte actuel du Règlement ONU</w:t>
      </w:r>
      <w:r w:rsidR="004B720F">
        <w:rPr>
          <w:lang w:val="fr-FR"/>
        </w:rPr>
        <w:t xml:space="preserve"> </w:t>
      </w:r>
      <w:r>
        <w:rPr>
          <w:lang w:val="fr-FR"/>
        </w:rPr>
        <w:t>figurent en caractères gras pour les ajouts et biffés pour les suppressions.</w:t>
      </w:r>
    </w:p>
    <w:p w14:paraId="2DCE3943" w14:textId="77777777" w:rsidR="00134B58" w:rsidRDefault="00134B58" w:rsidP="00134B58">
      <w:pPr>
        <w:rPr>
          <w:lang w:val="fr-FR"/>
        </w:rPr>
      </w:pPr>
      <w:r>
        <w:rPr>
          <w:lang w:val="fr-FR"/>
        </w:rPr>
        <w:br w:type="page"/>
      </w:r>
    </w:p>
    <w:p w14:paraId="5B777A3C" w14:textId="4B7BBE64" w:rsidR="00134B58" w:rsidRPr="006642A9" w:rsidRDefault="00037A73" w:rsidP="00037A73">
      <w:pPr>
        <w:pStyle w:val="HChG"/>
        <w:rPr>
          <w:sz w:val="40"/>
          <w:lang w:val="fr-FR"/>
        </w:rPr>
      </w:pPr>
      <w:r>
        <w:rPr>
          <w:lang w:val="fr-FR"/>
        </w:rPr>
        <w:lastRenderedPageBreak/>
        <w:tab/>
      </w:r>
      <w:r w:rsidR="00134B58" w:rsidRPr="00243760">
        <w:rPr>
          <w:lang w:val="fr-FR"/>
        </w:rPr>
        <w:t>I.</w:t>
      </w:r>
      <w:r w:rsidR="00134B58" w:rsidRPr="00243760">
        <w:rPr>
          <w:lang w:val="fr-FR"/>
        </w:rPr>
        <w:tab/>
        <w:t>Proposition</w:t>
      </w:r>
    </w:p>
    <w:p w14:paraId="119937CD" w14:textId="2A6E81E4" w:rsidR="00134B58" w:rsidRPr="006642A9" w:rsidRDefault="00134B58" w:rsidP="00037A73">
      <w:pPr>
        <w:pStyle w:val="SingleTxtG"/>
        <w:keepNext/>
        <w:rPr>
          <w:lang w:val="fr-FR"/>
        </w:rPr>
      </w:pPr>
      <w:r w:rsidRPr="00037A73">
        <w:rPr>
          <w:i/>
          <w:iCs/>
          <w:lang w:val="fr-FR"/>
        </w:rPr>
        <w:t>Paragraphe 5.2.3.4</w:t>
      </w:r>
      <w:r>
        <w:rPr>
          <w:lang w:val="fr-FR"/>
        </w:rPr>
        <w:t>, lire</w:t>
      </w:r>
      <w:r w:rsidR="00037A73">
        <w:rPr>
          <w:lang w:val="fr-FR"/>
        </w:rPr>
        <w:t> </w:t>
      </w:r>
      <w:r>
        <w:rPr>
          <w:lang w:val="fr-FR"/>
        </w:rPr>
        <w:t>:</w:t>
      </w:r>
    </w:p>
    <w:p w14:paraId="3DFE6B72" w14:textId="625B06C1" w:rsidR="00134B58" w:rsidRPr="006642A9" w:rsidRDefault="00134B58" w:rsidP="00037A73">
      <w:pPr>
        <w:pStyle w:val="SingleTxtG"/>
        <w:keepNext/>
        <w:rPr>
          <w:lang w:val="fr-FR"/>
        </w:rPr>
      </w:pPr>
      <w:r>
        <w:rPr>
          <w:lang w:val="fr-FR"/>
        </w:rPr>
        <w:t>« 5.2.3.4</w:t>
      </w:r>
      <w:r>
        <w:rPr>
          <w:lang w:val="fr-FR"/>
        </w:rPr>
        <w:tab/>
        <w:t>Pour les moteurs à allumage par compression et les moteurs bicarburant :</w:t>
      </w:r>
    </w:p>
    <w:p w14:paraId="646CC230" w14:textId="77777777" w:rsidR="00134B58" w:rsidRPr="006642A9" w:rsidRDefault="00134B58" w:rsidP="00037A73">
      <w:pPr>
        <w:pStyle w:val="SingleTxtG"/>
        <w:ind w:left="2268"/>
        <w:rPr>
          <w:lang w:val="fr-FR"/>
        </w:rPr>
      </w:pPr>
      <w:r>
        <w:rPr>
          <w:lang w:val="fr-FR"/>
        </w:rPr>
        <w:t>Le carburant utilisé est celui qui est disponible sur le marché. En cas de contestation, on choisit l’un des carburants de référence définis par le CEC pour les moteurs à allumage par compression, dans le document RF-03-A-84.</w:t>
      </w:r>
    </w:p>
    <w:p w14:paraId="3B629A1B" w14:textId="530108B1" w:rsidR="00134B58" w:rsidRPr="006642A9" w:rsidRDefault="00134B58" w:rsidP="00037A73">
      <w:pPr>
        <w:pStyle w:val="SingleTxtG"/>
        <w:ind w:left="2268"/>
        <w:rPr>
          <w:lang w:val="fr-FR"/>
        </w:rPr>
      </w:pPr>
      <w:bookmarkStart w:id="0" w:name="_Hlk97733784"/>
      <w:r>
        <w:rPr>
          <w:b/>
          <w:bCs/>
          <w:lang w:val="fr-FR"/>
        </w:rPr>
        <w:t>Dans les cas où les essais portant sur les émissions de gaz polluants et de particules [conformément aux Règlements ONU n</w:t>
      </w:r>
      <w:r>
        <w:rPr>
          <w:b/>
          <w:bCs/>
          <w:vertAlign w:val="superscript"/>
          <w:lang w:val="fr-FR"/>
        </w:rPr>
        <w:t>os</w:t>
      </w:r>
      <w:r w:rsidR="00037A73">
        <w:rPr>
          <w:b/>
          <w:bCs/>
          <w:lang w:val="fr-FR"/>
        </w:rPr>
        <w:t> </w:t>
      </w:r>
      <w:r>
        <w:rPr>
          <w:b/>
          <w:bCs/>
          <w:lang w:val="fr-FR"/>
        </w:rPr>
        <w:t>49 ou 24] sont menés en même temps que les essais relevant du présent Règlement, à la demande du constructeur, le carburant utilisé pour les essais portant sur les émissions de gaz polluants et de particules peut être utilisé pour les essais relevant du présent Règlement. </w:t>
      </w:r>
      <w:r w:rsidRPr="006642A9">
        <w:rPr>
          <w:lang w:val="fr-FR"/>
        </w:rPr>
        <w:t>».</w:t>
      </w:r>
    </w:p>
    <w:bookmarkEnd w:id="0"/>
    <w:p w14:paraId="50BEE283" w14:textId="27E82CEE" w:rsidR="00134B58" w:rsidRPr="006642A9" w:rsidRDefault="00134B58" w:rsidP="00037A73">
      <w:pPr>
        <w:pStyle w:val="SingleTxtG"/>
        <w:keepNext/>
        <w:rPr>
          <w:i/>
          <w:lang w:val="fr-FR"/>
        </w:rPr>
      </w:pPr>
      <w:r>
        <w:rPr>
          <w:i/>
          <w:iCs/>
          <w:lang w:val="fr-FR"/>
        </w:rPr>
        <w:t>Ajouter le nouveau paragraphe 5.2.3.7</w:t>
      </w:r>
      <w:r>
        <w:rPr>
          <w:lang w:val="fr-FR"/>
        </w:rPr>
        <w:t>, libellé comme suit</w:t>
      </w:r>
      <w:r w:rsidR="00037A73">
        <w:rPr>
          <w:lang w:val="fr-FR"/>
        </w:rPr>
        <w:t> </w:t>
      </w:r>
      <w:r>
        <w:rPr>
          <w:lang w:val="fr-FR"/>
        </w:rPr>
        <w:t>:</w:t>
      </w:r>
    </w:p>
    <w:p w14:paraId="46049A39" w14:textId="43B3D539" w:rsidR="00134B58" w:rsidRPr="002A5766" w:rsidRDefault="00134B58" w:rsidP="00037A73">
      <w:pPr>
        <w:pStyle w:val="SingleTxtG"/>
        <w:ind w:left="2268" w:hanging="1134"/>
        <w:rPr>
          <w:b/>
        </w:rPr>
      </w:pPr>
      <w:r>
        <w:rPr>
          <w:lang w:val="fr-FR"/>
        </w:rPr>
        <w:t>« </w:t>
      </w:r>
      <w:r w:rsidRPr="006642A9">
        <w:rPr>
          <w:b/>
          <w:bCs/>
          <w:lang w:val="fr-FR"/>
        </w:rPr>
        <w:t>5.2.3.7</w:t>
      </w:r>
      <w:r>
        <w:rPr>
          <w:lang w:val="fr-FR"/>
        </w:rPr>
        <w:tab/>
      </w:r>
      <w:r>
        <w:rPr>
          <w:b/>
          <w:bCs/>
          <w:lang w:val="fr-FR"/>
        </w:rPr>
        <w:t>Pour les moteurs à allumage commandé, les moteurs à allumage par compression et les moteurs bicarburant alimentés à l’hydrogène</w:t>
      </w:r>
      <w:r w:rsidR="00037A73">
        <w:rPr>
          <w:b/>
          <w:bCs/>
          <w:lang w:val="fr-FR"/>
        </w:rPr>
        <w:t> </w:t>
      </w:r>
      <w:r>
        <w:rPr>
          <w:b/>
          <w:bCs/>
          <w:lang w:val="fr-FR"/>
        </w:rPr>
        <w:t>:</w:t>
      </w:r>
      <w:r>
        <w:rPr>
          <w:lang w:val="fr-FR"/>
        </w:rPr>
        <w:t xml:space="preserve"> </w:t>
      </w:r>
    </w:p>
    <w:p w14:paraId="399D665B" w14:textId="0D5EE7F1" w:rsidR="00134B58" w:rsidRPr="006642A9" w:rsidRDefault="00134B58" w:rsidP="00037A73">
      <w:pPr>
        <w:pStyle w:val="SingleTxtG"/>
        <w:ind w:left="2268"/>
        <w:rPr>
          <w:color w:val="000000"/>
        </w:rPr>
      </w:pPr>
      <w:r>
        <w:rPr>
          <w:b/>
          <w:bCs/>
          <w:lang w:val="fr-FR"/>
        </w:rPr>
        <w:t>Le carburant utilisé est celui qui est disponible sur le marché.</w:t>
      </w:r>
      <w:r>
        <w:rPr>
          <w:lang w:val="fr-FR"/>
        </w:rPr>
        <w:t xml:space="preserve"> </w:t>
      </w:r>
      <w:r>
        <w:rPr>
          <w:b/>
          <w:bCs/>
          <w:lang w:val="fr-FR"/>
        </w:rPr>
        <w:t>En cas de contestation, on choisit le carburant spécifié dans la norme ISO</w:t>
      </w:r>
      <w:r w:rsidR="00037A73">
        <w:rPr>
          <w:b/>
          <w:bCs/>
          <w:lang w:val="fr-FR"/>
        </w:rPr>
        <w:t> </w:t>
      </w:r>
      <w:r>
        <w:rPr>
          <w:b/>
          <w:bCs/>
          <w:lang w:val="fr-FR"/>
        </w:rPr>
        <w:t>14687:2019 comme carburant de classe D. </w:t>
      </w:r>
      <w:r w:rsidRPr="006642A9">
        <w:rPr>
          <w:lang w:val="fr-FR"/>
        </w:rPr>
        <w:t>».</w:t>
      </w:r>
    </w:p>
    <w:p w14:paraId="666C8F3E" w14:textId="4D23685F" w:rsidR="00134B58" w:rsidRPr="006642A9" w:rsidRDefault="00037A73" w:rsidP="00037A73">
      <w:pPr>
        <w:pStyle w:val="HChG"/>
        <w:rPr>
          <w:sz w:val="40"/>
          <w:lang w:val="fr-FR"/>
        </w:rPr>
      </w:pPr>
      <w:r>
        <w:rPr>
          <w:lang w:val="fr-FR"/>
        </w:rPr>
        <w:tab/>
      </w:r>
      <w:r w:rsidR="00134B58" w:rsidRPr="00243760">
        <w:rPr>
          <w:lang w:val="fr-FR"/>
        </w:rPr>
        <w:t>II.</w:t>
      </w:r>
      <w:r w:rsidR="00134B58" w:rsidRPr="00243760">
        <w:rPr>
          <w:lang w:val="fr-FR"/>
        </w:rPr>
        <w:tab/>
        <w:t>Justification</w:t>
      </w:r>
    </w:p>
    <w:p w14:paraId="6DC023B9" w14:textId="26620D3F" w:rsidR="00134B58" w:rsidRPr="006642A9" w:rsidRDefault="00134B58" w:rsidP="00037A73">
      <w:pPr>
        <w:pStyle w:val="SingleTxtG"/>
        <w:rPr>
          <w:lang w:val="fr-FR"/>
        </w:rPr>
      </w:pPr>
      <w:r>
        <w:rPr>
          <w:lang w:val="fr-FR"/>
        </w:rPr>
        <w:t>1.</w:t>
      </w:r>
      <w:r>
        <w:rPr>
          <w:lang w:val="fr-FR"/>
        </w:rPr>
        <w:tab/>
        <w:t>L’utilisation de carburants d’essai est autorisée en Europe pour les essais d’homologation portant sur les gaz polluants et les particules,</w:t>
      </w:r>
      <w:r w:rsidR="005A7B39">
        <w:rPr>
          <w:lang w:val="fr-FR"/>
        </w:rPr>
        <w:t xml:space="preserve"> </w:t>
      </w:r>
      <w:r>
        <w:rPr>
          <w:lang w:val="fr-FR"/>
        </w:rPr>
        <w:t>ainsi que les essais portant sur la puissance et les fumées. Toutefois, d’autres pays ayant adopté et incorporé le Règlement ONU n</w:t>
      </w:r>
      <w:r w:rsidRPr="00C27A99">
        <w:rPr>
          <w:vertAlign w:val="superscript"/>
          <w:lang w:val="fr-FR"/>
        </w:rPr>
        <w:t>o</w:t>
      </w:r>
      <w:r>
        <w:rPr>
          <w:lang w:val="fr-FR"/>
        </w:rPr>
        <w:t xml:space="preserve"> 85 peuvent ne pas l’autoriser. Dans ce cas, les constructeurs doivent préparer des carburants aux caractéristiques différentes, ce qui est coûteux et prend beaucoup de temps compte tenu de l’incertitude de la situation actuelle. </w:t>
      </w:r>
    </w:p>
    <w:p w14:paraId="7F27671D" w14:textId="7A658D27" w:rsidR="00134B58" w:rsidRPr="006642A9" w:rsidRDefault="00134B58" w:rsidP="00037A73">
      <w:pPr>
        <w:pStyle w:val="SingleTxtG"/>
        <w:rPr>
          <w:lang w:val="fr-FR"/>
        </w:rPr>
      </w:pPr>
      <w:r>
        <w:rPr>
          <w:lang w:val="fr-FR"/>
        </w:rPr>
        <w:t>2.</w:t>
      </w:r>
      <w:r>
        <w:rPr>
          <w:lang w:val="fr-FR"/>
        </w:rPr>
        <w:tab/>
        <w:t>L’OICA estime que l’utilisation de carburants d’essai pour les essais portant sur les gaz polluants et les particules devrait être une priorité</w:t>
      </w:r>
      <w:r w:rsidR="005A7B39">
        <w:rPr>
          <w:lang w:val="fr-FR"/>
        </w:rPr>
        <w:t xml:space="preserve"> </w:t>
      </w:r>
      <w:r>
        <w:rPr>
          <w:lang w:val="fr-FR"/>
        </w:rPr>
        <w:t>en tant que condition préalable à l’entrée en vigueur de niveaux d’émission plus stricts.</w:t>
      </w:r>
    </w:p>
    <w:p w14:paraId="25ABCDEE" w14:textId="105C13B7" w:rsidR="00134B58" w:rsidRPr="006642A9" w:rsidRDefault="00134B58" w:rsidP="00037A73">
      <w:pPr>
        <w:pStyle w:val="SingleTxtG"/>
        <w:rPr>
          <w:lang w:val="fr-FR"/>
        </w:rPr>
      </w:pPr>
      <w:r>
        <w:rPr>
          <w:lang w:val="fr-FR"/>
        </w:rPr>
        <w:t>3.</w:t>
      </w:r>
      <w:r>
        <w:rPr>
          <w:lang w:val="fr-FR"/>
        </w:rPr>
        <w:tab/>
        <w:t>Les véhicules fonctionnant à l’hydrogène relèvent du Règlement ONU n</w:t>
      </w:r>
      <w:r>
        <w:rPr>
          <w:vertAlign w:val="superscript"/>
          <w:lang w:val="fr-FR"/>
        </w:rPr>
        <w:t>o</w:t>
      </w:r>
      <w:r>
        <w:rPr>
          <w:lang w:val="fr-FR"/>
        </w:rPr>
        <w:t> 83, mais l’hydrogène n’est pas encore visé par les Règlements ONU n</w:t>
      </w:r>
      <w:r>
        <w:rPr>
          <w:vertAlign w:val="superscript"/>
          <w:lang w:val="fr-FR"/>
        </w:rPr>
        <w:t>os</w:t>
      </w:r>
      <w:r w:rsidR="00037A73">
        <w:rPr>
          <w:lang w:val="fr-FR"/>
        </w:rPr>
        <w:t> </w:t>
      </w:r>
      <w:r>
        <w:rPr>
          <w:lang w:val="fr-FR"/>
        </w:rPr>
        <w:t>49 et 85.</w:t>
      </w:r>
    </w:p>
    <w:p w14:paraId="4B07E9D1" w14:textId="40DEF999" w:rsidR="00134B58" w:rsidRPr="006642A9" w:rsidRDefault="00134B58" w:rsidP="00037A73">
      <w:pPr>
        <w:pStyle w:val="SingleTxtG"/>
        <w:rPr>
          <w:lang w:val="fr-FR"/>
        </w:rPr>
      </w:pPr>
      <w:r>
        <w:rPr>
          <w:lang w:val="fr-FR"/>
        </w:rPr>
        <w:t>4.</w:t>
      </w:r>
      <w:r>
        <w:rPr>
          <w:lang w:val="fr-FR"/>
        </w:rPr>
        <w:tab/>
        <w:t>Les moteurs à hydrogène pourraient faire partie des moyens de réduire les émissions de CO</w:t>
      </w:r>
      <w:r>
        <w:rPr>
          <w:vertAlign w:val="subscript"/>
          <w:lang w:val="fr-FR"/>
        </w:rPr>
        <w:t>2</w:t>
      </w:r>
      <w:r>
        <w:rPr>
          <w:lang w:val="fr-FR"/>
        </w:rPr>
        <w:t xml:space="preserve"> des futurs véhicules utilitaires lourds.</w:t>
      </w:r>
    </w:p>
    <w:p w14:paraId="09A1E646" w14:textId="033FB69B" w:rsidR="00134B58" w:rsidRDefault="00134B58" w:rsidP="00037A73">
      <w:pPr>
        <w:pStyle w:val="SingleTxtG"/>
        <w:rPr>
          <w:lang w:val="fr-FR"/>
        </w:rPr>
      </w:pPr>
      <w:r>
        <w:rPr>
          <w:lang w:val="fr-FR"/>
        </w:rPr>
        <w:t>5.</w:t>
      </w:r>
      <w:r>
        <w:rPr>
          <w:lang w:val="fr-FR"/>
        </w:rPr>
        <w:tab/>
        <w:t>En conséquence, il convient</w:t>
      </w:r>
      <w:r w:rsidR="005A7B39">
        <w:rPr>
          <w:lang w:val="fr-FR"/>
        </w:rPr>
        <w:t xml:space="preserve"> </w:t>
      </w:r>
      <w:r>
        <w:rPr>
          <w:lang w:val="fr-FR"/>
        </w:rPr>
        <w:t>de prévoir l’alimentation en hydrogène dans les Règlements ONU n</w:t>
      </w:r>
      <w:r>
        <w:rPr>
          <w:vertAlign w:val="superscript"/>
          <w:lang w:val="fr-FR"/>
        </w:rPr>
        <w:t>os</w:t>
      </w:r>
      <w:r w:rsidR="00037A73">
        <w:rPr>
          <w:lang w:val="fr-FR"/>
        </w:rPr>
        <w:t> </w:t>
      </w:r>
      <w:r>
        <w:rPr>
          <w:lang w:val="fr-FR"/>
        </w:rPr>
        <w:t>49 et 85 afin d’assurer une meilleure harmonisation de ces Règlements avec le Règlement ONU n</w:t>
      </w:r>
      <w:r>
        <w:rPr>
          <w:vertAlign w:val="superscript"/>
          <w:lang w:val="fr-FR"/>
        </w:rPr>
        <w:t>o</w:t>
      </w:r>
      <w:r>
        <w:rPr>
          <w:lang w:val="fr-FR"/>
        </w:rPr>
        <w:t> 83.</w:t>
      </w:r>
    </w:p>
    <w:p w14:paraId="7678A849" w14:textId="580958F7" w:rsidR="00037A73" w:rsidRPr="00037A73" w:rsidRDefault="00037A73" w:rsidP="00037A73">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037A73" w:rsidRPr="00037A73" w:rsidSect="0095221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C613D" w14:textId="77777777" w:rsidR="008833F5" w:rsidRDefault="008833F5" w:rsidP="00F95C08">
      <w:pPr>
        <w:spacing w:line="240" w:lineRule="auto"/>
      </w:pPr>
    </w:p>
  </w:endnote>
  <w:endnote w:type="continuationSeparator" w:id="0">
    <w:p w14:paraId="0010354C" w14:textId="77777777" w:rsidR="008833F5" w:rsidRPr="00AC3823" w:rsidRDefault="008833F5" w:rsidP="00AC3823">
      <w:pPr>
        <w:pStyle w:val="Pieddepage"/>
      </w:pPr>
    </w:p>
  </w:endnote>
  <w:endnote w:type="continuationNotice" w:id="1">
    <w:p w14:paraId="1268F473" w14:textId="77777777" w:rsidR="008833F5" w:rsidRDefault="008833F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E2D98" w14:textId="1688D7FD" w:rsidR="00952215" w:rsidRPr="00952215" w:rsidRDefault="00952215" w:rsidP="00952215">
    <w:pPr>
      <w:pStyle w:val="Pieddepage"/>
      <w:tabs>
        <w:tab w:val="right" w:pos="9638"/>
      </w:tabs>
    </w:pPr>
    <w:r w:rsidRPr="00952215">
      <w:rPr>
        <w:b/>
        <w:sz w:val="18"/>
      </w:rPr>
      <w:fldChar w:fldCharType="begin"/>
    </w:r>
    <w:r w:rsidRPr="00952215">
      <w:rPr>
        <w:b/>
        <w:sz w:val="18"/>
      </w:rPr>
      <w:instrText xml:space="preserve"> PAGE  \* MERGEFORMAT </w:instrText>
    </w:r>
    <w:r w:rsidRPr="00952215">
      <w:rPr>
        <w:b/>
        <w:sz w:val="18"/>
      </w:rPr>
      <w:fldChar w:fldCharType="separate"/>
    </w:r>
    <w:r w:rsidRPr="00952215">
      <w:rPr>
        <w:b/>
        <w:noProof/>
        <w:sz w:val="18"/>
      </w:rPr>
      <w:t>2</w:t>
    </w:r>
    <w:r w:rsidRPr="00952215">
      <w:rPr>
        <w:b/>
        <w:sz w:val="18"/>
      </w:rPr>
      <w:fldChar w:fldCharType="end"/>
    </w:r>
    <w:r>
      <w:rPr>
        <w:b/>
        <w:sz w:val="18"/>
      </w:rPr>
      <w:tab/>
    </w:r>
    <w:r>
      <w:t>GE.22-17579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E28AA" w14:textId="2BD7A310" w:rsidR="00952215" w:rsidRPr="00952215" w:rsidRDefault="00952215" w:rsidP="00952215">
    <w:pPr>
      <w:pStyle w:val="Pieddepage"/>
      <w:tabs>
        <w:tab w:val="right" w:pos="9638"/>
      </w:tabs>
      <w:rPr>
        <w:b/>
        <w:sz w:val="18"/>
      </w:rPr>
    </w:pPr>
    <w:r>
      <w:t>GE.22-17579</w:t>
    </w:r>
    <w:r>
      <w:tab/>
    </w:r>
    <w:r w:rsidRPr="00952215">
      <w:rPr>
        <w:b/>
        <w:sz w:val="18"/>
      </w:rPr>
      <w:fldChar w:fldCharType="begin"/>
    </w:r>
    <w:r w:rsidRPr="00952215">
      <w:rPr>
        <w:b/>
        <w:sz w:val="18"/>
      </w:rPr>
      <w:instrText xml:space="preserve"> PAGE  \* MERGEFORMAT </w:instrText>
    </w:r>
    <w:r w:rsidRPr="00952215">
      <w:rPr>
        <w:b/>
        <w:sz w:val="18"/>
      </w:rPr>
      <w:fldChar w:fldCharType="separate"/>
    </w:r>
    <w:r w:rsidRPr="00952215">
      <w:rPr>
        <w:b/>
        <w:noProof/>
        <w:sz w:val="18"/>
      </w:rPr>
      <w:t>3</w:t>
    </w:r>
    <w:r w:rsidRPr="0095221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87433" w14:textId="7B331E24" w:rsidR="007F20FA" w:rsidRPr="00952215" w:rsidRDefault="00952215" w:rsidP="00952215">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5B319629" wp14:editId="025E8D77">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22-17579  (F)</w:t>
    </w:r>
    <w:r>
      <w:rPr>
        <w:noProof/>
        <w:sz w:val="20"/>
      </w:rPr>
      <w:drawing>
        <wp:anchor distT="0" distB="0" distL="114300" distR="114300" simplePos="0" relativeHeight="251660288" behindDoc="0" locked="0" layoutInCell="1" allowOverlap="1" wp14:anchorId="4F930D19" wp14:editId="02E162B8">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071122    071122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1E235" w14:textId="77777777" w:rsidR="008833F5" w:rsidRPr="00AC3823" w:rsidRDefault="008833F5" w:rsidP="00AC3823">
      <w:pPr>
        <w:pStyle w:val="Pieddepage"/>
        <w:tabs>
          <w:tab w:val="right" w:pos="2155"/>
        </w:tabs>
        <w:spacing w:after="80" w:line="240" w:lineRule="atLeast"/>
        <w:ind w:left="680"/>
        <w:rPr>
          <w:u w:val="single"/>
        </w:rPr>
      </w:pPr>
      <w:r>
        <w:rPr>
          <w:u w:val="single"/>
        </w:rPr>
        <w:tab/>
      </w:r>
    </w:p>
  </w:footnote>
  <w:footnote w:type="continuationSeparator" w:id="0">
    <w:p w14:paraId="4BC17B34" w14:textId="77777777" w:rsidR="008833F5" w:rsidRPr="00AC3823" w:rsidRDefault="008833F5" w:rsidP="00AC3823">
      <w:pPr>
        <w:pStyle w:val="Pieddepage"/>
        <w:tabs>
          <w:tab w:val="right" w:pos="2155"/>
        </w:tabs>
        <w:spacing w:after="80" w:line="240" w:lineRule="atLeast"/>
        <w:ind w:left="680"/>
        <w:rPr>
          <w:u w:val="single"/>
        </w:rPr>
      </w:pPr>
      <w:r>
        <w:rPr>
          <w:u w:val="single"/>
        </w:rPr>
        <w:tab/>
      </w:r>
    </w:p>
  </w:footnote>
  <w:footnote w:type="continuationNotice" w:id="1">
    <w:p w14:paraId="1C1A6331" w14:textId="77777777" w:rsidR="008833F5" w:rsidRPr="00AC3823" w:rsidRDefault="008833F5">
      <w:pPr>
        <w:spacing w:line="240" w:lineRule="auto"/>
        <w:rPr>
          <w:sz w:val="2"/>
          <w:szCs w:val="2"/>
        </w:rPr>
      </w:pPr>
    </w:p>
  </w:footnote>
  <w:footnote w:id="2">
    <w:p w14:paraId="6589599F" w14:textId="06AF6902" w:rsidR="00134B58" w:rsidRDefault="00134B58" w:rsidP="00134B58">
      <w:pPr>
        <w:pStyle w:val="Notedebasdepage"/>
        <w:rPr>
          <w:lang w:val="fr-FR"/>
        </w:rPr>
      </w:pPr>
      <w:r w:rsidRPr="00037A73">
        <w:rPr>
          <w:sz w:val="20"/>
          <w:szCs w:val="22"/>
          <w:lang w:val="fr-FR"/>
        </w:rPr>
        <w:tab/>
        <w:t>*</w:t>
      </w:r>
      <w:r w:rsidRPr="00037A73">
        <w:rPr>
          <w:sz w:val="20"/>
          <w:szCs w:val="22"/>
          <w:lang w:val="fr-FR"/>
        </w:rPr>
        <w:tab/>
      </w:r>
      <w:r>
        <w:rPr>
          <w:lang w:val="fr-FR"/>
        </w:rPr>
        <w:t>Conformément au programme de travail du Comité des transports intérieurs pour 2023 tel qu’il figure dans le projet de budget-programme pour 2023 (A/77/6 (Sect. 20), tableau 20.6), le Forum mondial a pour mission d’élaborer, d’harmoniser et de mettre à jour les Règlements ONU en vue d’améliorer les caractéristiques fonctionnelles des véhicules. Le présent document est soumis en vertu de ce mandat.</w:t>
      </w:r>
    </w:p>
    <w:p w14:paraId="125C2D99" w14:textId="77777777" w:rsidR="00037A73" w:rsidRPr="006642A9" w:rsidRDefault="00037A73" w:rsidP="00134B58">
      <w:pPr>
        <w:pStyle w:val="Notedebasdepage"/>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1E3EE" w14:textId="1A4704CC" w:rsidR="00952215" w:rsidRPr="00952215" w:rsidRDefault="00952215">
    <w:pPr>
      <w:pStyle w:val="En-tte"/>
    </w:pPr>
    <w:fldSimple w:instr=" TITLE  \* MERGEFORMAT ">
      <w:r w:rsidR="00CB1784">
        <w:t>ECE/TRANS/WP.29/GRPE/2023/7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AFD56" w14:textId="70E0EBE5" w:rsidR="00952215" w:rsidRPr="00952215" w:rsidRDefault="00952215" w:rsidP="00952215">
    <w:pPr>
      <w:pStyle w:val="En-tte"/>
      <w:jc w:val="right"/>
    </w:pPr>
    <w:fldSimple w:instr=" TITLE  \* MERGEFORMAT ">
      <w:r w:rsidR="00CB1784">
        <w:t>ECE/TRANS/WP.29/GRPE/2023/7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3F5"/>
    <w:rsid w:val="00017F94"/>
    <w:rsid w:val="00023842"/>
    <w:rsid w:val="000334F9"/>
    <w:rsid w:val="00037A73"/>
    <w:rsid w:val="00045FEB"/>
    <w:rsid w:val="0007796D"/>
    <w:rsid w:val="000B7790"/>
    <w:rsid w:val="00111F2F"/>
    <w:rsid w:val="00134B58"/>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B720F"/>
    <w:rsid w:val="004E2EED"/>
    <w:rsid w:val="004E468C"/>
    <w:rsid w:val="005505B7"/>
    <w:rsid w:val="00573BE5"/>
    <w:rsid w:val="00586ED3"/>
    <w:rsid w:val="00596AA9"/>
    <w:rsid w:val="005A7B39"/>
    <w:rsid w:val="0071601D"/>
    <w:rsid w:val="007A62E6"/>
    <w:rsid w:val="007F20FA"/>
    <w:rsid w:val="0080684C"/>
    <w:rsid w:val="00871C75"/>
    <w:rsid w:val="008776DC"/>
    <w:rsid w:val="008833F5"/>
    <w:rsid w:val="008D5EF9"/>
    <w:rsid w:val="009446C0"/>
    <w:rsid w:val="00952215"/>
    <w:rsid w:val="009705C8"/>
    <w:rsid w:val="009C1CF4"/>
    <w:rsid w:val="009F6434"/>
    <w:rsid w:val="009F6B74"/>
    <w:rsid w:val="00A3029F"/>
    <w:rsid w:val="00A30353"/>
    <w:rsid w:val="00AC3823"/>
    <w:rsid w:val="00AE323C"/>
    <w:rsid w:val="00AF0CB5"/>
    <w:rsid w:val="00B00181"/>
    <w:rsid w:val="00B00B0D"/>
    <w:rsid w:val="00B45F2E"/>
    <w:rsid w:val="00B765F7"/>
    <w:rsid w:val="00B77993"/>
    <w:rsid w:val="00BA0CA9"/>
    <w:rsid w:val="00C02897"/>
    <w:rsid w:val="00C27A99"/>
    <w:rsid w:val="00C97039"/>
    <w:rsid w:val="00CB1784"/>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7498C7"/>
  <w15:docId w15:val="{29D35CA6-2812-4068-A980-8905E0F8B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TotalTime>
  <Pages>2</Pages>
  <Words>503</Words>
  <Characters>3523</Characters>
  <Application>Microsoft Office Word</Application>
  <DocSecurity>0</DocSecurity>
  <Lines>293</Lines>
  <Paragraphs>161</Paragraphs>
  <ScaleCrop>false</ScaleCrop>
  <HeadingPairs>
    <vt:vector size="2" baseType="variant">
      <vt:variant>
        <vt:lpstr>Titre</vt:lpstr>
      </vt:variant>
      <vt:variant>
        <vt:i4>1</vt:i4>
      </vt:variant>
    </vt:vector>
  </HeadingPairs>
  <TitlesOfParts>
    <vt:vector size="1" baseType="lpstr">
      <vt:lpstr>ECE/TRANS/WP.29/GRPE/2023/7</vt:lpstr>
    </vt:vector>
  </TitlesOfParts>
  <Company>DCM</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ECE/TRANS/WP.29/GRPE/2023/7</dc:title>
  <dc:subject/>
  <dc:creator>Christine CHAUTAGNAT</dc:creator>
  <cp:keywords/>
  <cp:lastModifiedBy>Christine Chautagnat</cp:lastModifiedBy>
  <cp:revision>3</cp:revision>
  <cp:lastPrinted>2022-11-07T14:57:00Z</cp:lastPrinted>
  <dcterms:created xsi:type="dcterms:W3CDTF">2022-11-07T14:57:00Z</dcterms:created>
  <dcterms:modified xsi:type="dcterms:W3CDTF">2022-11-07T14:58:00Z</dcterms:modified>
</cp:coreProperties>
</file>