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4E3F2D7" w14:textId="77777777" w:rsidTr="00C97039">
        <w:trPr>
          <w:trHeight w:hRule="exact" w:val="851"/>
        </w:trPr>
        <w:tc>
          <w:tcPr>
            <w:tcW w:w="1276" w:type="dxa"/>
            <w:tcBorders>
              <w:bottom w:val="single" w:sz="4" w:space="0" w:color="auto"/>
            </w:tcBorders>
          </w:tcPr>
          <w:p w14:paraId="03BA3BD6" w14:textId="77777777" w:rsidR="00F35BAF" w:rsidRPr="00DB58B5" w:rsidRDefault="00F35BAF" w:rsidP="00EC6F9A"/>
        </w:tc>
        <w:tc>
          <w:tcPr>
            <w:tcW w:w="2268" w:type="dxa"/>
            <w:tcBorders>
              <w:bottom w:val="single" w:sz="4" w:space="0" w:color="auto"/>
            </w:tcBorders>
            <w:vAlign w:val="bottom"/>
          </w:tcPr>
          <w:p w14:paraId="1A962AA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EE2A93" w14:textId="47A5882D" w:rsidR="00F35BAF" w:rsidRPr="00DB58B5" w:rsidRDefault="00EC6F9A" w:rsidP="00EC6F9A">
            <w:pPr>
              <w:jc w:val="right"/>
            </w:pPr>
            <w:r w:rsidRPr="00EC6F9A">
              <w:rPr>
                <w:sz w:val="40"/>
              </w:rPr>
              <w:t>ECE</w:t>
            </w:r>
            <w:r>
              <w:t>/TRANS/WP.15/AC.1/2023/4</w:t>
            </w:r>
          </w:p>
        </w:tc>
      </w:tr>
      <w:tr w:rsidR="00F35BAF" w:rsidRPr="00DB58B5" w14:paraId="05A38DF3" w14:textId="77777777" w:rsidTr="001C3074">
        <w:trPr>
          <w:trHeight w:hRule="exact" w:val="2413"/>
        </w:trPr>
        <w:tc>
          <w:tcPr>
            <w:tcW w:w="1276" w:type="dxa"/>
            <w:tcBorders>
              <w:top w:val="single" w:sz="4" w:space="0" w:color="auto"/>
              <w:bottom w:val="single" w:sz="12" w:space="0" w:color="auto"/>
            </w:tcBorders>
          </w:tcPr>
          <w:p w14:paraId="37E7E6BE" w14:textId="77777777" w:rsidR="00F35BAF" w:rsidRPr="00DB58B5" w:rsidRDefault="00F35BAF" w:rsidP="00C97039">
            <w:pPr>
              <w:spacing w:before="120"/>
              <w:jc w:val="center"/>
            </w:pPr>
            <w:r>
              <w:rPr>
                <w:noProof/>
                <w:lang w:eastAsia="fr-CH"/>
              </w:rPr>
              <w:drawing>
                <wp:inline distT="0" distB="0" distL="0" distR="0" wp14:anchorId="47663CE4" wp14:editId="383AC8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8BC92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2CFFE2E" w14:textId="77777777" w:rsidR="00F35BAF" w:rsidRDefault="00EC6F9A" w:rsidP="00C97039">
            <w:pPr>
              <w:spacing w:before="240"/>
            </w:pPr>
            <w:r>
              <w:t xml:space="preserve">Distr. </w:t>
            </w:r>
            <w:proofErr w:type="gramStart"/>
            <w:r>
              <w:t>générale</w:t>
            </w:r>
            <w:proofErr w:type="gramEnd"/>
          </w:p>
          <w:p w14:paraId="56ED5A5F" w14:textId="77777777" w:rsidR="00EC6F9A" w:rsidRDefault="00EC6F9A" w:rsidP="00EC6F9A">
            <w:pPr>
              <w:spacing w:line="240" w:lineRule="exact"/>
            </w:pPr>
            <w:r>
              <w:t>21 novembre 2022</w:t>
            </w:r>
          </w:p>
          <w:p w14:paraId="59CB6979" w14:textId="77777777" w:rsidR="00EC6F9A" w:rsidRDefault="00EC6F9A" w:rsidP="00EC6F9A">
            <w:pPr>
              <w:spacing w:line="240" w:lineRule="exact"/>
            </w:pPr>
            <w:r>
              <w:t>Français</w:t>
            </w:r>
          </w:p>
          <w:p w14:paraId="4BB1F8D3" w14:textId="14E5CCE5" w:rsidR="00EC6F9A" w:rsidRPr="00DB58B5" w:rsidRDefault="00EC6F9A" w:rsidP="00EC6F9A">
            <w:pPr>
              <w:spacing w:line="240" w:lineRule="exact"/>
            </w:pPr>
            <w:r>
              <w:t>Original : anglais</w:t>
            </w:r>
          </w:p>
        </w:tc>
      </w:tr>
    </w:tbl>
    <w:p w14:paraId="6E8947D7" w14:textId="77777777" w:rsidR="007F20FA" w:rsidRPr="000312C0" w:rsidRDefault="007F20FA" w:rsidP="007F20FA">
      <w:pPr>
        <w:spacing w:before="120"/>
        <w:rPr>
          <w:b/>
          <w:sz w:val="28"/>
          <w:szCs w:val="28"/>
        </w:rPr>
      </w:pPr>
      <w:r w:rsidRPr="000312C0">
        <w:rPr>
          <w:b/>
          <w:sz w:val="28"/>
          <w:szCs w:val="28"/>
        </w:rPr>
        <w:t>Commission économique pour l’Europe</w:t>
      </w:r>
    </w:p>
    <w:p w14:paraId="2395F586" w14:textId="77777777" w:rsidR="007F20FA" w:rsidRDefault="007F20FA" w:rsidP="007F20FA">
      <w:pPr>
        <w:spacing w:before="120"/>
        <w:rPr>
          <w:sz w:val="28"/>
          <w:szCs w:val="28"/>
        </w:rPr>
      </w:pPr>
      <w:r w:rsidRPr="00685843">
        <w:rPr>
          <w:sz w:val="28"/>
          <w:szCs w:val="28"/>
        </w:rPr>
        <w:t>Comité des transports intérieurs</w:t>
      </w:r>
    </w:p>
    <w:p w14:paraId="4DFC1A3E" w14:textId="77777777" w:rsidR="00EC6F9A" w:rsidRPr="0007616F" w:rsidRDefault="00EC6F9A" w:rsidP="00EC6F9A">
      <w:pPr>
        <w:spacing w:before="120"/>
        <w:rPr>
          <w:b/>
          <w:sz w:val="32"/>
          <w:szCs w:val="32"/>
          <w:lang w:val="fr-FR"/>
        </w:rPr>
      </w:pPr>
      <w:r w:rsidRPr="0007616F">
        <w:rPr>
          <w:b/>
          <w:bCs/>
          <w:sz w:val="24"/>
          <w:szCs w:val="24"/>
          <w:lang w:val="fr-FR"/>
        </w:rPr>
        <w:t>Groupe de travail des transports de marchandises dangereuses</w:t>
      </w:r>
    </w:p>
    <w:p w14:paraId="5B87A379" w14:textId="59CE7E6E" w:rsidR="00EC6F9A" w:rsidRPr="00B92BE0" w:rsidRDefault="00EC6F9A" w:rsidP="00EC6F9A">
      <w:pPr>
        <w:spacing w:before="120"/>
        <w:rPr>
          <w:b/>
          <w:lang w:val="fr-FR"/>
        </w:rPr>
      </w:pPr>
      <w:r w:rsidRPr="00B92BE0">
        <w:rPr>
          <w:b/>
          <w:bCs/>
          <w:lang w:val="fr-FR"/>
        </w:rPr>
        <w:t>Réunion commune de la Commission d</w:t>
      </w:r>
      <w:r>
        <w:rPr>
          <w:b/>
          <w:bCs/>
          <w:lang w:val="fr-FR"/>
        </w:rPr>
        <w:t>’</w:t>
      </w:r>
      <w:r w:rsidRPr="00B92BE0">
        <w:rPr>
          <w:b/>
          <w:bCs/>
          <w:lang w:val="fr-FR"/>
        </w:rPr>
        <w:t xml:space="preserve">experts du RID et du Groupe </w:t>
      </w:r>
      <w:r w:rsidR="00CD1C1A">
        <w:rPr>
          <w:b/>
          <w:bCs/>
          <w:lang w:val="fr-FR"/>
        </w:rPr>
        <w:br/>
      </w:r>
      <w:r w:rsidRPr="00B92BE0">
        <w:rPr>
          <w:b/>
          <w:bCs/>
          <w:lang w:val="fr-FR"/>
        </w:rPr>
        <w:t xml:space="preserve">de travail des transports de marchandises dangereuses </w:t>
      </w:r>
      <w:r w:rsidR="00CD1C1A">
        <w:rPr>
          <w:b/>
          <w:bCs/>
          <w:lang w:val="fr-FR"/>
        </w:rPr>
        <w:br/>
      </w:r>
      <w:r w:rsidRPr="00B92BE0">
        <w:rPr>
          <w:b/>
          <w:bCs/>
          <w:lang w:val="fr-FR"/>
        </w:rPr>
        <w:t>(Réunion commune RID/ADR/ADN)</w:t>
      </w:r>
    </w:p>
    <w:p w14:paraId="7D9748D2" w14:textId="77777777" w:rsidR="00EC6F9A" w:rsidRPr="00B92BE0" w:rsidRDefault="00EC6F9A" w:rsidP="00EC6F9A">
      <w:pPr>
        <w:rPr>
          <w:lang w:val="fr-FR"/>
        </w:rPr>
      </w:pPr>
      <w:r w:rsidRPr="00B92BE0">
        <w:rPr>
          <w:lang w:val="fr-FR"/>
        </w:rPr>
        <w:t>Berne, 20-24 mars 2023</w:t>
      </w:r>
    </w:p>
    <w:p w14:paraId="2FD1A7C3" w14:textId="77777777" w:rsidR="00EC6F9A" w:rsidRPr="00B92BE0" w:rsidRDefault="00EC6F9A" w:rsidP="00EC6F9A">
      <w:pPr>
        <w:rPr>
          <w:lang w:val="fr-FR"/>
        </w:rPr>
      </w:pPr>
      <w:r w:rsidRPr="00B92BE0">
        <w:rPr>
          <w:lang w:val="fr-FR"/>
        </w:rPr>
        <w:t>Point 5 b) de l</w:t>
      </w:r>
      <w:r>
        <w:rPr>
          <w:lang w:val="fr-FR"/>
        </w:rPr>
        <w:t>’</w:t>
      </w:r>
      <w:r w:rsidRPr="00B92BE0">
        <w:rPr>
          <w:lang w:val="fr-FR"/>
        </w:rPr>
        <w:t>ordre du jour provisoire</w:t>
      </w:r>
    </w:p>
    <w:p w14:paraId="191DA6E7" w14:textId="4C2A4482" w:rsidR="00EC6F9A" w:rsidRPr="00B92BE0" w:rsidRDefault="00EC6F9A" w:rsidP="00EC6F9A">
      <w:pPr>
        <w:rPr>
          <w:b/>
          <w:lang w:val="fr-FR"/>
        </w:rPr>
      </w:pPr>
      <w:r w:rsidRPr="00B92BE0">
        <w:rPr>
          <w:b/>
          <w:bCs/>
          <w:lang w:val="fr-FR"/>
        </w:rPr>
        <w:t>Propositions d</w:t>
      </w:r>
      <w:r>
        <w:rPr>
          <w:b/>
          <w:bCs/>
          <w:lang w:val="fr-FR"/>
        </w:rPr>
        <w:t>’</w:t>
      </w:r>
      <w:r w:rsidRPr="00B92BE0">
        <w:rPr>
          <w:b/>
          <w:bCs/>
          <w:lang w:val="fr-FR"/>
        </w:rPr>
        <w:t>amendements au RID, à l</w:t>
      </w:r>
      <w:r>
        <w:rPr>
          <w:b/>
          <w:bCs/>
          <w:lang w:val="fr-FR"/>
        </w:rPr>
        <w:t>’</w:t>
      </w:r>
      <w:r w:rsidRPr="00B92BE0">
        <w:rPr>
          <w:b/>
          <w:bCs/>
          <w:lang w:val="fr-FR"/>
        </w:rPr>
        <w:t>ADR et à l</w:t>
      </w:r>
      <w:r>
        <w:rPr>
          <w:b/>
          <w:bCs/>
          <w:lang w:val="fr-FR"/>
        </w:rPr>
        <w:t>’</w:t>
      </w:r>
      <w:r w:rsidRPr="00B92BE0">
        <w:rPr>
          <w:b/>
          <w:bCs/>
          <w:lang w:val="fr-FR"/>
        </w:rPr>
        <w:t>ADN</w:t>
      </w:r>
      <w:r w:rsidR="00CD1C1A">
        <w:rPr>
          <w:b/>
          <w:bCs/>
          <w:lang w:val="fr-FR"/>
        </w:rPr>
        <w:t> </w:t>
      </w:r>
      <w:r w:rsidRPr="00B92BE0">
        <w:rPr>
          <w:b/>
          <w:bCs/>
          <w:lang w:val="fr-FR"/>
        </w:rPr>
        <w:t>:</w:t>
      </w:r>
      <w:r w:rsidRPr="00B92BE0">
        <w:rPr>
          <w:lang w:val="fr-FR"/>
        </w:rPr>
        <w:t xml:space="preserve"> </w:t>
      </w:r>
    </w:p>
    <w:p w14:paraId="2198B533" w14:textId="77777777" w:rsidR="00EC6F9A" w:rsidRPr="00B92BE0" w:rsidRDefault="00EC6F9A" w:rsidP="00EC6F9A">
      <w:pPr>
        <w:rPr>
          <w:lang w:val="fr-FR"/>
        </w:rPr>
      </w:pPr>
      <w:proofErr w:type="gramStart"/>
      <w:r w:rsidRPr="00B92BE0">
        <w:rPr>
          <w:b/>
          <w:bCs/>
          <w:lang w:val="fr-FR"/>
        </w:rPr>
        <w:t>nouvelles</w:t>
      </w:r>
      <w:proofErr w:type="gramEnd"/>
      <w:r w:rsidRPr="00B92BE0">
        <w:rPr>
          <w:b/>
          <w:bCs/>
          <w:lang w:val="fr-FR"/>
        </w:rPr>
        <w:t xml:space="preserve"> propositions</w:t>
      </w:r>
    </w:p>
    <w:p w14:paraId="7A6C31BA" w14:textId="77777777" w:rsidR="00EC6F9A" w:rsidRPr="00B92BE0" w:rsidRDefault="00EC6F9A" w:rsidP="00CD1C1A">
      <w:pPr>
        <w:pStyle w:val="HChG"/>
        <w:rPr>
          <w:lang w:val="fr-FR"/>
        </w:rPr>
      </w:pPr>
      <w:r w:rsidRPr="00B92BE0">
        <w:rPr>
          <w:lang w:val="fr-FR"/>
        </w:rPr>
        <w:tab/>
      </w:r>
      <w:r w:rsidRPr="00B92BE0">
        <w:rPr>
          <w:lang w:val="fr-FR"/>
        </w:rPr>
        <w:tab/>
        <w:t>Amendement à la disposition spéciale 668</w:t>
      </w:r>
    </w:p>
    <w:p w14:paraId="23BCA25C" w14:textId="3894FFFB" w:rsidR="00EC6F9A" w:rsidRDefault="00EC6F9A" w:rsidP="00CD1C1A">
      <w:pPr>
        <w:pStyle w:val="H1G"/>
        <w:rPr>
          <w:b w:val="0"/>
          <w:bCs/>
          <w:sz w:val="20"/>
          <w:lang w:val="en-US"/>
        </w:rPr>
      </w:pPr>
      <w:r w:rsidRPr="00B92BE0">
        <w:rPr>
          <w:lang w:val="fr-FR"/>
        </w:rPr>
        <w:tab/>
      </w:r>
      <w:r w:rsidRPr="00B92BE0">
        <w:rPr>
          <w:lang w:val="fr-FR"/>
        </w:rPr>
        <w:tab/>
      </w:r>
      <w:r w:rsidRPr="001E71D4">
        <w:rPr>
          <w:lang w:val="en-US"/>
        </w:rPr>
        <w:t>Communication de l</w:t>
      </w:r>
      <w:r>
        <w:rPr>
          <w:lang w:val="en-US"/>
        </w:rPr>
        <w:t>’</w:t>
      </w:r>
      <w:r w:rsidRPr="001E71D4">
        <w:rPr>
          <w:lang w:val="en-US"/>
        </w:rPr>
        <w:t>International Association of Dangerous Goods Safety Advisers (IASA)</w:t>
      </w:r>
      <w:r w:rsidR="00CD1C1A" w:rsidRPr="00CD1C1A">
        <w:rPr>
          <w:rStyle w:val="FootnoteReference"/>
          <w:b w:val="0"/>
          <w:bCs/>
          <w:sz w:val="20"/>
          <w:vertAlign w:val="baseline"/>
          <w:lang w:val="en-US"/>
        </w:rPr>
        <w:footnoteReference w:customMarkFollows="1" w:id="2"/>
        <w:t>*</w:t>
      </w:r>
      <w:r w:rsidRPr="00CD1C1A">
        <w:rPr>
          <w:b w:val="0"/>
          <w:bCs/>
          <w:sz w:val="20"/>
          <w:vertAlign w:val="superscript"/>
          <w:lang w:val="en-US"/>
        </w:rPr>
        <w:t>,</w:t>
      </w:r>
      <w:r w:rsidR="00CD1C1A" w:rsidRPr="00CD1C1A">
        <w:rPr>
          <w:b w:val="0"/>
          <w:bCs/>
          <w:sz w:val="20"/>
          <w:vertAlign w:val="superscript"/>
          <w:lang w:val="en-US"/>
        </w:rPr>
        <w:t xml:space="preserve"> </w:t>
      </w:r>
      <w:r w:rsidR="00CD1C1A" w:rsidRPr="00CD1C1A">
        <w:rPr>
          <w:rStyle w:val="FootnoteReference"/>
          <w:b w:val="0"/>
          <w:bCs/>
          <w:sz w:val="20"/>
          <w:vertAlign w:val="baseline"/>
          <w:lang w:val="en-US"/>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CD1C1A" w14:paraId="64B56473" w14:textId="77777777" w:rsidTr="001C3074">
        <w:trPr>
          <w:jc w:val="center"/>
        </w:trPr>
        <w:tc>
          <w:tcPr>
            <w:tcW w:w="9628" w:type="dxa"/>
            <w:shd w:val="clear" w:color="auto" w:fill="auto"/>
          </w:tcPr>
          <w:p w14:paraId="1456E5AA" w14:textId="738BDC69" w:rsidR="00CD1C1A" w:rsidRDefault="00CD1C1A" w:rsidP="00CD1C1A">
            <w:pPr>
              <w:numPr>
                <w:ilvl w:val="0"/>
                <w:numId w:val="17"/>
              </w:numPr>
              <w:spacing w:before="240" w:after="120"/>
              <w:rPr>
                <w:i/>
                <w:sz w:val="24"/>
              </w:rPr>
            </w:pPr>
            <w:r>
              <w:rPr>
                <w:i/>
                <w:sz w:val="24"/>
              </w:rPr>
              <w:t>Résumé</w:t>
            </w:r>
          </w:p>
        </w:tc>
      </w:tr>
      <w:tr w:rsidR="00CD1C1A" w14:paraId="0A662AE9" w14:textId="77777777" w:rsidTr="001C3074">
        <w:trPr>
          <w:jc w:val="center"/>
        </w:trPr>
        <w:tc>
          <w:tcPr>
            <w:tcW w:w="9628" w:type="dxa"/>
            <w:shd w:val="clear" w:color="auto" w:fill="auto"/>
          </w:tcPr>
          <w:p w14:paraId="1DDB8ABD" w14:textId="1B764A09" w:rsidR="00CD1C1A" w:rsidRDefault="00CD1C1A" w:rsidP="00CD1C1A">
            <w:pPr>
              <w:pStyle w:val="SingleTxtG"/>
              <w:tabs>
                <w:tab w:val="left" w:pos="3111"/>
              </w:tabs>
              <w:ind w:left="3111" w:hanging="1977"/>
            </w:pPr>
            <w:r w:rsidRPr="00C7718A">
              <w:rPr>
                <w:b/>
                <w:bCs/>
                <w:lang w:val="fr-FR"/>
              </w:rPr>
              <w:t>Résumé</w:t>
            </w:r>
            <w:r>
              <w:rPr>
                <w:b/>
                <w:bCs/>
                <w:lang w:val="fr-FR"/>
              </w:rPr>
              <w:t> </w:t>
            </w:r>
            <w:r w:rsidRPr="00C7718A">
              <w:rPr>
                <w:b/>
                <w:bCs/>
                <w:lang w:val="fr-FR"/>
              </w:rPr>
              <w:t>:</w:t>
            </w:r>
            <w:r w:rsidRPr="00B92BE0">
              <w:rPr>
                <w:lang w:val="fr-FR"/>
              </w:rPr>
              <w:tab/>
              <w:t>La disposition spéciale 668</w:t>
            </w:r>
            <w:r w:rsidRPr="008733B2">
              <w:rPr>
                <w:lang w:val="fr-FR"/>
              </w:rPr>
              <w:t xml:space="preserve"> permet le transport à chaud de matières</w:t>
            </w:r>
            <w:r>
              <w:rPr>
                <w:lang w:val="fr-FR"/>
              </w:rPr>
              <w:t xml:space="preserve"> </w:t>
            </w:r>
            <w:r w:rsidRPr="00B92BE0">
              <w:rPr>
                <w:lang w:val="fr-FR"/>
              </w:rPr>
              <w:t>destinées au marquage routier sans que celles-ci ne soient soumises aux autres prescriptions du RID ou de l</w:t>
            </w:r>
            <w:r>
              <w:rPr>
                <w:lang w:val="fr-FR"/>
              </w:rPr>
              <w:t>’</w:t>
            </w:r>
            <w:r w:rsidRPr="00B92BE0">
              <w:rPr>
                <w:lang w:val="fr-FR"/>
              </w:rPr>
              <w:t>ADR, pour autant que certaines conditions soient réunies.</w:t>
            </w:r>
          </w:p>
        </w:tc>
      </w:tr>
      <w:tr w:rsidR="00CD1C1A" w14:paraId="33F2ABE4" w14:textId="77777777" w:rsidTr="001C3074">
        <w:trPr>
          <w:jc w:val="center"/>
        </w:trPr>
        <w:tc>
          <w:tcPr>
            <w:tcW w:w="9628" w:type="dxa"/>
            <w:shd w:val="clear" w:color="auto" w:fill="auto"/>
          </w:tcPr>
          <w:p w14:paraId="12F3F45F" w14:textId="72D5995C" w:rsidR="00CD1C1A" w:rsidRDefault="00CD1C1A" w:rsidP="00CD1C1A">
            <w:pPr>
              <w:pStyle w:val="SingleTxtG"/>
              <w:ind w:left="3119"/>
            </w:pPr>
            <w:r w:rsidRPr="00B92BE0">
              <w:rPr>
                <w:lang w:val="fr-FR"/>
              </w:rPr>
              <w:t>Le secteur de l</w:t>
            </w:r>
            <w:r>
              <w:rPr>
                <w:lang w:val="fr-FR"/>
              </w:rPr>
              <w:t>’</w:t>
            </w:r>
            <w:r w:rsidRPr="00B92BE0">
              <w:rPr>
                <w:lang w:val="fr-FR"/>
              </w:rPr>
              <w:t>asphalte utilise des matières transportées à chaud à d</w:t>
            </w:r>
            <w:r>
              <w:rPr>
                <w:lang w:val="fr-FR"/>
              </w:rPr>
              <w:t>’autres fins</w:t>
            </w:r>
            <w:r w:rsidRPr="00B92BE0">
              <w:rPr>
                <w:lang w:val="fr-FR"/>
              </w:rPr>
              <w:t xml:space="preserve"> que le marquage routier, par exemple pour sceller et réparer les fissures dans le revêtement des routes.</w:t>
            </w:r>
          </w:p>
        </w:tc>
      </w:tr>
      <w:tr w:rsidR="00CD1C1A" w14:paraId="7A0342EE" w14:textId="77777777" w:rsidTr="001C3074">
        <w:trPr>
          <w:jc w:val="center"/>
        </w:trPr>
        <w:tc>
          <w:tcPr>
            <w:tcW w:w="9628" w:type="dxa"/>
            <w:shd w:val="clear" w:color="auto" w:fill="auto"/>
          </w:tcPr>
          <w:p w14:paraId="4D4C0FB4" w14:textId="06166E27" w:rsidR="00CD1C1A" w:rsidRPr="00B92BE0" w:rsidRDefault="00CD1C1A" w:rsidP="00CD1C1A">
            <w:pPr>
              <w:pStyle w:val="SingleTxtG"/>
              <w:ind w:left="3119"/>
              <w:rPr>
                <w:lang w:val="fr-FR"/>
              </w:rPr>
            </w:pPr>
            <w:r w:rsidRPr="00B92BE0">
              <w:rPr>
                <w:lang w:val="fr-FR"/>
              </w:rPr>
              <w:t xml:space="preserve">La présente proposition vise à </w:t>
            </w:r>
            <w:r>
              <w:rPr>
                <w:lang w:val="fr-FR"/>
              </w:rPr>
              <w:t>prévoir le cas du</w:t>
            </w:r>
            <w:r w:rsidRPr="00B92BE0">
              <w:rPr>
                <w:lang w:val="fr-FR"/>
              </w:rPr>
              <w:t xml:space="preserve"> transport de bitume chaud et d</w:t>
            </w:r>
            <w:r>
              <w:rPr>
                <w:lang w:val="fr-FR"/>
              </w:rPr>
              <w:t>’</w:t>
            </w:r>
            <w:r w:rsidRPr="00B92BE0">
              <w:rPr>
                <w:lang w:val="fr-FR"/>
              </w:rPr>
              <w:t>autres produits analogues destinés à réparer les fissures dans le revêtement des routes</w:t>
            </w:r>
            <w:r>
              <w:rPr>
                <w:lang w:val="fr-FR"/>
              </w:rPr>
              <w:t>.</w:t>
            </w:r>
          </w:p>
        </w:tc>
      </w:tr>
      <w:tr w:rsidR="00CD1C1A" w14:paraId="7AE3CDB7" w14:textId="77777777" w:rsidTr="001C3074">
        <w:trPr>
          <w:jc w:val="center"/>
        </w:trPr>
        <w:tc>
          <w:tcPr>
            <w:tcW w:w="9628" w:type="dxa"/>
            <w:shd w:val="clear" w:color="auto" w:fill="auto"/>
          </w:tcPr>
          <w:p w14:paraId="3957DDC6" w14:textId="73F52B60" w:rsidR="00CD1C1A" w:rsidRDefault="00CD1C1A" w:rsidP="00CD1C1A">
            <w:pPr>
              <w:pStyle w:val="SingleTxtG"/>
              <w:ind w:left="3119"/>
            </w:pPr>
            <w:r w:rsidRPr="00CD1C1A">
              <w:rPr>
                <w:spacing w:val="-2"/>
                <w:lang w:val="fr-FR"/>
              </w:rPr>
              <w:t>L’IASA a déjà soumis, sous la cote ECE/TRANS/WP.15/AC.1/2022/6, une proposition semblable qui a été révisée compte tenu des observations formulées lors des précédentes réunions.</w:t>
            </w:r>
          </w:p>
        </w:tc>
      </w:tr>
      <w:tr w:rsidR="00CD1C1A" w14:paraId="07D62ED6" w14:textId="77777777" w:rsidTr="001C3074">
        <w:trPr>
          <w:jc w:val="center"/>
        </w:trPr>
        <w:tc>
          <w:tcPr>
            <w:tcW w:w="9628" w:type="dxa"/>
            <w:shd w:val="clear" w:color="auto" w:fill="auto"/>
          </w:tcPr>
          <w:p w14:paraId="2253E71E" w14:textId="0AB77D82" w:rsidR="00CD1C1A" w:rsidRDefault="00CD1C1A" w:rsidP="00CD1C1A">
            <w:pPr>
              <w:pStyle w:val="SingleTxtG"/>
              <w:tabs>
                <w:tab w:val="left" w:pos="3111"/>
              </w:tabs>
              <w:ind w:left="3111" w:hanging="1977"/>
            </w:pPr>
            <w:r w:rsidRPr="002D2823">
              <w:rPr>
                <w:b/>
                <w:bCs/>
                <w:lang w:val="fr-FR"/>
              </w:rPr>
              <w:t>Mesures à prendre</w:t>
            </w:r>
            <w:r>
              <w:rPr>
                <w:b/>
                <w:bCs/>
                <w:lang w:val="fr-FR"/>
              </w:rPr>
              <w:t> :</w:t>
            </w:r>
            <w:r>
              <w:rPr>
                <w:b/>
                <w:bCs/>
                <w:lang w:val="fr-FR"/>
              </w:rPr>
              <w:tab/>
            </w:r>
            <w:r w:rsidRPr="00B92BE0">
              <w:rPr>
                <w:lang w:val="fr-FR"/>
              </w:rPr>
              <w:t>Modifier la disposition spéciale 668 afin que le transport à chaud vers les chantiers des matières destinées à la remise en état des routes et leur utilisation sur les chantiers ne soient pas soumis aux prescriptions de la classe 9.</w:t>
            </w:r>
          </w:p>
        </w:tc>
      </w:tr>
      <w:tr w:rsidR="00CD1C1A" w14:paraId="494C15BF" w14:textId="77777777" w:rsidTr="001C3074">
        <w:trPr>
          <w:jc w:val="center"/>
        </w:trPr>
        <w:tc>
          <w:tcPr>
            <w:tcW w:w="9628" w:type="dxa"/>
            <w:shd w:val="clear" w:color="auto" w:fill="auto"/>
          </w:tcPr>
          <w:p w14:paraId="69219B34" w14:textId="142D7A8C" w:rsidR="00CD1C1A" w:rsidRPr="002D2823" w:rsidRDefault="00CD1C1A" w:rsidP="00CD1C1A">
            <w:pPr>
              <w:pStyle w:val="SingleTxtG"/>
              <w:tabs>
                <w:tab w:val="left" w:pos="3111"/>
              </w:tabs>
              <w:ind w:left="3111" w:hanging="1977"/>
              <w:jc w:val="left"/>
              <w:rPr>
                <w:b/>
                <w:bCs/>
                <w:lang w:val="fr-FR"/>
              </w:rPr>
            </w:pPr>
            <w:r w:rsidRPr="00B92BE0">
              <w:rPr>
                <w:b/>
                <w:bCs/>
                <w:lang w:val="fr-FR"/>
              </w:rPr>
              <w:t>Documents connexes :</w:t>
            </w:r>
            <w:r w:rsidRPr="00B92BE0">
              <w:rPr>
                <w:lang w:val="fr-FR"/>
              </w:rPr>
              <w:tab/>
              <w:t>ECE/TRANS/WP.15/AC.1/2021/30 (IASA) ECE/TRANS/WP.15/AC.1/2022/6 (IASA)</w:t>
            </w:r>
          </w:p>
        </w:tc>
      </w:tr>
    </w:tbl>
    <w:p w14:paraId="1D786280" w14:textId="4470834A" w:rsidR="00EC6F9A" w:rsidRPr="00B92BE0" w:rsidRDefault="001C3074" w:rsidP="001C3074">
      <w:pPr>
        <w:pStyle w:val="HChG"/>
        <w:rPr>
          <w:lang w:val="fr-FR"/>
        </w:rPr>
      </w:pPr>
      <w:r>
        <w:rPr>
          <w:lang w:val="fr-FR"/>
        </w:rPr>
        <w:lastRenderedPageBreak/>
        <w:tab/>
      </w:r>
      <w:r w:rsidR="00EC6F9A" w:rsidRPr="00B92BE0">
        <w:rPr>
          <w:lang w:val="fr-FR"/>
        </w:rPr>
        <w:tab/>
        <w:t>Introduction</w:t>
      </w:r>
    </w:p>
    <w:p w14:paraId="2E678604" w14:textId="77777777" w:rsidR="00EC6F9A" w:rsidRPr="00B92BE0" w:rsidRDefault="00EC6F9A" w:rsidP="001C3074">
      <w:pPr>
        <w:pStyle w:val="SingleTxtG"/>
        <w:rPr>
          <w:lang w:val="fr-FR"/>
        </w:rPr>
      </w:pPr>
      <w:r w:rsidRPr="00B92BE0">
        <w:rPr>
          <w:lang w:val="fr-FR"/>
        </w:rPr>
        <w:t>1.</w:t>
      </w:r>
      <w:r w:rsidRPr="00B92BE0">
        <w:rPr>
          <w:lang w:val="fr-FR"/>
        </w:rPr>
        <w:tab/>
        <w:t>Dans l</w:t>
      </w:r>
      <w:r>
        <w:rPr>
          <w:lang w:val="fr-FR"/>
        </w:rPr>
        <w:t>’</w:t>
      </w:r>
      <w:r w:rsidRPr="00B92BE0">
        <w:rPr>
          <w:lang w:val="fr-FR"/>
        </w:rPr>
        <w:t>édition 2017 du RID et de l</w:t>
      </w:r>
      <w:r>
        <w:rPr>
          <w:lang w:val="fr-FR"/>
        </w:rPr>
        <w:t>’</w:t>
      </w:r>
      <w:r w:rsidRPr="00B92BE0">
        <w:rPr>
          <w:lang w:val="fr-FR"/>
        </w:rPr>
        <w:t>ADR, une nouvelle disposition spéciale a été ajoutée pour que le transport à chaud des matières destinées au marquage routier soit autorisé sans être soumis aux autres prescriptions du RID et de l</w:t>
      </w:r>
      <w:r>
        <w:rPr>
          <w:lang w:val="fr-FR"/>
        </w:rPr>
        <w:t>’</w:t>
      </w:r>
      <w:r w:rsidRPr="00B92BE0">
        <w:rPr>
          <w:lang w:val="fr-FR"/>
        </w:rPr>
        <w:t>ADR, pour autant que certaines conditions soient réunies.</w:t>
      </w:r>
    </w:p>
    <w:p w14:paraId="548D2629" w14:textId="77777777" w:rsidR="00EC6F9A" w:rsidRPr="00B92BE0" w:rsidRDefault="00EC6F9A" w:rsidP="001C3074">
      <w:pPr>
        <w:pStyle w:val="SingleTxtG"/>
        <w:keepNext/>
        <w:rPr>
          <w:lang w:val="fr-FR"/>
        </w:rPr>
      </w:pPr>
      <w:r w:rsidRPr="00B92BE0">
        <w:rPr>
          <w:lang w:val="fr-FR"/>
        </w:rPr>
        <w:t>2.</w:t>
      </w:r>
      <w:r w:rsidRPr="00B92BE0">
        <w:rPr>
          <w:lang w:val="fr-FR"/>
        </w:rPr>
        <w:tab/>
        <w:t>Le texte intégral de la disposition spéciale 668 est libellé comme suit :</w:t>
      </w:r>
    </w:p>
    <w:p w14:paraId="45FDE383" w14:textId="4F1B7086" w:rsidR="00EC6F9A" w:rsidRPr="00B92BE0" w:rsidRDefault="00EC6F9A" w:rsidP="001C3074">
      <w:pPr>
        <w:pStyle w:val="SingleTxtG"/>
        <w:keepNext/>
        <w:tabs>
          <w:tab w:val="left" w:pos="2552"/>
        </w:tabs>
        <w:ind w:left="1701"/>
        <w:rPr>
          <w:lang w:val="fr-FR"/>
        </w:rPr>
      </w:pPr>
      <w:r w:rsidRPr="00B92BE0">
        <w:rPr>
          <w:lang w:val="fr-FR"/>
        </w:rPr>
        <w:t>«</w:t>
      </w:r>
      <w:r w:rsidR="001C3074">
        <w:rPr>
          <w:lang w:val="fr-FR"/>
        </w:rPr>
        <w:t> </w:t>
      </w:r>
      <w:r w:rsidRPr="00B92BE0">
        <w:rPr>
          <w:lang w:val="fr-FR"/>
        </w:rPr>
        <w:t>668</w:t>
      </w:r>
      <w:r w:rsidRPr="00B92BE0">
        <w:rPr>
          <w:lang w:val="fr-FR"/>
        </w:rPr>
        <w:tab/>
        <w:t>Les matières destinées au marquage routier transportées à chaud ne sont pas soumises aux autres prescriptions du RID/de l</w:t>
      </w:r>
      <w:r>
        <w:rPr>
          <w:lang w:val="fr-FR"/>
        </w:rPr>
        <w:t>’</w:t>
      </w:r>
      <w:r w:rsidRPr="00B92BE0">
        <w:rPr>
          <w:lang w:val="fr-FR"/>
        </w:rPr>
        <w:t>ADR, pour autant que les conditions suivantes soient réunies</w:t>
      </w:r>
      <w:r w:rsidR="001C3074">
        <w:rPr>
          <w:lang w:val="fr-FR"/>
        </w:rPr>
        <w:t> </w:t>
      </w:r>
      <w:r w:rsidRPr="00B92BE0">
        <w:rPr>
          <w:lang w:val="fr-FR"/>
        </w:rPr>
        <w:t>:</w:t>
      </w:r>
    </w:p>
    <w:p w14:paraId="380DF2A8" w14:textId="17BDD2B6" w:rsidR="00EC6F9A" w:rsidRPr="00B92BE0" w:rsidRDefault="00EC6F9A" w:rsidP="001C3074">
      <w:pPr>
        <w:pStyle w:val="SingleTxtG"/>
        <w:ind w:left="1701" w:firstLine="567"/>
        <w:rPr>
          <w:sz w:val="28"/>
          <w:szCs w:val="28"/>
          <w:lang w:val="fr-FR"/>
        </w:rPr>
      </w:pPr>
      <w:r w:rsidRPr="00B92BE0">
        <w:rPr>
          <w:lang w:val="fr-FR"/>
        </w:rPr>
        <w:t>a)</w:t>
      </w:r>
      <w:r w:rsidRPr="00B92BE0">
        <w:rPr>
          <w:lang w:val="fr-FR"/>
        </w:rPr>
        <w:tab/>
        <w:t>Elles ne répondent pas aux critères de classes autres que la classe 9</w:t>
      </w:r>
      <w:r w:rsidR="001C3074">
        <w:rPr>
          <w:lang w:val="fr-FR"/>
        </w:rPr>
        <w:t> </w:t>
      </w:r>
      <w:r w:rsidRPr="00B92BE0">
        <w:rPr>
          <w:lang w:val="fr-FR"/>
        </w:rPr>
        <w:t xml:space="preserve">; </w:t>
      </w:r>
    </w:p>
    <w:p w14:paraId="0A22D740" w14:textId="5E98E58B" w:rsidR="00EC6F9A" w:rsidRPr="00B92BE0" w:rsidRDefault="00EC6F9A" w:rsidP="001C3074">
      <w:pPr>
        <w:pStyle w:val="SingleTxtG"/>
        <w:ind w:left="1701" w:firstLine="567"/>
        <w:rPr>
          <w:sz w:val="28"/>
          <w:szCs w:val="28"/>
          <w:lang w:val="fr-FR"/>
        </w:rPr>
      </w:pPr>
      <w:r w:rsidRPr="00B92BE0">
        <w:rPr>
          <w:lang w:val="fr-FR"/>
        </w:rPr>
        <w:t>b)</w:t>
      </w:r>
      <w:r w:rsidRPr="00B92BE0">
        <w:rPr>
          <w:lang w:val="fr-FR"/>
        </w:rPr>
        <w:tab/>
        <w:t>La température de la surface externe de la chaudière ne dépasse pas 70</w:t>
      </w:r>
      <w:r w:rsidR="001C3074">
        <w:rPr>
          <w:lang w:val="fr-FR"/>
        </w:rPr>
        <w:t> </w:t>
      </w:r>
      <w:r w:rsidRPr="00B92BE0">
        <w:rPr>
          <w:lang w:val="fr-FR"/>
        </w:rPr>
        <w:t>°C</w:t>
      </w:r>
      <w:r w:rsidR="001C3074">
        <w:rPr>
          <w:lang w:val="fr-FR"/>
        </w:rPr>
        <w:t> </w:t>
      </w:r>
      <w:r w:rsidRPr="00B92BE0">
        <w:rPr>
          <w:lang w:val="fr-FR"/>
        </w:rPr>
        <w:t>;</w:t>
      </w:r>
    </w:p>
    <w:p w14:paraId="75A858E9" w14:textId="7A8B5DC9" w:rsidR="00EC6F9A" w:rsidRPr="00B92BE0" w:rsidRDefault="00EC6F9A" w:rsidP="001C3074">
      <w:pPr>
        <w:pStyle w:val="SingleTxtG"/>
        <w:ind w:left="1701" w:firstLine="567"/>
        <w:rPr>
          <w:sz w:val="24"/>
          <w:szCs w:val="24"/>
          <w:lang w:val="fr-FR"/>
        </w:rPr>
      </w:pPr>
      <w:r w:rsidRPr="00B92BE0">
        <w:rPr>
          <w:lang w:val="fr-FR"/>
        </w:rPr>
        <w:t>c)</w:t>
      </w:r>
      <w:r w:rsidRPr="00B92BE0">
        <w:rPr>
          <w:lang w:val="fr-FR"/>
        </w:rPr>
        <w:tab/>
        <w:t>La chaudière est fermée de manière à éviter toute perte de produit pendant le transport</w:t>
      </w:r>
      <w:r w:rsidR="001C3074">
        <w:rPr>
          <w:lang w:val="fr-FR"/>
        </w:rPr>
        <w:t> </w:t>
      </w:r>
      <w:r w:rsidRPr="00B92BE0">
        <w:rPr>
          <w:lang w:val="fr-FR"/>
        </w:rPr>
        <w:t xml:space="preserve">; </w:t>
      </w:r>
    </w:p>
    <w:p w14:paraId="5667D85B" w14:textId="008B5F95" w:rsidR="00EC6F9A" w:rsidRPr="00B92BE0" w:rsidRDefault="00EC6F9A" w:rsidP="001C3074">
      <w:pPr>
        <w:pStyle w:val="SingleTxtG"/>
        <w:ind w:left="1701" w:firstLine="567"/>
        <w:rPr>
          <w:sz w:val="28"/>
          <w:szCs w:val="28"/>
          <w:lang w:val="fr-FR"/>
        </w:rPr>
      </w:pPr>
      <w:r w:rsidRPr="00B92BE0">
        <w:rPr>
          <w:lang w:val="fr-FR"/>
        </w:rPr>
        <w:t>d)</w:t>
      </w:r>
      <w:r w:rsidRPr="00B92BE0">
        <w:rPr>
          <w:lang w:val="fr-FR"/>
        </w:rPr>
        <w:tab/>
        <w:t>La capacité maximale de la chaudière est limitée à 3</w:t>
      </w:r>
      <w:r w:rsidR="001C3074">
        <w:rPr>
          <w:lang w:val="fr-FR"/>
        </w:rPr>
        <w:t> </w:t>
      </w:r>
      <w:r w:rsidRPr="00B92BE0">
        <w:rPr>
          <w:lang w:val="fr-FR"/>
        </w:rPr>
        <w:t>000</w:t>
      </w:r>
      <w:r w:rsidR="001C3074">
        <w:rPr>
          <w:lang w:val="fr-FR"/>
        </w:rPr>
        <w:t> </w:t>
      </w:r>
      <w:r w:rsidRPr="00B92BE0">
        <w:rPr>
          <w:lang w:val="fr-FR"/>
        </w:rPr>
        <w:t>l.</w:t>
      </w:r>
      <w:r w:rsidR="001C3074">
        <w:rPr>
          <w:lang w:val="fr-FR"/>
        </w:rPr>
        <w:t> </w:t>
      </w:r>
      <w:r w:rsidRPr="00B92BE0">
        <w:rPr>
          <w:lang w:val="fr-FR"/>
        </w:rPr>
        <w:t>»</w:t>
      </w:r>
      <w:r w:rsidR="001C3074">
        <w:rPr>
          <w:lang w:val="fr-FR"/>
        </w:rPr>
        <w:t>.</w:t>
      </w:r>
    </w:p>
    <w:p w14:paraId="68E402AF" w14:textId="77777777" w:rsidR="00EC6F9A" w:rsidRPr="00B92BE0" w:rsidRDefault="00EC6F9A" w:rsidP="00EC6F9A">
      <w:pPr>
        <w:pStyle w:val="SingleTxtG"/>
        <w:rPr>
          <w:bCs/>
          <w:lang w:val="fr-FR"/>
        </w:rPr>
      </w:pPr>
      <w:r w:rsidRPr="00B92BE0">
        <w:rPr>
          <w:lang w:val="fr-FR"/>
        </w:rPr>
        <w:t>3.</w:t>
      </w:r>
      <w:r w:rsidRPr="00B92BE0">
        <w:rPr>
          <w:lang w:val="fr-FR"/>
        </w:rPr>
        <w:tab/>
        <w:t>Il serait souhaitable d</w:t>
      </w:r>
      <w:r>
        <w:rPr>
          <w:lang w:val="fr-FR"/>
        </w:rPr>
        <w:t>’</w:t>
      </w:r>
      <w:r w:rsidRPr="00B92BE0">
        <w:rPr>
          <w:lang w:val="fr-FR"/>
        </w:rPr>
        <w:t>élargir le champ d</w:t>
      </w:r>
      <w:r>
        <w:rPr>
          <w:lang w:val="fr-FR"/>
        </w:rPr>
        <w:t>’</w:t>
      </w:r>
      <w:r w:rsidRPr="00B92BE0">
        <w:rPr>
          <w:lang w:val="fr-FR"/>
        </w:rPr>
        <w:t>application de la disposition spéciale 668 afin d</w:t>
      </w:r>
      <w:r>
        <w:rPr>
          <w:lang w:val="fr-FR"/>
        </w:rPr>
        <w:t>’</w:t>
      </w:r>
      <w:r w:rsidRPr="00B92BE0">
        <w:rPr>
          <w:lang w:val="fr-FR"/>
        </w:rPr>
        <w:t xml:space="preserve">autoriser également le transport à chaud des matières destinées aux travaux </w:t>
      </w:r>
      <w:r>
        <w:rPr>
          <w:lang w:val="fr-FR"/>
        </w:rPr>
        <w:t xml:space="preserve">de </w:t>
      </w:r>
      <w:r w:rsidRPr="00B92BE0">
        <w:rPr>
          <w:lang w:val="fr-FR"/>
        </w:rPr>
        <w:t>réparation de fissures</w:t>
      </w:r>
      <w:r>
        <w:rPr>
          <w:lang w:val="fr-FR"/>
        </w:rPr>
        <w:t xml:space="preserve"> </w:t>
      </w:r>
      <w:r w:rsidRPr="00B92BE0">
        <w:rPr>
          <w:lang w:val="fr-FR"/>
        </w:rPr>
        <w:t>dans le revêtement des routes.</w:t>
      </w:r>
    </w:p>
    <w:p w14:paraId="0E47D56F" w14:textId="5D5B6F46" w:rsidR="00EC6F9A" w:rsidRPr="00B92BE0" w:rsidRDefault="00EC6F9A" w:rsidP="00EC6F9A">
      <w:pPr>
        <w:pStyle w:val="SingleTxtG"/>
        <w:rPr>
          <w:spacing w:val="1"/>
          <w:lang w:val="fr-FR"/>
        </w:rPr>
      </w:pPr>
      <w:r w:rsidRPr="00B92BE0">
        <w:rPr>
          <w:lang w:val="fr-FR"/>
        </w:rPr>
        <w:t>4.</w:t>
      </w:r>
      <w:r w:rsidRPr="00B92BE0">
        <w:rPr>
          <w:lang w:val="fr-FR"/>
        </w:rPr>
        <w:tab/>
        <w:t>Lorsqu</w:t>
      </w:r>
      <w:r>
        <w:rPr>
          <w:lang w:val="fr-FR"/>
        </w:rPr>
        <w:t>’</w:t>
      </w:r>
      <w:r w:rsidRPr="00B92BE0">
        <w:rPr>
          <w:lang w:val="fr-FR"/>
        </w:rPr>
        <w:t xml:space="preserve">ils sont transportés aux fins de réparation des fissures, le bitume et les autres matières analogues </w:t>
      </w:r>
      <w:r>
        <w:rPr>
          <w:lang w:val="fr-FR"/>
        </w:rPr>
        <w:t>relevant du</w:t>
      </w:r>
      <w:r w:rsidRPr="00B92BE0">
        <w:rPr>
          <w:lang w:val="fr-FR"/>
        </w:rPr>
        <w:t xml:space="preserve"> No</w:t>
      </w:r>
      <w:r w:rsidR="001C3074">
        <w:rPr>
          <w:lang w:val="fr-FR"/>
        </w:rPr>
        <w:t> </w:t>
      </w:r>
      <w:r w:rsidRPr="00B92BE0">
        <w:rPr>
          <w:lang w:val="fr-FR"/>
        </w:rPr>
        <w:t>ONU 3257 uniquement en raison de leur température élevée sont transportés dans des chaudières semblables à celles utilisées pour transporter les matières destinées au marquage routier. Or la première phrase de la disposition spéciale 668 interdit de transporter ces produits dans les conditions prévues par cette disposition, sauf si elles sont destinées au marquage routier et ce, même si le transport, l</w:t>
      </w:r>
      <w:r>
        <w:rPr>
          <w:lang w:val="fr-FR"/>
        </w:rPr>
        <w:t>’</w:t>
      </w:r>
      <w:r w:rsidRPr="00B92BE0">
        <w:rPr>
          <w:lang w:val="fr-FR"/>
        </w:rPr>
        <w:t>application et les conditions sont très similaires lorsque lesdits produits sont destinés à d</w:t>
      </w:r>
      <w:r>
        <w:rPr>
          <w:lang w:val="fr-FR"/>
        </w:rPr>
        <w:t>’</w:t>
      </w:r>
      <w:r w:rsidRPr="00B92BE0">
        <w:rPr>
          <w:lang w:val="fr-FR"/>
        </w:rPr>
        <w:t xml:space="preserve">autres </w:t>
      </w:r>
      <w:r>
        <w:rPr>
          <w:lang w:val="fr-FR"/>
        </w:rPr>
        <w:t>utilisations</w:t>
      </w:r>
      <w:r w:rsidRPr="00B92BE0">
        <w:rPr>
          <w:lang w:val="fr-FR"/>
        </w:rPr>
        <w:t>.</w:t>
      </w:r>
    </w:p>
    <w:p w14:paraId="74D3BF57" w14:textId="69CA0687" w:rsidR="00EC6F9A" w:rsidRPr="00B92BE0" w:rsidRDefault="001C3074" w:rsidP="001C3074">
      <w:pPr>
        <w:pStyle w:val="H23G"/>
        <w:rPr>
          <w:lang w:val="fr-FR"/>
        </w:rPr>
      </w:pPr>
      <w:r>
        <w:rPr>
          <w:lang w:val="fr-FR"/>
        </w:rPr>
        <w:tab/>
      </w:r>
      <w:r>
        <w:rPr>
          <w:lang w:val="fr-FR"/>
        </w:rPr>
        <w:tab/>
      </w:r>
      <w:r w:rsidR="00EC6F9A" w:rsidRPr="00B92BE0">
        <w:rPr>
          <w:lang w:val="fr-FR"/>
        </w:rPr>
        <w:t xml:space="preserve">Exemple de </w:t>
      </w:r>
      <w:r w:rsidR="00EC6F9A">
        <w:rPr>
          <w:lang w:val="fr-FR"/>
        </w:rPr>
        <w:t>rebouchage</w:t>
      </w:r>
      <w:r w:rsidR="00EC6F9A" w:rsidRPr="00B92BE0">
        <w:rPr>
          <w:lang w:val="fr-FR"/>
        </w:rPr>
        <w:t xml:space="preserve"> d</w:t>
      </w:r>
      <w:r w:rsidR="00EC6F9A">
        <w:rPr>
          <w:lang w:val="fr-FR"/>
        </w:rPr>
        <w:t>’</w:t>
      </w:r>
      <w:r w:rsidR="00EC6F9A" w:rsidRPr="00B92BE0">
        <w:rPr>
          <w:lang w:val="fr-FR"/>
        </w:rPr>
        <w:t>une fissure dans le revêtement d</w:t>
      </w:r>
      <w:r w:rsidR="00EC6F9A">
        <w:rPr>
          <w:lang w:val="fr-FR"/>
        </w:rPr>
        <w:t>’</w:t>
      </w:r>
      <w:r w:rsidR="00EC6F9A" w:rsidRPr="00B92BE0">
        <w:rPr>
          <w:lang w:val="fr-FR"/>
        </w:rPr>
        <w:t>une route</w:t>
      </w:r>
    </w:p>
    <w:p w14:paraId="7A605966" w14:textId="77777777" w:rsidR="00EC6F9A" w:rsidRPr="00B92BE0" w:rsidRDefault="00EC6F9A" w:rsidP="001C3074">
      <w:pPr>
        <w:ind w:left="1134"/>
        <w:rPr>
          <w:vertAlign w:val="subscript"/>
          <w:lang w:val="fr-FR"/>
        </w:rPr>
      </w:pPr>
      <w:r w:rsidRPr="00B92BE0">
        <w:rPr>
          <w:noProof/>
          <w:vertAlign w:val="subscript"/>
          <w:lang w:val="fr-FR"/>
        </w:rPr>
        <w:drawing>
          <wp:inline distT="0" distB="0" distL="0" distR="0" wp14:anchorId="78ED66AF" wp14:editId="4689356B">
            <wp:extent cx="3930650" cy="1841500"/>
            <wp:effectExtent l="0" t="0" r="0" b="6350"/>
            <wp:docPr id="6" name="Picture 6" descr="Une image contenant extérieur, camion, route, ja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e image contenant extérieur, camion, route, jaun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1841500"/>
                    </a:xfrm>
                    <a:prstGeom prst="rect">
                      <a:avLst/>
                    </a:prstGeom>
                    <a:noFill/>
                    <a:ln>
                      <a:noFill/>
                    </a:ln>
                  </pic:spPr>
                </pic:pic>
              </a:graphicData>
            </a:graphic>
          </wp:inline>
        </w:drawing>
      </w:r>
    </w:p>
    <w:p w14:paraId="5D52945D" w14:textId="77777777" w:rsidR="00EC6F9A" w:rsidRPr="00B92BE0" w:rsidRDefault="00EC6F9A" w:rsidP="001C3074">
      <w:pPr>
        <w:pStyle w:val="HChG"/>
        <w:rPr>
          <w:lang w:val="fr-FR"/>
        </w:rPr>
      </w:pPr>
      <w:r w:rsidRPr="00B92BE0">
        <w:rPr>
          <w:lang w:val="fr-FR"/>
        </w:rPr>
        <w:tab/>
      </w:r>
      <w:r w:rsidRPr="00B92BE0">
        <w:rPr>
          <w:lang w:val="fr-FR"/>
        </w:rPr>
        <w:tab/>
        <w:t>Proposition</w:t>
      </w:r>
    </w:p>
    <w:p w14:paraId="4412ACCB" w14:textId="25C08C31" w:rsidR="00EC6F9A" w:rsidRPr="00B92BE0" w:rsidRDefault="00EC6F9A" w:rsidP="001C3074">
      <w:pPr>
        <w:pStyle w:val="SingleTxtG"/>
        <w:keepNext/>
        <w:rPr>
          <w:lang w:val="fr-FR"/>
        </w:rPr>
      </w:pPr>
      <w:r w:rsidRPr="00B92BE0">
        <w:rPr>
          <w:lang w:val="fr-FR"/>
        </w:rPr>
        <w:t>5.</w:t>
      </w:r>
      <w:r w:rsidRPr="00B92BE0">
        <w:rPr>
          <w:lang w:val="fr-FR"/>
        </w:rPr>
        <w:tab/>
        <w:t>Modifier la disposition spéciale 668 comme suit (</w:t>
      </w:r>
      <w:r>
        <w:rPr>
          <w:lang w:val="fr-FR"/>
        </w:rPr>
        <w:t>les ajouts au texte actuel sont en caractères</w:t>
      </w:r>
      <w:r w:rsidRPr="00B92BE0">
        <w:rPr>
          <w:lang w:val="fr-FR"/>
        </w:rPr>
        <w:t xml:space="preserve"> souligné</w:t>
      </w:r>
      <w:r>
        <w:rPr>
          <w:lang w:val="fr-FR"/>
        </w:rPr>
        <w:t>s</w:t>
      </w:r>
      <w:r w:rsidRPr="00B92BE0">
        <w:rPr>
          <w:lang w:val="fr-FR"/>
        </w:rPr>
        <w:t>)</w:t>
      </w:r>
      <w:r w:rsidR="001C3074">
        <w:rPr>
          <w:lang w:val="fr-FR"/>
        </w:rPr>
        <w:t> </w:t>
      </w:r>
      <w:r w:rsidRPr="00B92BE0">
        <w:rPr>
          <w:lang w:val="fr-FR"/>
        </w:rPr>
        <w:t>:</w:t>
      </w:r>
    </w:p>
    <w:p w14:paraId="1B7BCF00" w14:textId="33523894" w:rsidR="00EC6F9A" w:rsidRPr="00B92BE0" w:rsidRDefault="00EC6F9A" w:rsidP="001C3074">
      <w:pPr>
        <w:pStyle w:val="SingleTxtG"/>
        <w:keepNext/>
        <w:tabs>
          <w:tab w:val="left" w:pos="2552"/>
        </w:tabs>
        <w:ind w:left="1701"/>
        <w:rPr>
          <w:lang w:val="fr-FR"/>
        </w:rPr>
      </w:pPr>
      <w:r w:rsidRPr="00B92BE0">
        <w:rPr>
          <w:lang w:val="fr-FR"/>
        </w:rPr>
        <w:t>«</w:t>
      </w:r>
      <w:r w:rsidR="001C3074">
        <w:rPr>
          <w:lang w:val="fr-FR"/>
        </w:rPr>
        <w:t> </w:t>
      </w:r>
      <w:r w:rsidRPr="00B92BE0">
        <w:rPr>
          <w:lang w:val="fr-FR"/>
        </w:rPr>
        <w:t>668</w:t>
      </w:r>
      <w:r w:rsidRPr="00B92BE0">
        <w:rPr>
          <w:lang w:val="fr-FR"/>
        </w:rPr>
        <w:tab/>
        <w:t>Les matières destinées au marquage routier</w:t>
      </w:r>
      <w:r w:rsidRPr="00B92BE0">
        <w:rPr>
          <w:u w:val="single"/>
          <w:lang w:val="fr-FR"/>
        </w:rPr>
        <w:t xml:space="preserve"> et à la réparation des fissures dans le revêtement des routes et</w:t>
      </w:r>
      <w:r w:rsidRPr="00B92BE0">
        <w:rPr>
          <w:lang w:val="fr-FR"/>
        </w:rPr>
        <w:t xml:space="preserve"> transportées à chaud</w:t>
      </w:r>
      <w:r w:rsidRPr="00B92BE0">
        <w:rPr>
          <w:u w:val="single"/>
          <w:lang w:val="fr-FR"/>
        </w:rPr>
        <w:t>, telles que le bitume et les produits semblables affectés au No</w:t>
      </w:r>
      <w:r w:rsidR="001C3074">
        <w:rPr>
          <w:u w:val="single"/>
          <w:lang w:val="fr-FR"/>
        </w:rPr>
        <w:t> </w:t>
      </w:r>
      <w:r w:rsidRPr="00B92BE0">
        <w:rPr>
          <w:u w:val="single"/>
          <w:lang w:val="fr-FR"/>
        </w:rPr>
        <w:t>ONU 3257,</w:t>
      </w:r>
      <w:r w:rsidRPr="00B92BE0">
        <w:rPr>
          <w:lang w:val="fr-FR"/>
        </w:rPr>
        <w:t xml:space="preserve"> ne sont pas soumises aux autres prescriptions du RID/de l</w:t>
      </w:r>
      <w:r>
        <w:rPr>
          <w:lang w:val="fr-FR"/>
        </w:rPr>
        <w:t>’</w:t>
      </w:r>
      <w:r w:rsidRPr="00B92BE0">
        <w:rPr>
          <w:lang w:val="fr-FR"/>
        </w:rPr>
        <w:t>ADR, pour autant que les conditions suivantes soient réunies</w:t>
      </w:r>
      <w:r w:rsidR="001C3074">
        <w:rPr>
          <w:lang w:val="fr-FR"/>
        </w:rPr>
        <w:t> </w:t>
      </w:r>
      <w:r w:rsidRPr="00B92BE0">
        <w:rPr>
          <w:lang w:val="fr-FR"/>
        </w:rPr>
        <w:t>:</w:t>
      </w:r>
    </w:p>
    <w:p w14:paraId="77C0F203" w14:textId="08168D65" w:rsidR="00EC6F9A" w:rsidRPr="00B92BE0" w:rsidRDefault="00EC6F9A" w:rsidP="001C3074">
      <w:pPr>
        <w:pStyle w:val="SingleTxtG"/>
        <w:ind w:left="1701" w:firstLine="567"/>
        <w:rPr>
          <w:rFonts w:eastAsia="MS Mincho"/>
          <w:lang w:val="fr-FR"/>
        </w:rPr>
      </w:pPr>
      <w:r w:rsidRPr="00B92BE0">
        <w:rPr>
          <w:lang w:val="fr-FR"/>
        </w:rPr>
        <w:t>a)</w:t>
      </w:r>
      <w:r w:rsidRPr="00B92BE0">
        <w:rPr>
          <w:lang w:val="fr-FR"/>
        </w:rPr>
        <w:tab/>
        <w:t>Elles ne répondent pas aux critères de classes autres que la classe 9</w:t>
      </w:r>
      <w:r w:rsidR="001C3074">
        <w:rPr>
          <w:lang w:val="fr-FR"/>
        </w:rPr>
        <w:t> </w:t>
      </w:r>
      <w:r w:rsidRPr="00B92BE0">
        <w:rPr>
          <w:lang w:val="fr-FR"/>
        </w:rPr>
        <w:t>;</w:t>
      </w:r>
    </w:p>
    <w:p w14:paraId="40115414" w14:textId="08DA0546" w:rsidR="00EC6F9A" w:rsidRPr="00B92BE0" w:rsidRDefault="00EC6F9A" w:rsidP="001C3074">
      <w:pPr>
        <w:pStyle w:val="SingleTxtG"/>
        <w:ind w:left="1701" w:firstLine="567"/>
        <w:rPr>
          <w:rFonts w:eastAsia="MS Mincho"/>
          <w:lang w:val="fr-FR" w:eastAsia="da-DK"/>
        </w:rPr>
      </w:pPr>
      <w:r w:rsidRPr="00B92BE0">
        <w:rPr>
          <w:lang w:val="fr-FR"/>
        </w:rPr>
        <w:lastRenderedPageBreak/>
        <w:t>b)</w:t>
      </w:r>
      <w:r w:rsidRPr="00B92BE0">
        <w:rPr>
          <w:lang w:val="fr-FR"/>
        </w:rPr>
        <w:tab/>
        <w:t>La température de la surface externe de la chaudière ne dépasse pas 70</w:t>
      </w:r>
      <w:r w:rsidR="001C3074">
        <w:rPr>
          <w:lang w:val="fr-FR"/>
        </w:rPr>
        <w:t> </w:t>
      </w:r>
      <w:r w:rsidRPr="00B92BE0">
        <w:rPr>
          <w:lang w:val="fr-FR"/>
        </w:rPr>
        <w:t>°C</w:t>
      </w:r>
      <w:r w:rsidR="001C3074">
        <w:rPr>
          <w:lang w:val="fr-FR"/>
        </w:rPr>
        <w:t> </w:t>
      </w:r>
      <w:r w:rsidRPr="00B92BE0">
        <w:rPr>
          <w:lang w:val="fr-FR"/>
        </w:rPr>
        <w:t>;</w:t>
      </w:r>
    </w:p>
    <w:p w14:paraId="73D347D2" w14:textId="4AE0FDDA" w:rsidR="00EC6F9A" w:rsidRPr="00B92BE0" w:rsidRDefault="00EC6F9A" w:rsidP="001C3074">
      <w:pPr>
        <w:pStyle w:val="SingleTxtG"/>
        <w:ind w:left="1701" w:firstLine="567"/>
        <w:rPr>
          <w:color w:val="231F20"/>
          <w:lang w:val="fr-FR"/>
        </w:rPr>
      </w:pPr>
      <w:r w:rsidRPr="00B92BE0">
        <w:rPr>
          <w:lang w:val="fr-FR"/>
        </w:rPr>
        <w:t>c)</w:t>
      </w:r>
      <w:r w:rsidRPr="00B92BE0">
        <w:rPr>
          <w:lang w:val="fr-FR"/>
        </w:rPr>
        <w:tab/>
        <w:t>La chaudière est fermée de manière à éviter toute perte de produit pendant le transport</w:t>
      </w:r>
      <w:r w:rsidR="001C3074">
        <w:rPr>
          <w:lang w:val="fr-FR"/>
        </w:rPr>
        <w:t> </w:t>
      </w:r>
      <w:r w:rsidRPr="00B92BE0">
        <w:rPr>
          <w:lang w:val="fr-FR"/>
        </w:rPr>
        <w:t>;</w:t>
      </w:r>
    </w:p>
    <w:p w14:paraId="0B774B36" w14:textId="43843E55" w:rsidR="00EC6F9A" w:rsidRPr="00B92BE0" w:rsidRDefault="00EC6F9A" w:rsidP="001C3074">
      <w:pPr>
        <w:pStyle w:val="SingleTxtG"/>
        <w:ind w:left="1701" w:firstLine="567"/>
        <w:rPr>
          <w:color w:val="231F20"/>
          <w:lang w:val="fr-FR"/>
        </w:rPr>
      </w:pPr>
      <w:r w:rsidRPr="00B92BE0">
        <w:rPr>
          <w:lang w:val="fr-FR"/>
        </w:rPr>
        <w:t>d)</w:t>
      </w:r>
      <w:r w:rsidRPr="00B92BE0">
        <w:rPr>
          <w:lang w:val="fr-FR"/>
        </w:rPr>
        <w:tab/>
        <w:t>La capacité maximale de la chaudière est limitée à 3</w:t>
      </w:r>
      <w:r w:rsidR="001C3074">
        <w:rPr>
          <w:lang w:val="fr-FR"/>
        </w:rPr>
        <w:t> </w:t>
      </w:r>
      <w:r w:rsidRPr="00B92BE0">
        <w:rPr>
          <w:lang w:val="fr-FR"/>
        </w:rPr>
        <w:t>000</w:t>
      </w:r>
      <w:r w:rsidR="001C3074">
        <w:rPr>
          <w:lang w:val="fr-FR"/>
        </w:rPr>
        <w:t> </w:t>
      </w:r>
      <w:r w:rsidRPr="00B92BE0">
        <w:rPr>
          <w:lang w:val="fr-FR"/>
        </w:rPr>
        <w:t>l.</w:t>
      </w:r>
      <w:r w:rsidR="001C3074">
        <w:rPr>
          <w:lang w:val="fr-FR"/>
        </w:rPr>
        <w:t> </w:t>
      </w:r>
      <w:r w:rsidRPr="00B92BE0">
        <w:rPr>
          <w:lang w:val="fr-FR"/>
        </w:rPr>
        <w:t>»</w:t>
      </w:r>
      <w:r w:rsidR="001C3074">
        <w:rPr>
          <w:lang w:val="fr-FR"/>
        </w:rPr>
        <w:t>.</w:t>
      </w:r>
    </w:p>
    <w:p w14:paraId="7A8D1D45" w14:textId="77777777" w:rsidR="00EC6F9A" w:rsidRPr="00B92BE0" w:rsidRDefault="00EC6F9A" w:rsidP="001C3074">
      <w:pPr>
        <w:pStyle w:val="HChG"/>
        <w:rPr>
          <w:lang w:val="fr-FR"/>
        </w:rPr>
      </w:pPr>
      <w:r w:rsidRPr="00B92BE0">
        <w:rPr>
          <w:lang w:val="fr-FR"/>
        </w:rPr>
        <w:tab/>
      </w:r>
      <w:r w:rsidRPr="00B92BE0">
        <w:rPr>
          <w:lang w:val="fr-FR"/>
        </w:rPr>
        <w:tab/>
      </w:r>
      <w:r w:rsidRPr="001C3074">
        <w:t>Justification</w:t>
      </w:r>
    </w:p>
    <w:p w14:paraId="12A8EB49" w14:textId="77777777" w:rsidR="00EC6F9A" w:rsidRPr="00B92BE0" w:rsidRDefault="00EC6F9A" w:rsidP="00EC6F9A">
      <w:pPr>
        <w:pStyle w:val="SingleTxtG"/>
        <w:rPr>
          <w:rStyle w:val="SingleTxtGChar"/>
          <w:lang w:val="fr-FR"/>
        </w:rPr>
      </w:pPr>
      <w:r w:rsidRPr="00B92BE0">
        <w:rPr>
          <w:lang w:val="fr-FR"/>
        </w:rPr>
        <w:t>6.</w:t>
      </w:r>
      <w:r w:rsidRPr="00B92BE0">
        <w:rPr>
          <w:lang w:val="fr-FR"/>
        </w:rPr>
        <w:tab/>
        <w:t>Les modifications proposées permettraient l</w:t>
      </w:r>
      <w:r>
        <w:rPr>
          <w:lang w:val="fr-FR"/>
        </w:rPr>
        <w:t>’</w:t>
      </w:r>
      <w:r w:rsidRPr="00B92BE0">
        <w:rPr>
          <w:lang w:val="fr-FR"/>
        </w:rPr>
        <w:t>application uniforme de la réglementation relative au transport de matières à chaud destinées au marquage routier ou au scellement des fissures dans le revêtement des routes.</w:t>
      </w:r>
    </w:p>
    <w:p w14:paraId="755715E0" w14:textId="6FAB8D2A" w:rsidR="00EC6F9A" w:rsidRDefault="00EC6F9A" w:rsidP="00EC6F9A">
      <w:pPr>
        <w:pStyle w:val="SingleTxtG"/>
        <w:rPr>
          <w:lang w:val="fr-FR"/>
        </w:rPr>
      </w:pPr>
      <w:r w:rsidRPr="00B92BE0">
        <w:rPr>
          <w:lang w:val="fr-FR"/>
        </w:rPr>
        <w:t>7.</w:t>
      </w:r>
      <w:r w:rsidRPr="00B92BE0">
        <w:rPr>
          <w:lang w:val="fr-FR"/>
        </w:rPr>
        <w:tab/>
        <w:t>Étant donné que le matériel utilisé pour le transport et l</w:t>
      </w:r>
      <w:r>
        <w:rPr>
          <w:lang w:val="fr-FR"/>
        </w:rPr>
        <w:t>’</w:t>
      </w:r>
      <w:r w:rsidRPr="00B92BE0">
        <w:rPr>
          <w:lang w:val="fr-FR"/>
        </w:rPr>
        <w:t>application sont très similaires voire identique dans les deux situations décrites, aucune incidence sur la sécurité n</w:t>
      </w:r>
      <w:r>
        <w:rPr>
          <w:lang w:val="fr-FR"/>
        </w:rPr>
        <w:t>’</w:t>
      </w:r>
      <w:r w:rsidRPr="00B92BE0">
        <w:rPr>
          <w:lang w:val="fr-FR"/>
        </w:rPr>
        <w:t>est prévue.</w:t>
      </w:r>
    </w:p>
    <w:p w14:paraId="23537088" w14:textId="7110B1E7" w:rsidR="001C3074" w:rsidRPr="001C3074" w:rsidRDefault="001C3074" w:rsidP="001C3074">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1C3074" w:rsidRPr="001C3074" w:rsidSect="00EC6F9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7696" w14:textId="77777777" w:rsidR="00AE073C" w:rsidRDefault="00AE073C" w:rsidP="00F95C08">
      <w:pPr>
        <w:spacing w:line="240" w:lineRule="auto"/>
      </w:pPr>
    </w:p>
  </w:endnote>
  <w:endnote w:type="continuationSeparator" w:id="0">
    <w:p w14:paraId="405215C7" w14:textId="77777777" w:rsidR="00AE073C" w:rsidRPr="00AC3823" w:rsidRDefault="00AE073C" w:rsidP="00AC3823">
      <w:pPr>
        <w:pStyle w:val="Footer"/>
      </w:pPr>
    </w:p>
  </w:endnote>
  <w:endnote w:type="continuationNotice" w:id="1">
    <w:p w14:paraId="1594D170" w14:textId="77777777" w:rsidR="00AE073C" w:rsidRDefault="00AE07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977A" w14:textId="767D77CB" w:rsidR="00EC6F9A" w:rsidRPr="00EC6F9A" w:rsidRDefault="00EC6F9A" w:rsidP="00EC6F9A">
    <w:pPr>
      <w:pStyle w:val="Footer"/>
      <w:tabs>
        <w:tab w:val="right" w:pos="9638"/>
      </w:tabs>
    </w:pPr>
    <w:r w:rsidRPr="00EC6F9A">
      <w:rPr>
        <w:b/>
        <w:sz w:val="18"/>
      </w:rPr>
      <w:fldChar w:fldCharType="begin"/>
    </w:r>
    <w:r w:rsidRPr="00EC6F9A">
      <w:rPr>
        <w:b/>
        <w:sz w:val="18"/>
      </w:rPr>
      <w:instrText xml:space="preserve"> PAGE  \* MERGEFORMAT </w:instrText>
    </w:r>
    <w:r w:rsidRPr="00EC6F9A">
      <w:rPr>
        <w:b/>
        <w:sz w:val="18"/>
      </w:rPr>
      <w:fldChar w:fldCharType="separate"/>
    </w:r>
    <w:r w:rsidRPr="00EC6F9A">
      <w:rPr>
        <w:b/>
        <w:noProof/>
        <w:sz w:val="18"/>
      </w:rPr>
      <w:t>2</w:t>
    </w:r>
    <w:r w:rsidRPr="00EC6F9A">
      <w:rPr>
        <w:b/>
        <w:sz w:val="18"/>
      </w:rPr>
      <w:fldChar w:fldCharType="end"/>
    </w:r>
    <w:r>
      <w:rPr>
        <w:b/>
        <w:sz w:val="18"/>
      </w:rPr>
      <w:tab/>
    </w:r>
    <w:r>
      <w:t>GE.22-26299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30A4" w14:textId="137B96C9" w:rsidR="00EC6F9A" w:rsidRPr="00EC6F9A" w:rsidRDefault="00EC6F9A" w:rsidP="00EC6F9A">
    <w:pPr>
      <w:pStyle w:val="Footer"/>
      <w:tabs>
        <w:tab w:val="right" w:pos="9638"/>
      </w:tabs>
      <w:rPr>
        <w:b/>
        <w:sz w:val="18"/>
      </w:rPr>
    </w:pPr>
    <w:r>
      <w:t>GE.22-26299</w:t>
    </w:r>
    <w:r>
      <w:tab/>
    </w:r>
    <w:r w:rsidRPr="00EC6F9A">
      <w:rPr>
        <w:b/>
        <w:sz w:val="18"/>
      </w:rPr>
      <w:fldChar w:fldCharType="begin"/>
    </w:r>
    <w:r w:rsidRPr="00EC6F9A">
      <w:rPr>
        <w:b/>
        <w:sz w:val="18"/>
      </w:rPr>
      <w:instrText xml:space="preserve"> PAGE  \* MERGEFORMAT </w:instrText>
    </w:r>
    <w:r w:rsidRPr="00EC6F9A">
      <w:rPr>
        <w:b/>
        <w:sz w:val="18"/>
      </w:rPr>
      <w:fldChar w:fldCharType="separate"/>
    </w:r>
    <w:r w:rsidRPr="00EC6F9A">
      <w:rPr>
        <w:b/>
        <w:noProof/>
        <w:sz w:val="18"/>
      </w:rPr>
      <w:t>3</w:t>
    </w:r>
    <w:r w:rsidRPr="00EC6F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E8D8" w14:textId="17CC4647" w:rsidR="007F20FA" w:rsidRPr="00EC6F9A" w:rsidRDefault="00EC6F9A" w:rsidP="00EC6F9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2C04593" wp14:editId="2CAE630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26299  (</w:t>
    </w:r>
    <w:proofErr w:type="gramEnd"/>
    <w:r>
      <w:rPr>
        <w:sz w:val="20"/>
      </w:rPr>
      <w:t>F)</w:t>
    </w:r>
    <w:r>
      <w:rPr>
        <w:noProof/>
        <w:sz w:val="20"/>
      </w:rPr>
      <w:drawing>
        <wp:anchor distT="0" distB="0" distL="114300" distR="114300" simplePos="0" relativeHeight="251660288" behindDoc="0" locked="0" layoutInCell="1" allowOverlap="1" wp14:anchorId="44AA562B" wp14:editId="46826B5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250123    250123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4F80" w14:textId="77777777" w:rsidR="00AE073C" w:rsidRPr="00AC3823" w:rsidRDefault="00AE073C" w:rsidP="00AC3823">
      <w:pPr>
        <w:pStyle w:val="Footer"/>
        <w:tabs>
          <w:tab w:val="right" w:pos="2155"/>
        </w:tabs>
        <w:spacing w:after="80" w:line="240" w:lineRule="atLeast"/>
        <w:ind w:left="680"/>
        <w:rPr>
          <w:u w:val="single"/>
        </w:rPr>
      </w:pPr>
      <w:r>
        <w:rPr>
          <w:u w:val="single"/>
        </w:rPr>
        <w:tab/>
      </w:r>
    </w:p>
  </w:footnote>
  <w:footnote w:type="continuationSeparator" w:id="0">
    <w:p w14:paraId="05B0B173" w14:textId="77777777" w:rsidR="00AE073C" w:rsidRPr="00AC3823" w:rsidRDefault="00AE073C" w:rsidP="00AC3823">
      <w:pPr>
        <w:pStyle w:val="Footer"/>
        <w:tabs>
          <w:tab w:val="right" w:pos="2155"/>
        </w:tabs>
        <w:spacing w:after="80" w:line="240" w:lineRule="atLeast"/>
        <w:ind w:left="680"/>
        <w:rPr>
          <w:u w:val="single"/>
        </w:rPr>
      </w:pPr>
      <w:r>
        <w:rPr>
          <w:u w:val="single"/>
        </w:rPr>
        <w:tab/>
      </w:r>
    </w:p>
  </w:footnote>
  <w:footnote w:type="continuationNotice" w:id="1">
    <w:p w14:paraId="61EF033B" w14:textId="77777777" w:rsidR="00AE073C" w:rsidRPr="00AC3823" w:rsidRDefault="00AE073C">
      <w:pPr>
        <w:spacing w:line="240" w:lineRule="auto"/>
        <w:rPr>
          <w:sz w:val="2"/>
          <w:szCs w:val="2"/>
        </w:rPr>
      </w:pPr>
    </w:p>
  </w:footnote>
  <w:footnote w:id="2">
    <w:p w14:paraId="25553058" w14:textId="44B165E4" w:rsidR="00CD1C1A" w:rsidRPr="00CD1C1A" w:rsidRDefault="00CD1C1A">
      <w:pPr>
        <w:pStyle w:val="FootnoteText"/>
      </w:pPr>
      <w:r>
        <w:rPr>
          <w:rStyle w:val="FootnoteReference"/>
        </w:rPr>
        <w:tab/>
      </w:r>
      <w:r w:rsidRPr="00CD1C1A">
        <w:rPr>
          <w:rStyle w:val="FootnoteReference"/>
          <w:sz w:val="20"/>
          <w:vertAlign w:val="baseline"/>
        </w:rPr>
        <w:t>*</w:t>
      </w:r>
      <w:r>
        <w:rPr>
          <w:rStyle w:val="FootnoteReference"/>
          <w:sz w:val="20"/>
          <w:vertAlign w:val="baseline"/>
        </w:rPr>
        <w:tab/>
      </w:r>
      <w:r>
        <w:rPr>
          <w:lang w:val="fr-FR"/>
        </w:rPr>
        <w:t>A/76/6 (Sect. 20), par.</w:t>
      </w:r>
      <w:r w:rsidR="001C3074">
        <w:rPr>
          <w:lang w:val="fr-FR"/>
        </w:rPr>
        <w:t> </w:t>
      </w:r>
      <w:r>
        <w:rPr>
          <w:lang w:val="fr-FR"/>
        </w:rPr>
        <w:t>20.76.</w:t>
      </w:r>
    </w:p>
  </w:footnote>
  <w:footnote w:id="3">
    <w:p w14:paraId="60578D21" w14:textId="2A36DBB9" w:rsidR="00CD1C1A" w:rsidRPr="00CD1C1A" w:rsidRDefault="00CD1C1A">
      <w:pPr>
        <w:pStyle w:val="FootnoteText"/>
      </w:pPr>
      <w:r>
        <w:rPr>
          <w:rStyle w:val="FootnoteReference"/>
        </w:rPr>
        <w:tab/>
      </w:r>
      <w:r w:rsidRPr="00CD1C1A">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7288" w14:textId="291FD772" w:rsidR="00EC6F9A" w:rsidRPr="00EC6F9A" w:rsidRDefault="00C21561">
    <w:pPr>
      <w:pStyle w:val="Header"/>
    </w:pPr>
    <w:r>
      <w:fldChar w:fldCharType="begin"/>
    </w:r>
    <w:r>
      <w:instrText xml:space="preserve"> TITLE  \* MERGEFORMAT </w:instrText>
    </w:r>
    <w:r>
      <w:fldChar w:fldCharType="separate"/>
    </w:r>
    <w:r>
      <w:t>ECE/TRANS/WP.15/AC.1/2023/4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1AED" w14:textId="19CF60F0" w:rsidR="00EC6F9A" w:rsidRPr="00EC6F9A" w:rsidRDefault="00C21561" w:rsidP="00EC6F9A">
    <w:pPr>
      <w:pStyle w:val="Header"/>
      <w:jc w:val="right"/>
    </w:pPr>
    <w:r>
      <w:fldChar w:fldCharType="begin"/>
    </w:r>
    <w:r>
      <w:instrText xml:space="preserve"> TITLE  \* MERGEFORMAT </w:instrText>
    </w:r>
    <w:r>
      <w:fldChar w:fldCharType="separate"/>
    </w:r>
    <w:r>
      <w:t>ECE/TRANS/WP.15/AC.1/2023/4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CA8207B"/>
    <w:multiLevelType w:val="hybridMultilevel"/>
    <w:tmpl w:val="D28498CE"/>
    <w:lvl w:ilvl="0" w:tplc="206C157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3C"/>
    <w:rsid w:val="00017F94"/>
    <w:rsid w:val="00023842"/>
    <w:rsid w:val="000334F9"/>
    <w:rsid w:val="00045FEB"/>
    <w:rsid w:val="0007796D"/>
    <w:rsid w:val="000B7790"/>
    <w:rsid w:val="00111F2F"/>
    <w:rsid w:val="0014365E"/>
    <w:rsid w:val="00143C66"/>
    <w:rsid w:val="00176178"/>
    <w:rsid w:val="001C3074"/>
    <w:rsid w:val="001F525A"/>
    <w:rsid w:val="00201148"/>
    <w:rsid w:val="00223272"/>
    <w:rsid w:val="0024779E"/>
    <w:rsid w:val="00257168"/>
    <w:rsid w:val="002744B8"/>
    <w:rsid w:val="002832AC"/>
    <w:rsid w:val="002D7C93"/>
    <w:rsid w:val="00305801"/>
    <w:rsid w:val="003916DE"/>
    <w:rsid w:val="00421996"/>
    <w:rsid w:val="00441C3B"/>
    <w:rsid w:val="00446FE5"/>
    <w:rsid w:val="00447604"/>
    <w:rsid w:val="00452396"/>
    <w:rsid w:val="00477EB2"/>
    <w:rsid w:val="004837D8"/>
    <w:rsid w:val="004C0279"/>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073C"/>
    <w:rsid w:val="00AE323C"/>
    <w:rsid w:val="00AF0CB5"/>
    <w:rsid w:val="00B00181"/>
    <w:rsid w:val="00B00B0D"/>
    <w:rsid w:val="00B45F2E"/>
    <w:rsid w:val="00B765F7"/>
    <w:rsid w:val="00B77993"/>
    <w:rsid w:val="00BA0CA9"/>
    <w:rsid w:val="00C02897"/>
    <w:rsid w:val="00C21561"/>
    <w:rsid w:val="00C97039"/>
    <w:rsid w:val="00CD1C1A"/>
    <w:rsid w:val="00D3439C"/>
    <w:rsid w:val="00D7622E"/>
    <w:rsid w:val="00DB1831"/>
    <w:rsid w:val="00DD3BFD"/>
    <w:rsid w:val="00DF6678"/>
    <w:rsid w:val="00E0299A"/>
    <w:rsid w:val="00E85C74"/>
    <w:rsid w:val="00EA6547"/>
    <w:rsid w:val="00EC6F9A"/>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CE5F0"/>
  <w15:docId w15:val="{60A685BA-54A8-4BEE-A9EC-5EEC2AE7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EC6F9A"/>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EC6F9A"/>
    <w:pPr>
      <w:tabs>
        <w:tab w:val="left" w:pos="74"/>
        <w:tab w:val="left" w:pos="1366"/>
        <w:tab w:val="left" w:pos="2665"/>
        <w:tab w:val="left" w:pos="3963"/>
        <w:tab w:val="left" w:pos="5256"/>
        <w:tab w:val="left" w:pos="6555"/>
        <w:tab w:val="left" w:pos="7847"/>
        <w:tab w:val="left" w:pos="9146"/>
      </w:tabs>
      <w:suppressAutoHyphens w:val="0"/>
      <w:kinsoku/>
      <w:overflowPunct/>
      <w:autoSpaceDE/>
      <w:autoSpaceDN/>
      <w:adjustRightInd/>
      <w:snapToGrid/>
      <w:spacing w:line="240" w:lineRule="auto"/>
      <w:ind w:left="720"/>
    </w:pPr>
    <w:rPr>
      <w:rFonts w:eastAsia="Times New Roman"/>
      <w:sz w:val="22"/>
      <w:szCs w:val="22"/>
      <w:lang w:val="nb-NO" w:eastAsia="nb-NO"/>
    </w:rPr>
  </w:style>
  <w:style w:type="character" w:customStyle="1" w:styleId="HChGChar">
    <w:name w:val="_ H _Ch_G Char"/>
    <w:link w:val="HChG"/>
    <w:rsid w:val="00EC6F9A"/>
    <w:rPr>
      <w:rFonts w:ascii="Times New Roman" w:eastAsiaTheme="minorHAnsi" w:hAnsi="Times New Roman" w:cs="Times New Roman"/>
      <w:b/>
      <w:sz w:val="28"/>
      <w:szCs w:val="20"/>
      <w:lang w:eastAsia="en-US"/>
    </w:rPr>
  </w:style>
  <w:style w:type="character" w:customStyle="1" w:styleId="H1GChar">
    <w:name w:val="_ H_1_G Char"/>
    <w:link w:val="H1G"/>
    <w:rsid w:val="00EC6F9A"/>
    <w:rPr>
      <w:rFonts w:ascii="Times New Roman" w:eastAsiaTheme="minorHAnsi" w:hAnsi="Times New Roman" w:cs="Times New Roman"/>
      <w:b/>
      <w:sz w:val="24"/>
      <w:szCs w:val="20"/>
      <w:lang w:eastAsia="en-US"/>
    </w:rPr>
  </w:style>
  <w:style w:type="paragraph" w:customStyle="1" w:styleId="Hoofdtekst">
    <w:name w:val="Hoofdtekst"/>
    <w:rsid w:val="00EC6F9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1D58706-1AE6-4756-8DC3-0CA3DFBB6FFB}"/>
</file>

<file path=customXml/itemProps2.xml><?xml version="1.0" encoding="utf-8"?>
<ds:datastoreItem xmlns:ds="http://schemas.openxmlformats.org/officeDocument/2006/customXml" ds:itemID="{D0FA5B02-6D7F-4ACD-A5BE-3B4923A615F1}"/>
</file>

<file path=customXml/itemProps3.xml><?xml version="1.0" encoding="utf-8"?>
<ds:datastoreItem xmlns:ds="http://schemas.openxmlformats.org/officeDocument/2006/customXml" ds:itemID="{EEC997CB-BC11-47FD-BBF1-0AB5B3A85F12}"/>
</file>

<file path=docProps/app.xml><?xml version="1.0" encoding="utf-8"?>
<Properties xmlns="http://schemas.openxmlformats.org/officeDocument/2006/extended-properties" xmlns:vt="http://schemas.openxmlformats.org/officeDocument/2006/docPropsVTypes">
  <Template>Normal.dotm</Template>
  <TotalTime>4</TotalTime>
  <Pages>3</Pages>
  <Words>727</Words>
  <Characters>4149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dc:title>
  <dc:subject/>
  <dc:creator>Christine CHAUTAGNAT</dc:creator>
  <cp:keywords/>
  <cp:lastModifiedBy>Laurence Berthet</cp:lastModifiedBy>
  <cp:revision>3</cp:revision>
  <cp:lastPrinted>2023-01-25T13:06:00Z</cp:lastPrinted>
  <dcterms:created xsi:type="dcterms:W3CDTF">2023-01-25T13:06:00Z</dcterms:created>
  <dcterms:modified xsi:type="dcterms:W3CDTF">2023-01-25T13:06:00Z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