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E303E8" w14:textId="77777777" w:rsidTr="00C97039">
        <w:trPr>
          <w:trHeight w:hRule="exact" w:val="851"/>
        </w:trPr>
        <w:tc>
          <w:tcPr>
            <w:tcW w:w="1276" w:type="dxa"/>
            <w:tcBorders>
              <w:bottom w:val="single" w:sz="4" w:space="0" w:color="auto"/>
            </w:tcBorders>
          </w:tcPr>
          <w:p w14:paraId="7ED08F65" w14:textId="77777777" w:rsidR="00F35BAF" w:rsidRPr="00DB58B5" w:rsidRDefault="00F35BAF" w:rsidP="008744F3"/>
        </w:tc>
        <w:tc>
          <w:tcPr>
            <w:tcW w:w="2268" w:type="dxa"/>
            <w:tcBorders>
              <w:bottom w:val="single" w:sz="4" w:space="0" w:color="auto"/>
            </w:tcBorders>
            <w:vAlign w:val="bottom"/>
          </w:tcPr>
          <w:p w14:paraId="221A213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78D07C" w14:textId="2257FCEA" w:rsidR="00F35BAF" w:rsidRPr="00DB58B5" w:rsidRDefault="008744F3" w:rsidP="008744F3">
            <w:pPr>
              <w:jc w:val="right"/>
            </w:pPr>
            <w:r w:rsidRPr="008744F3">
              <w:rPr>
                <w:sz w:val="40"/>
              </w:rPr>
              <w:t>ECE</w:t>
            </w:r>
            <w:r>
              <w:t>/TRANS/WP.15/AC.1/2023/3</w:t>
            </w:r>
          </w:p>
        </w:tc>
      </w:tr>
      <w:tr w:rsidR="00F35BAF" w:rsidRPr="00DB58B5" w14:paraId="382C18BF" w14:textId="77777777" w:rsidTr="00C97039">
        <w:trPr>
          <w:trHeight w:hRule="exact" w:val="2835"/>
        </w:trPr>
        <w:tc>
          <w:tcPr>
            <w:tcW w:w="1276" w:type="dxa"/>
            <w:tcBorders>
              <w:top w:val="single" w:sz="4" w:space="0" w:color="auto"/>
              <w:bottom w:val="single" w:sz="12" w:space="0" w:color="auto"/>
            </w:tcBorders>
          </w:tcPr>
          <w:p w14:paraId="7819B378" w14:textId="77777777" w:rsidR="00F35BAF" w:rsidRPr="00DB58B5" w:rsidRDefault="00F35BAF" w:rsidP="00C97039">
            <w:pPr>
              <w:spacing w:before="120"/>
              <w:jc w:val="center"/>
            </w:pPr>
            <w:r>
              <w:rPr>
                <w:noProof/>
                <w:lang w:eastAsia="fr-CH"/>
              </w:rPr>
              <w:drawing>
                <wp:inline distT="0" distB="0" distL="0" distR="0" wp14:anchorId="3617BDA4" wp14:editId="47D315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06FAC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E22929" w14:textId="77777777" w:rsidR="00F35BAF" w:rsidRDefault="008744F3" w:rsidP="00C97039">
            <w:pPr>
              <w:spacing w:before="240"/>
            </w:pPr>
            <w:r>
              <w:t xml:space="preserve">Distr. </w:t>
            </w:r>
            <w:proofErr w:type="gramStart"/>
            <w:r>
              <w:t>générale</w:t>
            </w:r>
            <w:proofErr w:type="gramEnd"/>
          </w:p>
          <w:p w14:paraId="34089D15" w14:textId="77777777" w:rsidR="008744F3" w:rsidRDefault="008744F3" w:rsidP="008744F3">
            <w:pPr>
              <w:spacing w:line="240" w:lineRule="exact"/>
            </w:pPr>
            <w:r>
              <w:t>21 novembre 2022</w:t>
            </w:r>
          </w:p>
          <w:p w14:paraId="6BC05216" w14:textId="77777777" w:rsidR="008744F3" w:rsidRDefault="008744F3" w:rsidP="008744F3">
            <w:pPr>
              <w:spacing w:line="240" w:lineRule="exact"/>
            </w:pPr>
            <w:r>
              <w:t>Français</w:t>
            </w:r>
          </w:p>
          <w:p w14:paraId="5FCF8B9E" w14:textId="203CA90E" w:rsidR="008744F3" w:rsidRPr="00DB58B5" w:rsidRDefault="008744F3" w:rsidP="008744F3">
            <w:pPr>
              <w:spacing w:line="240" w:lineRule="exact"/>
            </w:pPr>
            <w:r>
              <w:t>Original : anglais</w:t>
            </w:r>
          </w:p>
        </w:tc>
      </w:tr>
    </w:tbl>
    <w:p w14:paraId="0EBE23E4" w14:textId="77777777" w:rsidR="007F20FA" w:rsidRPr="000312C0" w:rsidRDefault="007F20FA" w:rsidP="007F20FA">
      <w:pPr>
        <w:spacing w:before="120"/>
        <w:rPr>
          <w:b/>
          <w:sz w:val="28"/>
          <w:szCs w:val="28"/>
        </w:rPr>
      </w:pPr>
      <w:r w:rsidRPr="000312C0">
        <w:rPr>
          <w:b/>
          <w:sz w:val="28"/>
          <w:szCs w:val="28"/>
        </w:rPr>
        <w:t>Commission économique pour l’Europe</w:t>
      </w:r>
    </w:p>
    <w:p w14:paraId="2F73A6C3" w14:textId="77777777" w:rsidR="007F20FA" w:rsidRDefault="007F20FA" w:rsidP="007F20FA">
      <w:pPr>
        <w:spacing w:before="120"/>
        <w:rPr>
          <w:sz w:val="28"/>
          <w:szCs w:val="28"/>
        </w:rPr>
      </w:pPr>
      <w:r w:rsidRPr="00685843">
        <w:rPr>
          <w:sz w:val="28"/>
          <w:szCs w:val="28"/>
        </w:rPr>
        <w:t>Comité des transports intérieurs</w:t>
      </w:r>
    </w:p>
    <w:p w14:paraId="3DB442F3" w14:textId="25D60867" w:rsidR="008744F3" w:rsidRPr="008744F3" w:rsidRDefault="008744F3" w:rsidP="00371BB2">
      <w:pPr>
        <w:kinsoku/>
        <w:overflowPunct/>
        <w:autoSpaceDE/>
        <w:autoSpaceDN/>
        <w:adjustRightInd/>
        <w:snapToGrid/>
        <w:spacing w:before="120"/>
        <w:rPr>
          <w:rFonts w:eastAsia="Times New Roman"/>
          <w:b/>
          <w:sz w:val="24"/>
          <w:szCs w:val="24"/>
          <w:lang w:val="en-GB" w:eastAsia="fr-FR"/>
        </w:rPr>
      </w:pPr>
      <w:r w:rsidRPr="008744F3">
        <w:rPr>
          <w:rFonts w:eastAsia="Times New Roman"/>
          <w:b/>
          <w:sz w:val="24"/>
          <w:szCs w:val="24"/>
          <w:lang w:val="en-GB" w:eastAsia="fr-FR"/>
        </w:rPr>
        <w:t xml:space="preserve">Groupe de travail des transports </w:t>
      </w:r>
      <w:r w:rsidR="00371BB2">
        <w:rPr>
          <w:rFonts w:eastAsia="Times New Roman"/>
          <w:b/>
          <w:sz w:val="24"/>
          <w:szCs w:val="24"/>
          <w:lang w:val="en-GB" w:eastAsia="fr-FR"/>
        </w:rPr>
        <w:br/>
      </w:r>
      <w:r w:rsidRPr="008744F3">
        <w:rPr>
          <w:rFonts w:eastAsia="Times New Roman"/>
          <w:b/>
          <w:sz w:val="24"/>
          <w:szCs w:val="24"/>
          <w:lang w:val="en-GB" w:eastAsia="fr-FR"/>
        </w:rPr>
        <w:t>de marchandises dangereuses</w:t>
      </w:r>
    </w:p>
    <w:p w14:paraId="477928D6" w14:textId="565017DB" w:rsidR="008744F3" w:rsidRPr="008744F3" w:rsidRDefault="008744F3" w:rsidP="00371BB2">
      <w:pPr>
        <w:spacing w:before="120"/>
        <w:rPr>
          <w:b/>
          <w:bCs/>
          <w:lang w:val="fr-FR"/>
        </w:rPr>
      </w:pPr>
      <w:r w:rsidRPr="008744F3">
        <w:rPr>
          <w:b/>
          <w:bCs/>
          <w:lang w:val="fr-FR"/>
        </w:rPr>
        <w:t xml:space="preserve">Réunion commune de la Commission d’experts du RID </w:t>
      </w:r>
      <w:r w:rsidR="00371BB2">
        <w:rPr>
          <w:b/>
          <w:bCs/>
          <w:lang w:val="fr-FR"/>
        </w:rPr>
        <w:br/>
      </w:r>
      <w:r w:rsidRPr="008744F3">
        <w:rPr>
          <w:b/>
          <w:bCs/>
          <w:lang w:val="fr-FR"/>
        </w:rPr>
        <w:t xml:space="preserve">et du Groupe de travail des transports de marchandises </w:t>
      </w:r>
      <w:r w:rsidR="00371BB2">
        <w:rPr>
          <w:b/>
          <w:bCs/>
          <w:lang w:val="fr-FR"/>
        </w:rPr>
        <w:br/>
      </w:r>
      <w:r w:rsidRPr="008744F3">
        <w:rPr>
          <w:b/>
          <w:bCs/>
          <w:lang w:val="fr-FR"/>
        </w:rPr>
        <w:t>dangereuses (Réunion commune RID/ADR/ADN)</w:t>
      </w:r>
    </w:p>
    <w:p w14:paraId="0E207B4D" w14:textId="77777777" w:rsidR="008744F3" w:rsidRPr="008744F3" w:rsidRDefault="008744F3" w:rsidP="008744F3">
      <w:pPr>
        <w:rPr>
          <w:lang w:val="fr-FR"/>
        </w:rPr>
      </w:pPr>
      <w:r w:rsidRPr="008744F3">
        <w:rPr>
          <w:lang w:val="fr-FR"/>
        </w:rPr>
        <w:t>Genève, 20-24 mars 2023</w:t>
      </w:r>
    </w:p>
    <w:p w14:paraId="0F26FF7C" w14:textId="77777777" w:rsidR="008744F3" w:rsidRPr="008744F3" w:rsidRDefault="008744F3" w:rsidP="008744F3">
      <w:pPr>
        <w:rPr>
          <w:lang w:val="fr-FR"/>
        </w:rPr>
      </w:pPr>
      <w:r w:rsidRPr="008744F3">
        <w:rPr>
          <w:lang w:val="fr-FR"/>
        </w:rPr>
        <w:t>Point 5 b) de l’ordre du jour provisoire</w:t>
      </w:r>
    </w:p>
    <w:p w14:paraId="0A9F2A66" w14:textId="0F7A9CD7" w:rsidR="008744F3" w:rsidRPr="008744F3" w:rsidRDefault="008744F3" w:rsidP="008744F3">
      <w:pPr>
        <w:rPr>
          <w:b/>
          <w:bCs/>
          <w:lang w:val="fr-FR"/>
        </w:rPr>
      </w:pPr>
      <w:r w:rsidRPr="008744F3">
        <w:rPr>
          <w:b/>
          <w:bCs/>
          <w:lang w:val="fr-FR"/>
        </w:rPr>
        <w:t>Propositions d’amendements au RID, à l’ADR et à l’ADN</w:t>
      </w:r>
      <w:r w:rsidR="00371BB2">
        <w:rPr>
          <w:b/>
          <w:bCs/>
          <w:lang w:val="fr-FR"/>
        </w:rPr>
        <w:t> </w:t>
      </w:r>
      <w:r w:rsidRPr="008744F3">
        <w:rPr>
          <w:b/>
          <w:bCs/>
          <w:lang w:val="fr-FR"/>
        </w:rPr>
        <w:t xml:space="preserve">: </w:t>
      </w:r>
      <w:r w:rsidR="00371BB2" w:rsidRPr="00371BB2">
        <w:rPr>
          <w:b/>
          <w:bCs/>
          <w:lang w:val="fr-FR"/>
        </w:rPr>
        <w:br/>
      </w:r>
      <w:r w:rsidRPr="008744F3">
        <w:rPr>
          <w:b/>
          <w:bCs/>
          <w:lang w:val="fr-FR"/>
        </w:rPr>
        <w:t>nouvelles propositions</w:t>
      </w:r>
    </w:p>
    <w:p w14:paraId="172A455A" w14:textId="356783C3" w:rsidR="008744F3" w:rsidRPr="008744F3" w:rsidRDefault="008744F3" w:rsidP="00371BB2">
      <w:pPr>
        <w:pStyle w:val="HChG"/>
        <w:rPr>
          <w:lang w:val="fr-FR"/>
        </w:rPr>
      </w:pPr>
      <w:r w:rsidRPr="008744F3">
        <w:rPr>
          <w:lang w:val="fr-FR"/>
        </w:rPr>
        <w:tab/>
      </w:r>
      <w:r w:rsidRPr="008744F3">
        <w:rPr>
          <w:lang w:val="fr-FR"/>
        </w:rPr>
        <w:tab/>
        <w:t xml:space="preserve">Approche rationalisée pour affecter les codes-citerne </w:t>
      </w:r>
      <w:r w:rsidR="00371BB2">
        <w:rPr>
          <w:lang w:val="fr-FR"/>
        </w:rPr>
        <w:br/>
      </w:r>
      <w:r w:rsidRPr="008744F3">
        <w:rPr>
          <w:lang w:val="fr-FR"/>
        </w:rPr>
        <w:t>à des groupes de matières au 4.3.4.1.2</w:t>
      </w:r>
    </w:p>
    <w:p w14:paraId="4BB34D4F" w14:textId="3798D86D" w:rsidR="008744F3" w:rsidRDefault="008744F3" w:rsidP="00371BB2">
      <w:pPr>
        <w:pStyle w:val="H1G"/>
        <w:rPr>
          <w:b w:val="0"/>
          <w:bCs/>
          <w:sz w:val="20"/>
        </w:rPr>
      </w:pPr>
      <w:r w:rsidRPr="008744F3">
        <w:rPr>
          <w:lang w:val="fr-FR"/>
        </w:rPr>
        <w:tab/>
      </w:r>
      <w:r w:rsidRPr="008744F3">
        <w:rPr>
          <w:lang w:val="fr-FR"/>
        </w:rPr>
        <w:tab/>
        <w:t>Communication du secrétariat de l’OTIF</w:t>
      </w:r>
      <w:r w:rsidR="00371BB2" w:rsidRPr="00371BB2">
        <w:rPr>
          <w:rStyle w:val="FootnoteReference"/>
          <w:b w:val="0"/>
          <w:bCs/>
          <w:sz w:val="20"/>
          <w:vertAlign w:val="baseline"/>
        </w:rPr>
        <w:footnoteReference w:customMarkFollows="1" w:id="2"/>
        <w:t>*</w:t>
      </w:r>
      <w:r w:rsidRPr="008744F3">
        <w:rPr>
          <w:vertAlign w:val="superscript"/>
          <w:lang w:val="fr-FR"/>
        </w:rPr>
        <w:t>,</w:t>
      </w:r>
      <w:r w:rsidR="00371BB2">
        <w:rPr>
          <w:vertAlign w:val="superscript"/>
          <w:lang w:val="fr-FR"/>
        </w:rPr>
        <w:t xml:space="preserve"> </w:t>
      </w:r>
      <w:r w:rsidRPr="00371BB2">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71BB2" w14:paraId="1E67436C" w14:textId="77777777">
        <w:trPr>
          <w:jc w:val="center"/>
        </w:trPr>
        <w:tc>
          <w:tcPr>
            <w:tcW w:w="9637" w:type="dxa"/>
            <w:shd w:val="clear" w:color="auto" w:fill="auto"/>
          </w:tcPr>
          <w:p w14:paraId="7A049F7C" w14:textId="77777777" w:rsidR="00371BB2" w:rsidRDefault="00371BB2">
            <w:pPr>
              <w:spacing w:before="240" w:after="120"/>
              <w:ind w:left="255"/>
              <w:rPr>
                <w:i/>
                <w:sz w:val="24"/>
              </w:rPr>
            </w:pPr>
            <w:r>
              <w:rPr>
                <w:i/>
                <w:sz w:val="24"/>
              </w:rPr>
              <w:t>Résumé</w:t>
            </w:r>
          </w:p>
        </w:tc>
      </w:tr>
      <w:tr w:rsidR="00371BB2" w14:paraId="586BF964" w14:textId="77777777">
        <w:trPr>
          <w:jc w:val="center"/>
        </w:trPr>
        <w:tc>
          <w:tcPr>
            <w:tcW w:w="9637" w:type="dxa"/>
            <w:shd w:val="clear" w:color="auto" w:fill="auto"/>
          </w:tcPr>
          <w:p w14:paraId="7A9244F2" w14:textId="7233CFB0" w:rsidR="00371BB2" w:rsidRDefault="008744F3" w:rsidP="00371BB2">
            <w:pPr>
              <w:tabs>
                <w:tab w:val="left" w:pos="3260"/>
              </w:tabs>
              <w:kinsoku/>
              <w:overflowPunct/>
              <w:autoSpaceDE/>
              <w:autoSpaceDN/>
              <w:adjustRightInd/>
              <w:snapToGrid/>
              <w:spacing w:after="120"/>
              <w:ind w:left="3260" w:right="858" w:hanging="2419"/>
              <w:jc w:val="both"/>
            </w:pPr>
            <w:r w:rsidRPr="008744F3">
              <w:rPr>
                <w:b/>
                <w:bCs/>
                <w:lang w:val="fr-FR"/>
              </w:rPr>
              <w:t>Résumé analytique</w:t>
            </w:r>
            <w:r w:rsidRPr="008744F3">
              <w:rPr>
                <w:lang w:val="fr-FR"/>
              </w:rPr>
              <w:t xml:space="preserve"> : </w:t>
            </w:r>
            <w:r w:rsidRPr="008744F3">
              <w:rPr>
                <w:lang w:val="fr-FR"/>
              </w:rPr>
              <w:tab/>
              <w:t>Omission d’un amendement de conséquence lié à un amendement entré en vigueur le 1</w:t>
            </w:r>
            <w:r w:rsidRPr="008744F3">
              <w:rPr>
                <w:vertAlign w:val="superscript"/>
                <w:lang w:val="fr-FR"/>
              </w:rPr>
              <w:t>er</w:t>
            </w:r>
            <w:r w:rsidRPr="008744F3">
              <w:rPr>
                <w:lang w:val="fr-FR"/>
              </w:rPr>
              <w:t xml:space="preserve"> janvier 2015.</w:t>
            </w:r>
          </w:p>
        </w:tc>
      </w:tr>
      <w:tr w:rsidR="00371BB2" w14:paraId="0DF6E20F" w14:textId="77777777">
        <w:trPr>
          <w:jc w:val="center"/>
        </w:trPr>
        <w:tc>
          <w:tcPr>
            <w:tcW w:w="9637" w:type="dxa"/>
            <w:shd w:val="clear" w:color="auto" w:fill="auto"/>
          </w:tcPr>
          <w:p w14:paraId="2C853960" w14:textId="334071FC" w:rsidR="00371BB2" w:rsidRPr="00371BB2" w:rsidRDefault="008744F3" w:rsidP="00371BB2">
            <w:pPr>
              <w:tabs>
                <w:tab w:val="left" w:pos="3260"/>
              </w:tabs>
              <w:kinsoku/>
              <w:overflowPunct/>
              <w:autoSpaceDE/>
              <w:autoSpaceDN/>
              <w:adjustRightInd/>
              <w:snapToGrid/>
              <w:spacing w:after="120"/>
              <w:ind w:left="3260" w:right="858" w:hanging="2419"/>
              <w:jc w:val="both"/>
              <w:rPr>
                <w:b/>
                <w:bCs/>
                <w:lang w:val="fr-FR"/>
              </w:rPr>
            </w:pPr>
            <w:r w:rsidRPr="008744F3">
              <w:rPr>
                <w:b/>
                <w:bCs/>
                <w:lang w:val="fr-FR"/>
              </w:rPr>
              <w:t xml:space="preserve">Mesure à prendre </w:t>
            </w:r>
            <w:r w:rsidRPr="008744F3">
              <w:rPr>
                <w:lang w:val="fr-FR"/>
              </w:rPr>
              <w:t>:</w:t>
            </w:r>
            <w:r w:rsidRPr="008744F3">
              <w:rPr>
                <w:b/>
                <w:bCs/>
                <w:lang w:val="fr-FR"/>
              </w:rPr>
              <w:tab/>
            </w:r>
            <w:r w:rsidRPr="008744F3">
              <w:rPr>
                <w:lang w:val="fr-FR"/>
              </w:rPr>
              <w:t>Adapter l’approche rationalisée pour affecter les codes-citerne à des groupes de matières au 4.3.4.1.2</w:t>
            </w:r>
          </w:p>
        </w:tc>
      </w:tr>
      <w:tr w:rsidR="00371BB2" w14:paraId="7B211348" w14:textId="77777777">
        <w:trPr>
          <w:jc w:val="center"/>
        </w:trPr>
        <w:tc>
          <w:tcPr>
            <w:tcW w:w="9637" w:type="dxa"/>
            <w:shd w:val="clear" w:color="auto" w:fill="auto"/>
          </w:tcPr>
          <w:p w14:paraId="62EB6225" w14:textId="7757A4FB" w:rsidR="00371BB2" w:rsidRPr="008744F3" w:rsidRDefault="008744F3" w:rsidP="00371BB2">
            <w:pPr>
              <w:tabs>
                <w:tab w:val="left" w:pos="3260"/>
              </w:tabs>
              <w:kinsoku/>
              <w:overflowPunct/>
              <w:autoSpaceDE/>
              <w:autoSpaceDN/>
              <w:adjustRightInd/>
              <w:snapToGrid/>
              <w:spacing w:after="120"/>
              <w:ind w:left="3260" w:right="858" w:hanging="2419"/>
              <w:rPr>
                <w:lang w:val="fr-FR"/>
              </w:rPr>
            </w:pPr>
            <w:r w:rsidRPr="008744F3">
              <w:rPr>
                <w:b/>
                <w:bCs/>
                <w:lang w:val="fr-FR"/>
              </w:rPr>
              <w:t>Documents connexes</w:t>
            </w:r>
            <w:r w:rsidRPr="008744F3">
              <w:rPr>
                <w:lang w:val="fr-FR"/>
              </w:rPr>
              <w:t xml:space="preserve"> :</w:t>
            </w:r>
            <w:r w:rsidRPr="008744F3">
              <w:rPr>
                <w:lang w:val="fr-FR"/>
              </w:rPr>
              <w:tab/>
              <w:t>ECE/TRANS/WP.15/AC.1/2013/31 et /Add.1,</w:t>
            </w:r>
            <w:r w:rsidR="00371BB2">
              <w:rPr>
                <w:lang w:val="fr-FR"/>
              </w:rPr>
              <w:br/>
            </w:r>
            <w:r w:rsidRPr="008744F3">
              <w:rPr>
                <w:lang w:val="fr-FR"/>
              </w:rPr>
              <w:t xml:space="preserve">ECE/TRANS/WP.15/AC.1/2014/20 </w:t>
            </w:r>
            <w:r w:rsidR="00371BB2">
              <w:rPr>
                <w:lang w:val="fr-FR"/>
              </w:rPr>
              <w:br/>
            </w:r>
            <w:r w:rsidRPr="008744F3">
              <w:rPr>
                <w:lang w:val="fr-FR"/>
              </w:rPr>
              <w:t>Document informel INF.29 de la Réunion commune (mars 2014)</w:t>
            </w:r>
            <w:r w:rsidRPr="008744F3">
              <w:rPr>
                <w:lang w:val="fr-FR"/>
              </w:rPr>
              <w:br/>
              <w:t>ECE/TRANS/WP.15/AC.1/134, par. 23 et 24</w:t>
            </w:r>
            <w:r w:rsidRPr="008744F3">
              <w:rPr>
                <w:lang w:val="fr-FR"/>
              </w:rPr>
              <w:br/>
              <w:t>ECE/TRANS/WP.15/AC.1/134/Add.2</w:t>
            </w:r>
          </w:p>
        </w:tc>
      </w:tr>
      <w:tr w:rsidR="00371BB2" w14:paraId="7FD78A91" w14:textId="77777777">
        <w:trPr>
          <w:jc w:val="center"/>
        </w:trPr>
        <w:tc>
          <w:tcPr>
            <w:tcW w:w="9637" w:type="dxa"/>
            <w:shd w:val="clear" w:color="auto" w:fill="auto"/>
          </w:tcPr>
          <w:p w14:paraId="414B465F" w14:textId="77777777" w:rsidR="00371BB2" w:rsidRDefault="00371BB2"/>
        </w:tc>
      </w:tr>
    </w:tbl>
    <w:p w14:paraId="73CFA64E" w14:textId="77777777" w:rsidR="008744F3" w:rsidRPr="008744F3" w:rsidRDefault="008744F3" w:rsidP="00371BB2">
      <w:pPr>
        <w:pStyle w:val="HChG"/>
        <w:rPr>
          <w:lang w:val="fr-FR"/>
        </w:rPr>
      </w:pPr>
      <w:r w:rsidRPr="008744F3">
        <w:rPr>
          <w:lang w:val="fr-FR"/>
        </w:rPr>
        <w:tab/>
      </w:r>
      <w:r w:rsidRPr="008744F3">
        <w:rPr>
          <w:lang w:val="fr-FR"/>
        </w:rPr>
        <w:tab/>
        <w:t>Introduction</w:t>
      </w:r>
    </w:p>
    <w:p w14:paraId="002BF6FA" w14:textId="77777777" w:rsidR="008744F3" w:rsidRPr="008744F3" w:rsidRDefault="008744F3" w:rsidP="00371BB2">
      <w:pPr>
        <w:pStyle w:val="SingleTxtG"/>
        <w:rPr>
          <w:lang w:val="fr-FR"/>
        </w:rPr>
      </w:pPr>
      <w:r w:rsidRPr="008744F3">
        <w:rPr>
          <w:lang w:val="fr-FR"/>
        </w:rPr>
        <w:t>1.</w:t>
      </w:r>
      <w:r w:rsidRPr="008744F3">
        <w:rPr>
          <w:lang w:val="fr-FR"/>
        </w:rPr>
        <w:tab/>
        <w:t>Le 4.3.4.1.2 du RID et de l’ADR contient l’approche rationalisée pour affecter les codes-citerne à des groupes de matières.</w:t>
      </w:r>
    </w:p>
    <w:p w14:paraId="31AE7305" w14:textId="77777777" w:rsidR="008744F3" w:rsidRPr="008744F3" w:rsidRDefault="008744F3" w:rsidP="00371BB2">
      <w:pPr>
        <w:pStyle w:val="SingleTxtG"/>
        <w:rPr>
          <w:lang w:val="fr-FR"/>
        </w:rPr>
      </w:pPr>
      <w:r w:rsidRPr="008744F3">
        <w:rPr>
          <w:lang w:val="fr-FR"/>
        </w:rPr>
        <w:t>2.</w:t>
      </w:r>
      <w:r w:rsidRPr="008744F3">
        <w:rPr>
          <w:lang w:val="fr-FR"/>
        </w:rPr>
        <w:tab/>
        <w:t>Il a été constaté que ce tableau ne tient pas compte d’une décision de la Réunion commune entrée en vigueur le 1</w:t>
      </w:r>
      <w:r w:rsidRPr="008744F3">
        <w:rPr>
          <w:vertAlign w:val="superscript"/>
          <w:lang w:val="fr-FR"/>
        </w:rPr>
        <w:t>er</w:t>
      </w:r>
      <w:r w:rsidRPr="008744F3">
        <w:rPr>
          <w:lang w:val="fr-FR"/>
        </w:rPr>
        <w:t xml:space="preserve"> janvier 2015, ce qui doit être corrigé à deux endroits.</w:t>
      </w:r>
    </w:p>
    <w:p w14:paraId="0C7F4204" w14:textId="77777777" w:rsidR="008744F3" w:rsidRPr="008744F3" w:rsidRDefault="008744F3" w:rsidP="00371BB2">
      <w:pPr>
        <w:pStyle w:val="HChG"/>
        <w:rPr>
          <w:lang w:val="fr-FR"/>
        </w:rPr>
      </w:pPr>
      <w:r w:rsidRPr="008744F3">
        <w:rPr>
          <w:lang w:val="fr-FR"/>
        </w:rPr>
        <w:lastRenderedPageBreak/>
        <w:tab/>
      </w:r>
      <w:r w:rsidRPr="008744F3">
        <w:rPr>
          <w:lang w:val="fr-FR"/>
        </w:rPr>
        <w:tab/>
        <w:t>Proposition</w:t>
      </w:r>
    </w:p>
    <w:p w14:paraId="091441FD" w14:textId="1C08FF57" w:rsidR="008744F3" w:rsidRPr="008744F3" w:rsidRDefault="008744F3" w:rsidP="00371BB2">
      <w:pPr>
        <w:pStyle w:val="SingleTxtG"/>
        <w:rPr>
          <w:lang w:val="fr-FR"/>
        </w:rPr>
      </w:pPr>
      <w:r w:rsidRPr="008744F3">
        <w:rPr>
          <w:lang w:val="fr-FR"/>
        </w:rPr>
        <w:t>3.</w:t>
      </w:r>
      <w:r w:rsidRPr="008744F3">
        <w:rPr>
          <w:lang w:val="fr-FR"/>
        </w:rPr>
        <w:tab/>
        <w:t>Dans le tableau du 4.3.4.1.2 du RID et de l’ADR, pour le code-</w:t>
      </w:r>
      <w:r w:rsidRPr="00371BB2">
        <w:rPr>
          <w:lang w:val="fr-FR"/>
        </w:rPr>
        <w:t>citerne L1,5BN,</w:t>
      </w:r>
      <w:r w:rsidRPr="008744F3">
        <w:rPr>
          <w:lang w:val="fr-FR"/>
        </w:rPr>
        <w:t xml:space="preserve"> supprimer la deuxième ligne (« 3 | F1 | III, point d’éclair &lt; 23</w:t>
      </w:r>
      <w:r w:rsidR="00371BB2">
        <w:rPr>
          <w:lang w:val="fr-FR"/>
        </w:rPr>
        <w:t> </w:t>
      </w:r>
      <w:r w:rsidRPr="008744F3">
        <w:rPr>
          <w:lang w:val="fr-FR"/>
        </w:rPr>
        <w:t>°C, visqueux, pression de vapeur à 50</w:t>
      </w:r>
      <w:r w:rsidR="00371BB2">
        <w:rPr>
          <w:lang w:val="fr-FR"/>
        </w:rPr>
        <w:t> </w:t>
      </w:r>
      <w:r w:rsidRPr="008744F3">
        <w:rPr>
          <w:lang w:val="fr-FR"/>
        </w:rPr>
        <w:t>°C &gt; 1,1 bar, point d’ébullition &gt; 35</w:t>
      </w:r>
      <w:r w:rsidR="00371BB2">
        <w:rPr>
          <w:lang w:val="fr-FR"/>
        </w:rPr>
        <w:t> </w:t>
      </w:r>
      <w:r w:rsidRPr="008744F3">
        <w:rPr>
          <w:lang w:val="fr-FR"/>
        </w:rPr>
        <w:t>°C »).</w:t>
      </w:r>
    </w:p>
    <w:p w14:paraId="693432AB" w14:textId="2D8B9A26" w:rsidR="008744F3" w:rsidRPr="008744F3" w:rsidRDefault="008744F3" w:rsidP="00371BB2">
      <w:pPr>
        <w:pStyle w:val="SingleTxtG"/>
        <w:rPr>
          <w:lang w:val="fr-FR"/>
        </w:rPr>
      </w:pPr>
      <w:r w:rsidRPr="008744F3">
        <w:rPr>
          <w:lang w:val="fr-FR"/>
        </w:rPr>
        <w:t>4.</w:t>
      </w:r>
      <w:r w:rsidRPr="008744F3">
        <w:rPr>
          <w:lang w:val="fr-FR"/>
        </w:rPr>
        <w:tab/>
        <w:t>Dans le tableau du 4.3.4.1.2 du RID et de l’ADR, pour le code-citerne L4BN, supprimer la deuxième ligne (« 3 | F1 | III, point d’ébullition ≤ 35</w:t>
      </w:r>
      <w:r w:rsidR="00371BB2">
        <w:rPr>
          <w:lang w:val="fr-FR"/>
        </w:rPr>
        <w:t> </w:t>
      </w:r>
      <w:r w:rsidRPr="008744F3">
        <w:rPr>
          <w:lang w:val="fr-FR"/>
        </w:rPr>
        <w:t>°C »).</w:t>
      </w:r>
    </w:p>
    <w:p w14:paraId="1288A6F6" w14:textId="77777777" w:rsidR="008744F3" w:rsidRPr="008744F3" w:rsidRDefault="008744F3" w:rsidP="00371BB2">
      <w:pPr>
        <w:pStyle w:val="HChG"/>
        <w:rPr>
          <w:lang w:val="fr-FR"/>
        </w:rPr>
      </w:pPr>
      <w:r w:rsidRPr="008744F3">
        <w:rPr>
          <w:lang w:val="fr-FR"/>
        </w:rPr>
        <w:tab/>
      </w:r>
      <w:r w:rsidRPr="008744F3">
        <w:rPr>
          <w:lang w:val="fr-FR"/>
        </w:rPr>
        <w:tab/>
        <w:t>Justification</w:t>
      </w:r>
    </w:p>
    <w:p w14:paraId="1F79E0DE" w14:textId="67179F8C" w:rsidR="008744F3" w:rsidRPr="008744F3" w:rsidRDefault="008744F3" w:rsidP="00371BB2">
      <w:pPr>
        <w:pStyle w:val="SingleTxtG"/>
        <w:rPr>
          <w:lang w:val="fr-FR"/>
        </w:rPr>
      </w:pPr>
      <w:r w:rsidRPr="008744F3">
        <w:rPr>
          <w:lang w:val="fr-FR"/>
        </w:rPr>
        <w:t>5.</w:t>
      </w:r>
      <w:r w:rsidRPr="008744F3">
        <w:rPr>
          <w:lang w:val="fr-FR"/>
        </w:rPr>
        <w:tab/>
        <w:t>Lors de la Réunion commune RID/ADR/ADN (Berne, 17-21 mars 2014), le document informel INF.29 du Royaume-Uni a été adopté. Il concerne une décision prise par la Réunion commune de limiter à 450 litres la capacité des récipients contenant des liquides inflammables visqueux dont le point d’éclair est inférieur à 23</w:t>
      </w:r>
      <w:r w:rsidR="00371BB2">
        <w:rPr>
          <w:lang w:val="fr-FR"/>
        </w:rPr>
        <w:t> </w:t>
      </w:r>
      <w:r w:rsidRPr="008744F3">
        <w:rPr>
          <w:lang w:val="fr-FR"/>
        </w:rPr>
        <w:t>°C, qui peuvent être affectés au groupe d’emballage III conformément au 2.2.3.1.4. Par la décision en question, la Réunion commune a supprimé la possibilité de transporter ces substances en citernes.</w:t>
      </w:r>
    </w:p>
    <w:p w14:paraId="21B472A7" w14:textId="02989482" w:rsidR="008744F3" w:rsidRPr="008744F3" w:rsidRDefault="008744F3" w:rsidP="00371BB2">
      <w:pPr>
        <w:pStyle w:val="SingleTxtG"/>
        <w:rPr>
          <w:lang w:val="fr-FR"/>
        </w:rPr>
      </w:pPr>
      <w:r w:rsidRPr="008744F3">
        <w:rPr>
          <w:lang w:val="fr-FR"/>
        </w:rPr>
        <w:t>6.</w:t>
      </w:r>
      <w:r w:rsidRPr="008744F3">
        <w:rPr>
          <w:lang w:val="fr-FR"/>
        </w:rPr>
        <w:tab/>
        <w:t>En conséquence, une seule ligne a été maintenue dans le tableau A du chapitre</w:t>
      </w:r>
      <w:r w:rsidR="00371BB2">
        <w:rPr>
          <w:lang w:val="fr-FR"/>
        </w:rPr>
        <w:t> </w:t>
      </w:r>
      <w:r w:rsidRPr="008744F3">
        <w:rPr>
          <w:lang w:val="fr-FR"/>
        </w:rPr>
        <w:t>3.2 pour le transport en citernes des matières des Nos ONU 1133, 1139, 1169, 1197, 1210, 1263, 1266, 1286, 1287, 1306, 1866, 1993 et 1999 affectées au groupe d’emballage III. Pour le transport en citernes, les textes explicatifs ci-après de la colonne (2) du tableau A et les dispositions spéciales « 640F », « 640G » et « 640H » dans la colonne (6) ont été omis :</w:t>
      </w:r>
    </w:p>
    <w:p w14:paraId="229F2785" w14:textId="355107E7" w:rsidR="008744F3" w:rsidRPr="008744F3" w:rsidRDefault="008744F3" w:rsidP="00371BB2">
      <w:pPr>
        <w:pStyle w:val="Bullet1G"/>
        <w:rPr>
          <w:lang w:val="fr-FR"/>
        </w:rPr>
      </w:pPr>
      <w:r w:rsidRPr="008744F3">
        <w:rPr>
          <w:lang w:val="fr-FR"/>
        </w:rPr>
        <w:t>(</w:t>
      </w:r>
      <w:proofErr w:type="gramStart"/>
      <w:r w:rsidRPr="008744F3">
        <w:rPr>
          <w:lang w:val="fr-FR"/>
        </w:rPr>
        <w:t>ayant</w:t>
      </w:r>
      <w:proofErr w:type="gramEnd"/>
      <w:r w:rsidRPr="008744F3">
        <w:rPr>
          <w:lang w:val="fr-FR"/>
        </w:rPr>
        <w:t xml:space="preserve"> un point d’éclair inférieur à 23 °C et visqueux selon 2.2.3.1.4) (point d’ébullition d’au plus 35 °C),</w:t>
      </w:r>
    </w:p>
    <w:p w14:paraId="4EBBCB4B" w14:textId="6CD9154C" w:rsidR="008744F3" w:rsidRPr="008744F3" w:rsidRDefault="008744F3" w:rsidP="00371BB2">
      <w:pPr>
        <w:pStyle w:val="Bullet1G"/>
        <w:rPr>
          <w:lang w:val="fr-FR"/>
        </w:rPr>
      </w:pPr>
      <w:r w:rsidRPr="008744F3">
        <w:rPr>
          <w:lang w:val="fr-FR"/>
        </w:rPr>
        <w:t>(</w:t>
      </w:r>
      <w:proofErr w:type="gramStart"/>
      <w:r w:rsidRPr="008744F3">
        <w:rPr>
          <w:lang w:val="fr-FR"/>
        </w:rPr>
        <w:t>ayant</w:t>
      </w:r>
      <w:proofErr w:type="gramEnd"/>
      <w:r w:rsidRPr="008744F3">
        <w:rPr>
          <w:lang w:val="fr-FR"/>
        </w:rPr>
        <w:t xml:space="preserve"> un point d’éclair inférieur à 23 °C et visqueux selon 2.2.3.1.4) (pression de vapeur à 50 °C supérieure à 110 kPa, point d’ébullition supérieur à 35 °C)</w:t>
      </w:r>
    </w:p>
    <w:p w14:paraId="1572DC02" w14:textId="3285F6E6" w:rsidR="008744F3" w:rsidRPr="008744F3" w:rsidRDefault="008744F3" w:rsidP="00371BB2">
      <w:pPr>
        <w:pStyle w:val="Bullet1G"/>
        <w:rPr>
          <w:lang w:val="fr-FR"/>
        </w:rPr>
      </w:pPr>
      <w:r w:rsidRPr="008744F3">
        <w:rPr>
          <w:lang w:val="fr-FR"/>
        </w:rPr>
        <w:t>(</w:t>
      </w:r>
      <w:proofErr w:type="gramStart"/>
      <w:r w:rsidRPr="008744F3">
        <w:rPr>
          <w:lang w:val="fr-FR"/>
        </w:rPr>
        <w:t>ayant</w:t>
      </w:r>
      <w:proofErr w:type="gramEnd"/>
      <w:r w:rsidRPr="008744F3">
        <w:rPr>
          <w:lang w:val="fr-FR"/>
        </w:rPr>
        <w:t xml:space="preserve"> un point d’éclair inférieur à 23 °C et visqueux selon 2.2.3.1.4) (pression de vapeur à 50 °C inférieure ou égale à 110 kPa)</w:t>
      </w:r>
      <w:r w:rsidR="00371BB2">
        <w:rPr>
          <w:lang w:val="fr-FR"/>
        </w:rPr>
        <w:t>.</w:t>
      </w:r>
    </w:p>
    <w:p w14:paraId="650B470E" w14:textId="74BE0FE7" w:rsidR="00F9573C" w:rsidRDefault="008744F3" w:rsidP="00371BB2">
      <w:pPr>
        <w:pStyle w:val="SingleTxtG"/>
        <w:rPr>
          <w:lang w:val="fr-FR"/>
        </w:rPr>
      </w:pPr>
      <w:r w:rsidRPr="008744F3">
        <w:rPr>
          <w:lang w:val="fr-FR"/>
        </w:rPr>
        <w:t>7.</w:t>
      </w:r>
      <w:r w:rsidRPr="008744F3">
        <w:rPr>
          <w:lang w:val="fr-FR"/>
        </w:rPr>
        <w:tab/>
        <w:t>Depuis lors, seules les citernes portant le code « LGBF » sont autorisées pour le transport de ces matières.</w:t>
      </w:r>
    </w:p>
    <w:p w14:paraId="3A751039" w14:textId="5F39CA65" w:rsidR="008744F3" w:rsidRPr="008744F3" w:rsidRDefault="008744F3" w:rsidP="008744F3">
      <w:pPr>
        <w:pStyle w:val="SingleTxtG"/>
        <w:spacing w:before="240" w:after="0"/>
        <w:jc w:val="center"/>
        <w:rPr>
          <w:u w:val="single"/>
        </w:rPr>
      </w:pPr>
      <w:r>
        <w:rPr>
          <w:u w:val="single"/>
        </w:rPr>
        <w:tab/>
      </w:r>
      <w:r>
        <w:rPr>
          <w:u w:val="single"/>
        </w:rPr>
        <w:tab/>
      </w:r>
      <w:r>
        <w:rPr>
          <w:u w:val="single"/>
        </w:rPr>
        <w:tab/>
      </w:r>
      <w:r>
        <w:rPr>
          <w:u w:val="single"/>
        </w:rPr>
        <w:tab/>
      </w:r>
    </w:p>
    <w:sectPr w:rsidR="008744F3" w:rsidRPr="008744F3" w:rsidSect="008744F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55CC" w14:textId="77777777" w:rsidR="00B00AC1" w:rsidRDefault="00B00AC1" w:rsidP="00F95C08">
      <w:pPr>
        <w:spacing w:line="240" w:lineRule="auto"/>
      </w:pPr>
    </w:p>
  </w:endnote>
  <w:endnote w:type="continuationSeparator" w:id="0">
    <w:p w14:paraId="7A9210E8" w14:textId="77777777" w:rsidR="00B00AC1" w:rsidRPr="00AC3823" w:rsidRDefault="00B00AC1" w:rsidP="00AC3823">
      <w:pPr>
        <w:pStyle w:val="Footer"/>
      </w:pPr>
    </w:p>
  </w:endnote>
  <w:endnote w:type="continuationNotice" w:id="1">
    <w:p w14:paraId="1377FD29" w14:textId="77777777" w:rsidR="00B00AC1" w:rsidRDefault="00B00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8C4" w14:textId="60719CCB" w:rsidR="008744F3" w:rsidRPr="008744F3" w:rsidRDefault="008744F3" w:rsidP="008744F3">
    <w:pPr>
      <w:pStyle w:val="Footer"/>
      <w:tabs>
        <w:tab w:val="right" w:pos="9638"/>
      </w:tabs>
    </w:pPr>
    <w:r w:rsidRPr="008744F3">
      <w:rPr>
        <w:b/>
        <w:sz w:val="18"/>
      </w:rPr>
      <w:fldChar w:fldCharType="begin"/>
    </w:r>
    <w:r w:rsidRPr="008744F3">
      <w:rPr>
        <w:b/>
        <w:sz w:val="18"/>
      </w:rPr>
      <w:instrText xml:space="preserve"> PAGE  \* MERGEFORMAT </w:instrText>
    </w:r>
    <w:r w:rsidRPr="008744F3">
      <w:rPr>
        <w:b/>
        <w:sz w:val="18"/>
      </w:rPr>
      <w:fldChar w:fldCharType="separate"/>
    </w:r>
    <w:r w:rsidRPr="008744F3">
      <w:rPr>
        <w:b/>
        <w:noProof/>
        <w:sz w:val="18"/>
      </w:rPr>
      <w:t>2</w:t>
    </w:r>
    <w:r w:rsidRPr="008744F3">
      <w:rPr>
        <w:b/>
        <w:sz w:val="18"/>
      </w:rPr>
      <w:fldChar w:fldCharType="end"/>
    </w:r>
    <w:r>
      <w:rPr>
        <w:b/>
        <w:sz w:val="18"/>
      </w:rPr>
      <w:tab/>
    </w:r>
    <w:r>
      <w:t>GE.22-26298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2ABE" w14:textId="58CC8A83" w:rsidR="008744F3" w:rsidRPr="008744F3" w:rsidRDefault="008744F3" w:rsidP="008744F3">
    <w:pPr>
      <w:pStyle w:val="Footer"/>
      <w:tabs>
        <w:tab w:val="right" w:pos="9638"/>
      </w:tabs>
      <w:rPr>
        <w:b/>
        <w:sz w:val="18"/>
      </w:rPr>
    </w:pPr>
    <w:r>
      <w:t>GE.22-26298</w:t>
    </w:r>
    <w:r>
      <w:tab/>
    </w:r>
    <w:r w:rsidRPr="008744F3">
      <w:rPr>
        <w:b/>
        <w:sz w:val="18"/>
      </w:rPr>
      <w:fldChar w:fldCharType="begin"/>
    </w:r>
    <w:r w:rsidRPr="008744F3">
      <w:rPr>
        <w:b/>
        <w:sz w:val="18"/>
      </w:rPr>
      <w:instrText xml:space="preserve"> PAGE  \* MERGEFORMAT </w:instrText>
    </w:r>
    <w:r w:rsidRPr="008744F3">
      <w:rPr>
        <w:b/>
        <w:sz w:val="18"/>
      </w:rPr>
      <w:fldChar w:fldCharType="separate"/>
    </w:r>
    <w:r w:rsidRPr="008744F3">
      <w:rPr>
        <w:b/>
        <w:noProof/>
        <w:sz w:val="18"/>
      </w:rPr>
      <w:t>3</w:t>
    </w:r>
    <w:r w:rsidRPr="008744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E3F0" w14:textId="2F6427D5" w:rsidR="007F20FA" w:rsidRPr="008744F3" w:rsidRDefault="008744F3" w:rsidP="008744F3">
    <w:pPr>
      <w:pStyle w:val="Footer"/>
      <w:spacing w:before="120"/>
      <w:rPr>
        <w:sz w:val="20"/>
      </w:rPr>
    </w:pPr>
    <w:r>
      <w:rPr>
        <w:sz w:val="20"/>
      </w:rPr>
      <w:t>GE.</w:t>
    </w:r>
    <w:r w:rsidR="007F20FA">
      <w:rPr>
        <w:noProof/>
        <w:lang w:eastAsia="fr-CH"/>
      </w:rPr>
      <w:drawing>
        <wp:anchor distT="0" distB="0" distL="114300" distR="114300" simplePos="0" relativeHeight="251658240" behindDoc="0" locked="0" layoutInCell="1" allowOverlap="0" wp14:anchorId="673E4E18" wp14:editId="4727B79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26298  (</w:t>
    </w:r>
    <w:proofErr w:type="gramEnd"/>
    <w:r>
      <w:rPr>
        <w:sz w:val="20"/>
      </w:rPr>
      <w:t>F)</w:t>
    </w:r>
    <w:r>
      <w:rPr>
        <w:noProof/>
        <w:sz w:val="20"/>
      </w:rPr>
      <w:drawing>
        <wp:anchor distT="0" distB="0" distL="114300" distR="114300" simplePos="0" relativeHeight="251658241" behindDoc="0" locked="0" layoutInCell="1" allowOverlap="1" wp14:anchorId="2CBF13BB" wp14:editId="2B73F90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240123    240123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BD0E" w14:textId="77777777" w:rsidR="00B00AC1" w:rsidRPr="00AC3823" w:rsidRDefault="00B00AC1" w:rsidP="00AC3823">
      <w:pPr>
        <w:pStyle w:val="Footer"/>
        <w:tabs>
          <w:tab w:val="right" w:pos="2155"/>
        </w:tabs>
        <w:spacing w:after="80" w:line="240" w:lineRule="atLeast"/>
        <w:ind w:left="680"/>
        <w:rPr>
          <w:u w:val="single"/>
        </w:rPr>
      </w:pPr>
      <w:r>
        <w:rPr>
          <w:u w:val="single"/>
        </w:rPr>
        <w:tab/>
      </w:r>
    </w:p>
  </w:footnote>
  <w:footnote w:type="continuationSeparator" w:id="0">
    <w:p w14:paraId="4F8CFCE1" w14:textId="77777777" w:rsidR="00B00AC1" w:rsidRPr="00AC3823" w:rsidRDefault="00B00AC1" w:rsidP="00AC3823">
      <w:pPr>
        <w:pStyle w:val="Footer"/>
        <w:tabs>
          <w:tab w:val="right" w:pos="2155"/>
        </w:tabs>
        <w:spacing w:after="80" w:line="240" w:lineRule="atLeast"/>
        <w:ind w:left="680"/>
        <w:rPr>
          <w:u w:val="single"/>
        </w:rPr>
      </w:pPr>
      <w:r>
        <w:rPr>
          <w:u w:val="single"/>
        </w:rPr>
        <w:tab/>
      </w:r>
    </w:p>
  </w:footnote>
  <w:footnote w:type="continuationNotice" w:id="1">
    <w:p w14:paraId="76D2970F" w14:textId="77777777" w:rsidR="00B00AC1" w:rsidRPr="00AC3823" w:rsidRDefault="00B00AC1">
      <w:pPr>
        <w:spacing w:line="240" w:lineRule="auto"/>
        <w:rPr>
          <w:sz w:val="2"/>
          <w:szCs w:val="2"/>
        </w:rPr>
      </w:pPr>
    </w:p>
  </w:footnote>
  <w:footnote w:id="2">
    <w:p w14:paraId="21EDEEC3" w14:textId="0C273AB4" w:rsidR="00371BB2" w:rsidRPr="00371BB2" w:rsidRDefault="00371BB2">
      <w:pPr>
        <w:pStyle w:val="FootnoteText"/>
      </w:pPr>
      <w:r>
        <w:rPr>
          <w:rStyle w:val="FootnoteReference"/>
        </w:rPr>
        <w:tab/>
      </w:r>
      <w:r w:rsidRPr="00371BB2">
        <w:rPr>
          <w:rStyle w:val="FootnoteReference"/>
          <w:sz w:val="20"/>
          <w:vertAlign w:val="baseline"/>
        </w:rPr>
        <w:t>*</w:t>
      </w:r>
      <w:r>
        <w:rPr>
          <w:rStyle w:val="FootnoteReference"/>
          <w:sz w:val="20"/>
          <w:vertAlign w:val="baseline"/>
        </w:rPr>
        <w:tab/>
      </w:r>
      <w:r>
        <w:rPr>
          <w:lang w:val="fr-FR"/>
        </w:rPr>
        <w:t>A/77/6 (Sect. 20), tableau 20.6.</w:t>
      </w:r>
    </w:p>
  </w:footnote>
  <w:footnote w:id="3">
    <w:p w14:paraId="795B5A0C" w14:textId="450FC280" w:rsidR="008744F3" w:rsidRPr="003300F5" w:rsidRDefault="00371BB2" w:rsidP="008744F3">
      <w:pPr>
        <w:pStyle w:val="FootnoteText"/>
      </w:pPr>
      <w:r>
        <w:tab/>
      </w:r>
      <w:r w:rsidR="008744F3" w:rsidRPr="00371BB2">
        <w:rPr>
          <w:rStyle w:val="FootnoteReference"/>
          <w:sz w:val="20"/>
          <w:vertAlign w:val="baseline"/>
        </w:rPr>
        <w:t>**</w:t>
      </w:r>
      <w:r w:rsidR="008744F3" w:rsidRPr="00371BB2">
        <w:rPr>
          <w:rStyle w:val="FootnoteReference"/>
        </w:rPr>
        <w:tab/>
      </w:r>
      <w:r w:rsidR="008744F3" w:rsidRPr="00371BB2">
        <w:t>Diffusée par l’Organisation intergouvernementale pour les transports internationaux ferroviaires (OTIF) sous la cote OTIF/RID/RC/2023/3.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0A82" w14:textId="54E6FF1B" w:rsidR="008744F3" w:rsidRPr="008744F3" w:rsidRDefault="00617782">
    <w:pPr>
      <w:pStyle w:val="Header"/>
    </w:pPr>
    <w:fldSimple w:instr=" TITLE  \* MERGEFORMAT ">
      <w:r w:rsidR="007E093F">
        <w:t>ECE/TRANS/WP.15/AC.1/2023/3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0B61" w14:textId="67977216" w:rsidR="008744F3" w:rsidRPr="008744F3" w:rsidRDefault="00617782" w:rsidP="008744F3">
    <w:pPr>
      <w:pStyle w:val="Header"/>
      <w:jc w:val="right"/>
    </w:pPr>
    <w:fldSimple w:instr=" TITLE  \* MERGEFORMAT ">
      <w:r w:rsidR="007E093F">
        <w:t>ECE/TRANS/WP.15/AC.1/2023/3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C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71BB2"/>
    <w:rsid w:val="003916DE"/>
    <w:rsid w:val="00421996"/>
    <w:rsid w:val="00441C3B"/>
    <w:rsid w:val="00446FE5"/>
    <w:rsid w:val="00452396"/>
    <w:rsid w:val="00477EB2"/>
    <w:rsid w:val="004837D8"/>
    <w:rsid w:val="004E2EED"/>
    <w:rsid w:val="004E45FD"/>
    <w:rsid w:val="004E468C"/>
    <w:rsid w:val="005505B7"/>
    <w:rsid w:val="00573BE5"/>
    <w:rsid w:val="00586ED3"/>
    <w:rsid w:val="00596AA9"/>
    <w:rsid w:val="00617782"/>
    <w:rsid w:val="006B1A10"/>
    <w:rsid w:val="0071601D"/>
    <w:rsid w:val="00724DC9"/>
    <w:rsid w:val="007A62E6"/>
    <w:rsid w:val="007E093F"/>
    <w:rsid w:val="007F20FA"/>
    <w:rsid w:val="0080684C"/>
    <w:rsid w:val="00871C75"/>
    <w:rsid w:val="008744F3"/>
    <w:rsid w:val="008776DC"/>
    <w:rsid w:val="008D5EF9"/>
    <w:rsid w:val="009446C0"/>
    <w:rsid w:val="009705C8"/>
    <w:rsid w:val="009C1CF4"/>
    <w:rsid w:val="009F6B74"/>
    <w:rsid w:val="00A3029F"/>
    <w:rsid w:val="00A30353"/>
    <w:rsid w:val="00AC3823"/>
    <w:rsid w:val="00AE323C"/>
    <w:rsid w:val="00AF0CB5"/>
    <w:rsid w:val="00B00181"/>
    <w:rsid w:val="00B00AC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DDEB0"/>
  <w15:docId w15:val="{BD2B5227-1041-49DA-87BE-A81B6DA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71BB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6233E-5EF3-40AE-A63E-ED203D1C8E7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C2CE282-A22F-4DAE-BAE0-38618BE3208A}">
  <ds:schemaRefs>
    <ds:schemaRef ds:uri="http://schemas.microsoft.com/sharepoint/v3/contenttype/forms"/>
  </ds:schemaRefs>
</ds:datastoreItem>
</file>

<file path=customXml/itemProps3.xml><?xml version="1.0" encoding="utf-8"?>
<ds:datastoreItem xmlns:ds="http://schemas.openxmlformats.org/officeDocument/2006/customXml" ds:itemID="{F5FD4CF9-3BEF-4462-B544-75F77A4C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dc:title>
  <dc:subject/>
  <dc:creator>Valerie BERTIN</dc:creator>
  <cp:keywords/>
  <cp:lastModifiedBy>Laurence Berthet</cp:lastModifiedBy>
  <cp:revision>4</cp:revision>
  <cp:lastPrinted>2023-01-25T07:28:00Z</cp:lastPrinted>
  <dcterms:created xsi:type="dcterms:W3CDTF">2023-01-25T07:26:00Z</dcterms:created>
  <dcterms:modified xsi:type="dcterms:W3CDTF">2023-01-25T07:28:00Z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