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0DFC052" w14:textId="77777777" w:rsidTr="00C97039">
        <w:trPr>
          <w:trHeight w:hRule="exact" w:val="851"/>
        </w:trPr>
        <w:tc>
          <w:tcPr>
            <w:tcW w:w="1276" w:type="dxa"/>
            <w:tcBorders>
              <w:bottom w:val="single" w:sz="4" w:space="0" w:color="auto"/>
            </w:tcBorders>
          </w:tcPr>
          <w:p w14:paraId="73066E99" w14:textId="77777777" w:rsidR="00F35BAF" w:rsidRPr="00DB58B5" w:rsidRDefault="00F35BAF" w:rsidP="00CB35C3"/>
        </w:tc>
        <w:tc>
          <w:tcPr>
            <w:tcW w:w="2268" w:type="dxa"/>
            <w:tcBorders>
              <w:bottom w:val="single" w:sz="4" w:space="0" w:color="auto"/>
            </w:tcBorders>
            <w:vAlign w:val="bottom"/>
          </w:tcPr>
          <w:p w14:paraId="58CDC5E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92D7B4A" w14:textId="42818969" w:rsidR="00F35BAF" w:rsidRPr="00DB58B5" w:rsidRDefault="00CB35C3" w:rsidP="00CB35C3">
            <w:pPr>
              <w:jc w:val="right"/>
            </w:pPr>
            <w:r w:rsidRPr="00CB35C3">
              <w:rPr>
                <w:sz w:val="40"/>
              </w:rPr>
              <w:t>ECE</w:t>
            </w:r>
            <w:r>
              <w:t>/TRANS/WP.15/AC.1/2023/1</w:t>
            </w:r>
          </w:p>
        </w:tc>
      </w:tr>
      <w:tr w:rsidR="00F35BAF" w:rsidRPr="00DB58B5" w14:paraId="4F17193F" w14:textId="77777777" w:rsidTr="00C97039">
        <w:trPr>
          <w:trHeight w:hRule="exact" w:val="2835"/>
        </w:trPr>
        <w:tc>
          <w:tcPr>
            <w:tcW w:w="1276" w:type="dxa"/>
            <w:tcBorders>
              <w:top w:val="single" w:sz="4" w:space="0" w:color="auto"/>
              <w:bottom w:val="single" w:sz="12" w:space="0" w:color="auto"/>
            </w:tcBorders>
          </w:tcPr>
          <w:p w14:paraId="72E1B59F" w14:textId="77777777" w:rsidR="00F35BAF" w:rsidRPr="00DB58B5" w:rsidRDefault="00F35BAF" w:rsidP="00C97039">
            <w:pPr>
              <w:spacing w:before="120"/>
              <w:jc w:val="center"/>
            </w:pPr>
            <w:r>
              <w:rPr>
                <w:noProof/>
                <w:lang w:eastAsia="fr-CH"/>
              </w:rPr>
              <w:drawing>
                <wp:inline distT="0" distB="0" distL="0" distR="0" wp14:anchorId="0D9DC9D5" wp14:editId="79549CC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01789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72865BA" w14:textId="77777777" w:rsidR="00F35BAF" w:rsidRDefault="00CB35C3" w:rsidP="00C97039">
            <w:pPr>
              <w:spacing w:before="240"/>
            </w:pPr>
            <w:r>
              <w:t xml:space="preserve">Distr. </w:t>
            </w:r>
            <w:proofErr w:type="gramStart"/>
            <w:r>
              <w:t>générale</w:t>
            </w:r>
            <w:proofErr w:type="gramEnd"/>
          </w:p>
          <w:p w14:paraId="6FCB14EB" w14:textId="77777777" w:rsidR="00CB35C3" w:rsidRDefault="00CB35C3" w:rsidP="00CB35C3">
            <w:pPr>
              <w:spacing w:line="240" w:lineRule="exact"/>
            </w:pPr>
            <w:r>
              <w:t>6 janvier 2023</w:t>
            </w:r>
          </w:p>
          <w:p w14:paraId="1F3BB5F5" w14:textId="77777777" w:rsidR="00CB35C3" w:rsidRDefault="00CB35C3" w:rsidP="00CB35C3">
            <w:pPr>
              <w:spacing w:line="240" w:lineRule="exact"/>
            </w:pPr>
            <w:r>
              <w:t>Français</w:t>
            </w:r>
          </w:p>
          <w:p w14:paraId="4B7B2A6B" w14:textId="7B27F31F" w:rsidR="00CB35C3" w:rsidRPr="00DB58B5" w:rsidRDefault="00CB35C3" w:rsidP="00CB35C3">
            <w:pPr>
              <w:spacing w:line="240" w:lineRule="exact"/>
            </w:pPr>
            <w:r>
              <w:t>Original : anglais</w:t>
            </w:r>
          </w:p>
        </w:tc>
      </w:tr>
    </w:tbl>
    <w:p w14:paraId="44305F93" w14:textId="77777777" w:rsidR="007F20FA" w:rsidRPr="000312C0" w:rsidRDefault="007F20FA" w:rsidP="007F20FA">
      <w:pPr>
        <w:spacing w:before="120"/>
        <w:rPr>
          <w:b/>
          <w:sz w:val="28"/>
          <w:szCs w:val="28"/>
        </w:rPr>
      </w:pPr>
      <w:r w:rsidRPr="000312C0">
        <w:rPr>
          <w:b/>
          <w:sz w:val="28"/>
          <w:szCs w:val="28"/>
        </w:rPr>
        <w:t>Commission économique pour l’Europe</w:t>
      </w:r>
    </w:p>
    <w:p w14:paraId="0ECF7481" w14:textId="77777777" w:rsidR="007F20FA" w:rsidRDefault="007F20FA" w:rsidP="007F20FA">
      <w:pPr>
        <w:spacing w:before="120"/>
        <w:rPr>
          <w:sz w:val="28"/>
          <w:szCs w:val="28"/>
        </w:rPr>
      </w:pPr>
      <w:r w:rsidRPr="00685843">
        <w:rPr>
          <w:sz w:val="28"/>
          <w:szCs w:val="28"/>
        </w:rPr>
        <w:t>Comité des transports intérieurs</w:t>
      </w:r>
    </w:p>
    <w:p w14:paraId="031E7897" w14:textId="77777777" w:rsidR="00CB35C3" w:rsidRPr="00FC062A" w:rsidRDefault="00CB35C3" w:rsidP="00CB35C3">
      <w:pPr>
        <w:spacing w:before="120"/>
        <w:rPr>
          <w:b/>
          <w:sz w:val="32"/>
          <w:szCs w:val="32"/>
          <w:lang w:val="fr-FR"/>
        </w:rPr>
      </w:pPr>
      <w:r w:rsidRPr="00FC062A">
        <w:rPr>
          <w:b/>
          <w:bCs/>
          <w:sz w:val="24"/>
          <w:szCs w:val="24"/>
          <w:lang w:val="fr-FR"/>
        </w:rPr>
        <w:t>Groupe de travail des transports de marchandises dangereuses</w:t>
      </w:r>
    </w:p>
    <w:p w14:paraId="4304EF41" w14:textId="156D36EF" w:rsidR="00CB35C3" w:rsidRPr="00A33244" w:rsidRDefault="00CB35C3" w:rsidP="00CB35C3">
      <w:pPr>
        <w:spacing w:before="120"/>
        <w:rPr>
          <w:b/>
          <w:lang w:val="fr-FR"/>
        </w:rPr>
      </w:pPr>
      <w:r>
        <w:rPr>
          <w:b/>
          <w:bCs/>
          <w:lang w:val="fr-FR"/>
        </w:rPr>
        <w:t xml:space="preserve">Réunion commune de la Commission d’experts du RID et du Groupe </w:t>
      </w:r>
      <w:r w:rsidR="00FC062A">
        <w:rPr>
          <w:b/>
          <w:bCs/>
          <w:lang w:val="fr-FR"/>
        </w:rPr>
        <w:br/>
      </w:r>
      <w:r>
        <w:rPr>
          <w:b/>
          <w:bCs/>
          <w:lang w:val="fr-FR"/>
        </w:rPr>
        <w:t>de travail des transports de marchandises dangereuses</w:t>
      </w:r>
    </w:p>
    <w:p w14:paraId="2F5B6583" w14:textId="77777777" w:rsidR="00CB35C3" w:rsidRPr="00A33244" w:rsidRDefault="00CB35C3" w:rsidP="00CB35C3">
      <w:pPr>
        <w:rPr>
          <w:lang w:val="fr-FR"/>
        </w:rPr>
      </w:pPr>
      <w:r>
        <w:rPr>
          <w:lang w:val="fr-FR"/>
        </w:rPr>
        <w:t>Berne, 20-24 mars 2023</w:t>
      </w:r>
    </w:p>
    <w:p w14:paraId="60521559" w14:textId="6C02003F" w:rsidR="00CB35C3" w:rsidRPr="00A33244" w:rsidRDefault="00CB35C3" w:rsidP="00CB35C3">
      <w:pPr>
        <w:rPr>
          <w:lang w:val="fr-FR"/>
        </w:rPr>
      </w:pPr>
      <w:r>
        <w:rPr>
          <w:lang w:val="fr-FR"/>
        </w:rPr>
        <w:t>Point 5</w:t>
      </w:r>
      <w:r w:rsidR="00FC062A">
        <w:rPr>
          <w:lang w:val="fr-FR"/>
        </w:rPr>
        <w:t> </w:t>
      </w:r>
      <w:r>
        <w:rPr>
          <w:lang w:val="fr-FR"/>
        </w:rPr>
        <w:t>a) de l’ordre du jour provisoire</w:t>
      </w:r>
    </w:p>
    <w:p w14:paraId="4809F177" w14:textId="23D0694C" w:rsidR="00CB35C3" w:rsidRPr="00A33244" w:rsidRDefault="00CB35C3" w:rsidP="00CB35C3">
      <w:pPr>
        <w:rPr>
          <w:b/>
          <w:bCs/>
          <w:lang w:val="fr-FR"/>
        </w:rPr>
      </w:pPr>
      <w:r>
        <w:rPr>
          <w:b/>
          <w:bCs/>
          <w:lang w:val="fr-FR"/>
        </w:rPr>
        <w:t xml:space="preserve">Propositions d’amendements au RID, à l’ADR et à l’ADN : </w:t>
      </w:r>
      <w:r w:rsidR="00FC062A">
        <w:rPr>
          <w:b/>
          <w:bCs/>
          <w:lang w:val="fr-FR"/>
        </w:rPr>
        <w:br/>
      </w:r>
      <w:r>
        <w:rPr>
          <w:b/>
          <w:bCs/>
          <w:lang w:val="fr-FR"/>
        </w:rPr>
        <w:t>Questions en suspens</w:t>
      </w:r>
    </w:p>
    <w:p w14:paraId="40813EEB" w14:textId="7365ED30" w:rsidR="00CB35C3" w:rsidRPr="00A33244" w:rsidRDefault="00CB35C3" w:rsidP="00FC062A">
      <w:pPr>
        <w:pStyle w:val="HChG"/>
        <w:rPr>
          <w:lang w:val="fr-FR"/>
        </w:rPr>
      </w:pPr>
      <w:r>
        <w:rPr>
          <w:lang w:val="fr-FR"/>
        </w:rPr>
        <w:tab/>
      </w:r>
      <w:r>
        <w:rPr>
          <w:lang w:val="fr-FR"/>
        </w:rPr>
        <w:tab/>
      </w:r>
      <w:r>
        <w:rPr>
          <w:lang w:val="fr-FR"/>
        </w:rPr>
        <w:tab/>
        <w:t xml:space="preserve">Dispositions spéciales 532 et 543 dans le RID, </w:t>
      </w:r>
      <w:r w:rsidR="000008EE">
        <w:rPr>
          <w:lang w:val="fr-FR"/>
        </w:rPr>
        <w:br/>
      </w:r>
      <w:proofErr w:type="gramStart"/>
      <w:r>
        <w:rPr>
          <w:lang w:val="fr-FR"/>
        </w:rPr>
        <w:t>l’ADR</w:t>
      </w:r>
      <w:proofErr w:type="gramEnd"/>
      <w:r>
        <w:rPr>
          <w:lang w:val="fr-FR"/>
        </w:rPr>
        <w:t xml:space="preserve"> et l’ADN</w:t>
      </w:r>
    </w:p>
    <w:p w14:paraId="39578B4C" w14:textId="693DE9FD" w:rsidR="00CB35C3" w:rsidRPr="00A33244" w:rsidRDefault="00CB35C3" w:rsidP="00FC062A">
      <w:pPr>
        <w:pStyle w:val="H1G"/>
        <w:rPr>
          <w:vertAlign w:val="superscript"/>
          <w:lang w:val="fr-FR"/>
        </w:rPr>
      </w:pPr>
      <w:r>
        <w:rPr>
          <w:lang w:val="fr-FR"/>
        </w:rPr>
        <w:tab/>
      </w:r>
      <w:r>
        <w:rPr>
          <w:lang w:val="fr-FR"/>
        </w:rPr>
        <w:tab/>
        <w:t>Note du secrétariat</w:t>
      </w:r>
      <w:r w:rsidR="00FC062A" w:rsidRPr="000008EE">
        <w:rPr>
          <w:rStyle w:val="FootnoteReference"/>
          <w:b w:val="0"/>
          <w:bCs/>
          <w:sz w:val="20"/>
          <w:vertAlign w:val="baseline"/>
        </w:rPr>
        <w:footnoteReference w:customMarkFollows="1" w:id="2"/>
        <w:t>*</w:t>
      </w:r>
      <w:r w:rsidRPr="000008EE">
        <w:rPr>
          <w:b w:val="0"/>
          <w:bCs/>
          <w:sz w:val="20"/>
          <w:vertAlign w:val="superscript"/>
          <w:lang w:val="fr-FR"/>
        </w:rPr>
        <w:t>,</w:t>
      </w:r>
      <w:r w:rsidR="00FC062A" w:rsidRPr="000008EE">
        <w:rPr>
          <w:b w:val="0"/>
          <w:bCs/>
          <w:sz w:val="20"/>
          <w:lang w:val="fr-FR"/>
        </w:rPr>
        <w:t xml:space="preserve"> </w:t>
      </w:r>
      <w:r w:rsidR="00FC062A" w:rsidRPr="000008EE">
        <w:rPr>
          <w:rStyle w:val="FootnoteReference"/>
          <w:b w:val="0"/>
          <w:bCs/>
          <w:sz w:val="20"/>
          <w:vertAlign w:val="baseline"/>
        </w:rPr>
        <w:footnoteReference w:customMarkFollows="1" w:id="3"/>
        <w:t>**</w:t>
      </w:r>
    </w:p>
    <w:p w14:paraId="6E87B8D9" w14:textId="77777777" w:rsidR="00CB35C3" w:rsidRPr="00A33244" w:rsidRDefault="00CB35C3" w:rsidP="00FC062A">
      <w:pPr>
        <w:pStyle w:val="HChG"/>
        <w:rPr>
          <w:lang w:val="fr-FR"/>
        </w:rPr>
      </w:pPr>
      <w:r>
        <w:rPr>
          <w:lang w:val="fr-FR"/>
        </w:rPr>
        <w:tab/>
        <w:t>I.</w:t>
      </w:r>
      <w:r>
        <w:rPr>
          <w:lang w:val="fr-FR"/>
        </w:rPr>
        <w:tab/>
        <w:t>Contexte</w:t>
      </w:r>
    </w:p>
    <w:p w14:paraId="67CB5FA8" w14:textId="14B37027" w:rsidR="00CB35C3" w:rsidRPr="00A33244" w:rsidRDefault="00CB35C3" w:rsidP="000008EE">
      <w:pPr>
        <w:pStyle w:val="SingleTxtG"/>
        <w:rPr>
          <w:lang w:val="fr-FR"/>
        </w:rPr>
      </w:pPr>
      <w:r>
        <w:rPr>
          <w:lang w:val="fr-FR"/>
        </w:rPr>
        <w:t>1.</w:t>
      </w:r>
      <w:r>
        <w:rPr>
          <w:lang w:val="fr-FR"/>
        </w:rPr>
        <w:tab/>
        <w:t>En 2022, il a été demandé au secrétariat s’il se pouvait que les dispositions spéciales (DS) 532 et 543 (respectivement affectées aux N</w:t>
      </w:r>
      <w:r w:rsidRPr="000008EE">
        <w:rPr>
          <w:vertAlign w:val="superscript"/>
          <w:lang w:val="fr-FR"/>
        </w:rPr>
        <w:t>os</w:t>
      </w:r>
      <w:r w:rsidR="000008EE">
        <w:rPr>
          <w:lang w:val="fr-FR"/>
        </w:rPr>
        <w:t> </w:t>
      </w:r>
      <w:r>
        <w:rPr>
          <w:lang w:val="fr-FR"/>
        </w:rPr>
        <w:t>ONU 2073 et 2672) aient été interverties par accident dans le texte actuel du RID, de l’ADR et de l’ADN. La question était de savoir si la disposition spéciale 532 devait être affectée au N</w:t>
      </w:r>
      <w:r w:rsidRPr="000008EE">
        <w:rPr>
          <w:vertAlign w:val="superscript"/>
          <w:lang w:val="fr-FR"/>
        </w:rPr>
        <w:t>o</w:t>
      </w:r>
      <w:r w:rsidR="000008EE">
        <w:rPr>
          <w:lang w:val="fr-FR"/>
        </w:rPr>
        <w:t> </w:t>
      </w:r>
      <w:r>
        <w:rPr>
          <w:lang w:val="fr-FR"/>
        </w:rPr>
        <w:t>ONU 2672, et la disposition spéciale</w:t>
      </w:r>
      <w:r w:rsidR="000008EE">
        <w:rPr>
          <w:lang w:val="fr-FR"/>
        </w:rPr>
        <w:t> </w:t>
      </w:r>
      <w:r>
        <w:rPr>
          <w:lang w:val="fr-FR"/>
        </w:rPr>
        <w:t>543 au N</w:t>
      </w:r>
      <w:r w:rsidRPr="000008EE">
        <w:rPr>
          <w:vertAlign w:val="superscript"/>
          <w:lang w:val="fr-FR"/>
        </w:rPr>
        <w:t>o</w:t>
      </w:r>
      <w:r w:rsidR="000008EE">
        <w:rPr>
          <w:lang w:val="fr-FR"/>
        </w:rPr>
        <w:t> </w:t>
      </w:r>
      <w:r>
        <w:rPr>
          <w:lang w:val="fr-FR"/>
        </w:rPr>
        <w:t>ONU 2073.</w:t>
      </w:r>
    </w:p>
    <w:p w14:paraId="00218F92" w14:textId="7F8972E8" w:rsidR="00CB35C3" w:rsidRPr="00A33244" w:rsidRDefault="00CB35C3" w:rsidP="00CB35C3">
      <w:pPr>
        <w:pStyle w:val="SingleTxtG"/>
        <w:rPr>
          <w:lang w:val="fr-FR"/>
        </w:rPr>
      </w:pPr>
      <w:r>
        <w:rPr>
          <w:lang w:val="fr-FR"/>
        </w:rPr>
        <w:t>2.</w:t>
      </w:r>
      <w:r>
        <w:rPr>
          <w:lang w:val="fr-FR"/>
        </w:rPr>
        <w:tab/>
        <w:t>Après une lecture attentive, le secrétariat a estimé qu’il n’y avait pas d’erreur et que les dispositions spéciales étaient affectées aux bonnes rubriques. Il a interprété ces dispositions spéciales comme de simples notes servant à rappeler au lecteur que d’autres numéros ONU pourraient être applicables. Ainsi, par exemple, la disposition spéciale 532 affectée au N</w:t>
      </w:r>
      <w:r w:rsidRPr="000008EE">
        <w:rPr>
          <w:vertAlign w:val="superscript"/>
          <w:lang w:val="fr-FR"/>
        </w:rPr>
        <w:t>o</w:t>
      </w:r>
      <w:r w:rsidR="000008EE">
        <w:rPr>
          <w:lang w:val="fr-FR"/>
        </w:rPr>
        <w:t> </w:t>
      </w:r>
      <w:r>
        <w:rPr>
          <w:lang w:val="fr-FR"/>
        </w:rPr>
        <w:t>2073 rappelait au lecteur que l’ammoniac en solution contenant entre 10 % et 35 % d’ammoniac devait être classé sous le N</w:t>
      </w:r>
      <w:r w:rsidRPr="000008EE">
        <w:rPr>
          <w:vertAlign w:val="superscript"/>
          <w:lang w:val="fr-FR"/>
        </w:rPr>
        <w:t>o</w:t>
      </w:r>
      <w:r w:rsidR="000008EE">
        <w:rPr>
          <w:lang w:val="fr-FR"/>
        </w:rPr>
        <w:t> </w:t>
      </w:r>
      <w:r>
        <w:rPr>
          <w:lang w:val="fr-FR"/>
        </w:rPr>
        <w:t>ONU 2672 (classe 8), et non sous le N</w:t>
      </w:r>
      <w:r w:rsidRPr="000008EE">
        <w:rPr>
          <w:vertAlign w:val="superscript"/>
          <w:lang w:val="fr-FR"/>
        </w:rPr>
        <w:t>o</w:t>
      </w:r>
      <w:r w:rsidR="000008EE">
        <w:rPr>
          <w:lang w:val="fr-FR"/>
        </w:rPr>
        <w:t> </w:t>
      </w:r>
      <w:r>
        <w:rPr>
          <w:lang w:val="fr-FR"/>
        </w:rPr>
        <w:t>ONU 2073 (classe 2).</w:t>
      </w:r>
    </w:p>
    <w:p w14:paraId="228D77DB" w14:textId="77777777" w:rsidR="00CB35C3" w:rsidRPr="00A33244" w:rsidRDefault="00CB35C3" w:rsidP="00CB35C3">
      <w:pPr>
        <w:pStyle w:val="SingleTxtG"/>
        <w:rPr>
          <w:lang w:val="fr-FR"/>
        </w:rPr>
      </w:pPr>
      <w:r>
        <w:rPr>
          <w:lang w:val="fr-FR"/>
        </w:rPr>
        <w:t>3.</w:t>
      </w:r>
      <w:r>
        <w:rPr>
          <w:lang w:val="fr-FR"/>
        </w:rPr>
        <w:tab/>
        <w:t xml:space="preserve">Le secrétariat a analysé la question dans le document informel INF.14, présenté à la Réunion commune à sa session du printemps 2022. La Réunion commune était d’accord avec l’interprétation du secrétariat et a convenu que ces deux dispositions spéciales pouvaient donner lieu à des interprétations erronées. Toutefois, les avis étaient partagés sur la question de savoir s’il valait mieux les modifier et, si oui, comment, ou tout simplement les supprimer. Certaines délégations étaient favorables à la suppression des deux dispositions spéciales, d’autres ont indiqué qu’il pourrait être utile de conserver l’observation relative aux solutions ne contenant pas plus de 10 % d’ammoniac, et d’autres encore préféraient que toutes les informations figurant dans les deux dispositions soient regroupées dans une seule disposition </w:t>
      </w:r>
      <w:r>
        <w:rPr>
          <w:lang w:val="fr-FR"/>
        </w:rPr>
        <w:lastRenderedPageBreak/>
        <w:t>spéciale qui s’appliquerait à toutes les rubriques correspondant à des solutions d’ammoniac. La Réunion commune a demandé au secrétariat de lui soumettre à une prochaine session une proposition officielle présentant plusieurs options afin qu’une décision puisse être prise.</w:t>
      </w:r>
    </w:p>
    <w:p w14:paraId="283BDFA8" w14:textId="3CB47C13" w:rsidR="00CB35C3" w:rsidRPr="00A33244" w:rsidRDefault="00CB35C3" w:rsidP="00CB35C3">
      <w:pPr>
        <w:pStyle w:val="SingleTxtG"/>
        <w:rPr>
          <w:lang w:val="fr-FR"/>
        </w:rPr>
      </w:pPr>
      <w:r>
        <w:rPr>
          <w:lang w:val="fr-FR"/>
        </w:rPr>
        <w:t>4.</w:t>
      </w:r>
      <w:r>
        <w:rPr>
          <w:lang w:val="fr-FR"/>
        </w:rPr>
        <w:tab/>
        <w:t>Dans le présent document, l’analyse de la situation qui a déjà été présentée à la session du printemps 2022, accompagnée d’observations supplémentaires, figure à la section II. Plusieurs solutions sont proposées à la section</w:t>
      </w:r>
      <w:r w:rsidR="000008EE">
        <w:rPr>
          <w:lang w:val="fr-FR"/>
        </w:rPr>
        <w:t> </w:t>
      </w:r>
      <w:r>
        <w:rPr>
          <w:lang w:val="fr-FR"/>
        </w:rPr>
        <w:t>III et, dans la section IV, la Réunion commune est invitée à donner son avis sur les éventuelles mesures à prendre.</w:t>
      </w:r>
    </w:p>
    <w:p w14:paraId="1C0002C1" w14:textId="77777777" w:rsidR="00CB35C3" w:rsidRPr="00A33244" w:rsidRDefault="00CB35C3" w:rsidP="000008EE">
      <w:pPr>
        <w:pStyle w:val="HChG"/>
        <w:rPr>
          <w:lang w:val="fr-FR"/>
        </w:rPr>
      </w:pPr>
      <w:r>
        <w:rPr>
          <w:lang w:val="fr-FR"/>
        </w:rPr>
        <w:tab/>
        <w:t>II.</w:t>
      </w:r>
      <w:r>
        <w:rPr>
          <w:lang w:val="fr-FR"/>
        </w:rPr>
        <w:tab/>
        <w:t>Introduction</w:t>
      </w:r>
    </w:p>
    <w:p w14:paraId="47766DF8" w14:textId="77777777" w:rsidR="00CB35C3" w:rsidRPr="00A33244" w:rsidRDefault="00CB35C3" w:rsidP="000008EE">
      <w:pPr>
        <w:pStyle w:val="H1G"/>
        <w:rPr>
          <w:lang w:val="fr-FR"/>
        </w:rPr>
      </w:pPr>
      <w:r>
        <w:rPr>
          <w:lang w:val="fr-FR"/>
        </w:rPr>
        <w:tab/>
        <w:t>A.</w:t>
      </w:r>
      <w:r>
        <w:rPr>
          <w:lang w:val="fr-FR"/>
        </w:rPr>
        <w:tab/>
        <w:t>Situation actuelle</w:t>
      </w:r>
    </w:p>
    <w:p w14:paraId="2565A45A" w14:textId="77777777" w:rsidR="00CB35C3" w:rsidRDefault="00CB35C3" w:rsidP="00CB35C3">
      <w:pPr>
        <w:pStyle w:val="SingleTxtG"/>
        <w:rPr>
          <w:lang w:val="fr-FR"/>
        </w:rPr>
      </w:pPr>
      <w:r>
        <w:rPr>
          <w:lang w:val="fr-FR"/>
        </w:rPr>
        <w:t>5.</w:t>
      </w:r>
      <w:r>
        <w:rPr>
          <w:lang w:val="fr-FR"/>
        </w:rPr>
        <w:tab/>
        <w:t>À titre de référence, on trouvera ci-après les numéros ONU et les dispositions spéciales concernés tels qu’ils figurent dans l’édition 2023 du RID, de l’ADR et de l’ADN. S’agissant des numéros ONU, seules les colonnes (1) à (6) sont reproduites. Pour ce qui est des dispositions spéciales, seules les dispositions 532 et 543 sont reproduites, car les dispositions 23 et 379 n’ont aucun rapport avec les questions examinées ici.</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475"/>
        <w:gridCol w:w="550"/>
        <w:gridCol w:w="687"/>
        <w:gridCol w:w="555"/>
        <w:gridCol w:w="800"/>
        <w:gridCol w:w="688"/>
      </w:tblGrid>
      <w:tr w:rsidR="00CB35C3" w:rsidRPr="00033D2B" w14:paraId="1B5FFCCC" w14:textId="77777777" w:rsidTr="00FC53B0">
        <w:trPr>
          <w:trHeight w:val="20"/>
        </w:trPr>
        <w:tc>
          <w:tcPr>
            <w:tcW w:w="616" w:type="dxa"/>
            <w:shd w:val="clear" w:color="auto" w:fill="auto"/>
            <w:hideMark/>
          </w:tcPr>
          <w:p w14:paraId="475EE1B1" w14:textId="77777777" w:rsidR="00CB35C3" w:rsidRPr="00033D2B" w:rsidRDefault="00CB35C3" w:rsidP="000008EE">
            <w:pPr>
              <w:spacing w:before="60" w:after="60"/>
              <w:jc w:val="center"/>
              <w:rPr>
                <w:rFonts w:asciiTheme="majorBidi" w:hAnsiTheme="majorBidi" w:cstheme="majorBidi"/>
                <w:b/>
                <w:bCs/>
              </w:rPr>
            </w:pPr>
            <w:r w:rsidRPr="00033D2B">
              <w:rPr>
                <w:rFonts w:asciiTheme="majorBidi" w:hAnsiTheme="majorBidi" w:cstheme="majorBidi"/>
                <w:b/>
                <w:bCs/>
              </w:rPr>
              <w:t>(1)</w:t>
            </w:r>
          </w:p>
        </w:tc>
        <w:tc>
          <w:tcPr>
            <w:tcW w:w="3518" w:type="dxa"/>
            <w:shd w:val="clear" w:color="auto" w:fill="auto"/>
            <w:hideMark/>
          </w:tcPr>
          <w:p w14:paraId="1E052AB4" w14:textId="77777777" w:rsidR="00CB35C3" w:rsidRPr="00033D2B" w:rsidRDefault="00CB35C3" w:rsidP="000008EE">
            <w:pPr>
              <w:spacing w:before="60" w:after="60"/>
              <w:ind w:left="-16"/>
              <w:jc w:val="center"/>
              <w:rPr>
                <w:rFonts w:asciiTheme="majorBidi" w:hAnsiTheme="majorBidi" w:cstheme="majorBidi"/>
                <w:b/>
                <w:bCs/>
              </w:rPr>
            </w:pPr>
            <w:r w:rsidRPr="00033D2B">
              <w:rPr>
                <w:rFonts w:asciiTheme="majorBidi" w:hAnsiTheme="majorBidi" w:cstheme="majorBidi"/>
                <w:b/>
                <w:bCs/>
              </w:rPr>
              <w:t>(2)</w:t>
            </w:r>
          </w:p>
        </w:tc>
        <w:tc>
          <w:tcPr>
            <w:tcW w:w="550" w:type="dxa"/>
            <w:shd w:val="clear" w:color="auto" w:fill="auto"/>
            <w:hideMark/>
          </w:tcPr>
          <w:p w14:paraId="47440858" w14:textId="77777777" w:rsidR="00CB35C3" w:rsidRPr="00033D2B" w:rsidRDefault="00CB35C3" w:rsidP="000008EE">
            <w:pPr>
              <w:spacing w:before="60" w:after="60"/>
              <w:jc w:val="center"/>
              <w:rPr>
                <w:rFonts w:asciiTheme="majorBidi" w:hAnsiTheme="majorBidi" w:cstheme="majorBidi"/>
                <w:b/>
                <w:bCs/>
              </w:rPr>
            </w:pPr>
            <w:r w:rsidRPr="00033D2B">
              <w:rPr>
                <w:rFonts w:asciiTheme="majorBidi" w:hAnsiTheme="majorBidi" w:cstheme="majorBidi"/>
                <w:b/>
                <w:bCs/>
              </w:rPr>
              <w:t>(3a)</w:t>
            </w:r>
          </w:p>
        </w:tc>
        <w:tc>
          <w:tcPr>
            <w:tcW w:w="689" w:type="dxa"/>
            <w:shd w:val="clear" w:color="auto" w:fill="auto"/>
            <w:hideMark/>
          </w:tcPr>
          <w:p w14:paraId="1800E05A" w14:textId="77777777" w:rsidR="00CB35C3" w:rsidRPr="00033D2B" w:rsidRDefault="00CB35C3" w:rsidP="000008EE">
            <w:pPr>
              <w:spacing w:before="60" w:after="60"/>
              <w:jc w:val="center"/>
              <w:rPr>
                <w:rFonts w:asciiTheme="majorBidi" w:hAnsiTheme="majorBidi" w:cstheme="majorBidi"/>
                <w:b/>
                <w:bCs/>
              </w:rPr>
            </w:pPr>
            <w:r w:rsidRPr="00033D2B">
              <w:rPr>
                <w:rFonts w:asciiTheme="majorBidi" w:hAnsiTheme="majorBidi" w:cstheme="majorBidi"/>
                <w:b/>
                <w:bCs/>
              </w:rPr>
              <w:t>(3b)</w:t>
            </w:r>
          </w:p>
        </w:tc>
        <w:tc>
          <w:tcPr>
            <w:tcW w:w="557" w:type="dxa"/>
            <w:shd w:val="clear" w:color="auto" w:fill="auto"/>
            <w:hideMark/>
          </w:tcPr>
          <w:p w14:paraId="74ABA200" w14:textId="77777777" w:rsidR="00CB35C3" w:rsidRPr="00033D2B" w:rsidRDefault="00CB35C3" w:rsidP="000008EE">
            <w:pPr>
              <w:spacing w:before="60" w:after="60"/>
              <w:jc w:val="center"/>
              <w:rPr>
                <w:rFonts w:asciiTheme="majorBidi" w:hAnsiTheme="majorBidi" w:cstheme="majorBidi"/>
                <w:b/>
                <w:bCs/>
              </w:rPr>
            </w:pPr>
            <w:r w:rsidRPr="00033D2B">
              <w:rPr>
                <w:rFonts w:asciiTheme="majorBidi" w:hAnsiTheme="majorBidi" w:cstheme="majorBidi"/>
                <w:b/>
                <w:bCs/>
              </w:rPr>
              <w:t>(4)</w:t>
            </w:r>
          </w:p>
        </w:tc>
        <w:tc>
          <w:tcPr>
            <w:tcW w:w="750" w:type="dxa"/>
            <w:shd w:val="clear" w:color="auto" w:fill="auto"/>
            <w:hideMark/>
          </w:tcPr>
          <w:p w14:paraId="7772DAE0" w14:textId="77777777" w:rsidR="00CB35C3" w:rsidRPr="00033D2B" w:rsidRDefault="00CB35C3" w:rsidP="000008EE">
            <w:pPr>
              <w:spacing w:before="60" w:after="60"/>
              <w:jc w:val="center"/>
              <w:rPr>
                <w:rFonts w:asciiTheme="majorBidi" w:hAnsiTheme="majorBidi" w:cstheme="majorBidi"/>
                <w:b/>
                <w:bCs/>
              </w:rPr>
            </w:pPr>
            <w:r w:rsidRPr="00033D2B">
              <w:rPr>
                <w:rFonts w:asciiTheme="majorBidi" w:hAnsiTheme="majorBidi" w:cstheme="majorBidi"/>
                <w:b/>
                <w:bCs/>
              </w:rPr>
              <w:t>(5)</w:t>
            </w:r>
          </w:p>
        </w:tc>
        <w:tc>
          <w:tcPr>
            <w:tcW w:w="691" w:type="dxa"/>
            <w:shd w:val="clear" w:color="auto" w:fill="auto"/>
            <w:hideMark/>
          </w:tcPr>
          <w:p w14:paraId="0C43AD67" w14:textId="77777777" w:rsidR="00CB35C3" w:rsidRPr="00033D2B" w:rsidRDefault="00CB35C3" w:rsidP="000008EE">
            <w:pPr>
              <w:spacing w:before="60" w:after="60"/>
              <w:jc w:val="center"/>
              <w:rPr>
                <w:rFonts w:asciiTheme="majorBidi" w:hAnsiTheme="majorBidi" w:cstheme="majorBidi"/>
                <w:b/>
                <w:bCs/>
              </w:rPr>
            </w:pPr>
            <w:r w:rsidRPr="00033D2B">
              <w:rPr>
                <w:rFonts w:asciiTheme="majorBidi" w:hAnsiTheme="majorBidi" w:cstheme="majorBidi"/>
                <w:b/>
                <w:bCs/>
              </w:rPr>
              <w:t>(6)</w:t>
            </w:r>
          </w:p>
        </w:tc>
      </w:tr>
      <w:tr w:rsidR="00CB35C3" w:rsidRPr="00033D2B" w14:paraId="13EC0CF7" w14:textId="77777777" w:rsidTr="00FC53B0">
        <w:trPr>
          <w:trHeight w:val="20"/>
        </w:trPr>
        <w:tc>
          <w:tcPr>
            <w:tcW w:w="616" w:type="dxa"/>
            <w:shd w:val="clear" w:color="auto" w:fill="auto"/>
            <w:hideMark/>
          </w:tcPr>
          <w:p w14:paraId="4C71D050"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1005</w:t>
            </w:r>
          </w:p>
        </w:tc>
        <w:tc>
          <w:tcPr>
            <w:tcW w:w="3518" w:type="dxa"/>
            <w:shd w:val="clear" w:color="auto" w:fill="auto"/>
            <w:hideMark/>
          </w:tcPr>
          <w:p w14:paraId="45515B5D" w14:textId="77777777" w:rsidR="00CB35C3" w:rsidRPr="00033D2B" w:rsidRDefault="00CB35C3" w:rsidP="000008EE">
            <w:pPr>
              <w:spacing w:before="60" w:after="60"/>
              <w:ind w:left="-16"/>
              <w:rPr>
                <w:rFonts w:asciiTheme="majorBidi" w:hAnsiTheme="majorBidi" w:cstheme="majorBidi"/>
                <w:color w:val="000000"/>
              </w:rPr>
            </w:pPr>
            <w:r>
              <w:rPr>
                <w:lang w:val="fr-FR"/>
              </w:rPr>
              <w:t>AMMONIAC ANHYDRE</w:t>
            </w:r>
          </w:p>
        </w:tc>
        <w:tc>
          <w:tcPr>
            <w:tcW w:w="550" w:type="dxa"/>
            <w:shd w:val="clear" w:color="auto" w:fill="auto"/>
            <w:hideMark/>
          </w:tcPr>
          <w:p w14:paraId="5D2AD181"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2</w:t>
            </w:r>
          </w:p>
        </w:tc>
        <w:tc>
          <w:tcPr>
            <w:tcW w:w="689" w:type="dxa"/>
            <w:shd w:val="clear" w:color="auto" w:fill="auto"/>
            <w:hideMark/>
          </w:tcPr>
          <w:p w14:paraId="4EB43015"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2TC</w:t>
            </w:r>
          </w:p>
        </w:tc>
        <w:tc>
          <w:tcPr>
            <w:tcW w:w="557" w:type="dxa"/>
            <w:shd w:val="clear" w:color="auto" w:fill="auto"/>
            <w:hideMark/>
          </w:tcPr>
          <w:p w14:paraId="71A576E2"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 </w:t>
            </w:r>
          </w:p>
        </w:tc>
        <w:tc>
          <w:tcPr>
            <w:tcW w:w="750" w:type="dxa"/>
            <w:shd w:val="clear" w:color="auto" w:fill="auto"/>
            <w:hideMark/>
          </w:tcPr>
          <w:p w14:paraId="73CEB376"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2.3</w:t>
            </w:r>
            <w:r w:rsidRPr="00033D2B">
              <w:rPr>
                <w:rFonts w:asciiTheme="majorBidi" w:hAnsiTheme="majorBidi" w:cstheme="majorBidi"/>
                <w:color w:val="000000"/>
              </w:rPr>
              <w:br/>
              <w:t>+8</w:t>
            </w:r>
            <w:r>
              <w:rPr>
                <w:rFonts w:asciiTheme="majorBidi" w:hAnsiTheme="majorBidi" w:cstheme="majorBidi"/>
                <w:color w:val="000000"/>
              </w:rPr>
              <w:t xml:space="preserve"> (RID :) +13</w:t>
            </w:r>
          </w:p>
        </w:tc>
        <w:tc>
          <w:tcPr>
            <w:tcW w:w="691" w:type="dxa"/>
            <w:shd w:val="clear" w:color="auto" w:fill="auto"/>
            <w:hideMark/>
          </w:tcPr>
          <w:p w14:paraId="5BC79D57"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23</w:t>
            </w:r>
            <w:r w:rsidRPr="00033D2B">
              <w:rPr>
                <w:rFonts w:asciiTheme="majorBidi" w:hAnsiTheme="majorBidi" w:cstheme="majorBidi"/>
                <w:color w:val="000000"/>
              </w:rPr>
              <w:br/>
              <w:t>379</w:t>
            </w:r>
          </w:p>
        </w:tc>
      </w:tr>
      <w:tr w:rsidR="00CB35C3" w:rsidRPr="00033D2B" w14:paraId="540D1C3F" w14:textId="77777777" w:rsidTr="00FC53B0">
        <w:trPr>
          <w:trHeight w:val="20"/>
        </w:trPr>
        <w:tc>
          <w:tcPr>
            <w:tcW w:w="616" w:type="dxa"/>
            <w:shd w:val="clear" w:color="auto" w:fill="auto"/>
            <w:hideMark/>
          </w:tcPr>
          <w:p w14:paraId="61BA2AF5"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2073</w:t>
            </w:r>
          </w:p>
        </w:tc>
        <w:tc>
          <w:tcPr>
            <w:tcW w:w="3518" w:type="dxa"/>
            <w:shd w:val="clear" w:color="auto" w:fill="auto"/>
            <w:hideMark/>
          </w:tcPr>
          <w:p w14:paraId="3E0EE0EE" w14:textId="77777777" w:rsidR="00CB35C3" w:rsidRPr="006B5F49" w:rsidRDefault="00CB35C3" w:rsidP="000008EE">
            <w:pPr>
              <w:spacing w:before="60" w:after="60"/>
              <w:ind w:left="-16"/>
              <w:rPr>
                <w:rFonts w:asciiTheme="majorBidi" w:hAnsiTheme="majorBidi" w:cstheme="majorBidi"/>
                <w:color w:val="000000"/>
                <w:lang w:val="fr-FR"/>
              </w:rPr>
            </w:pPr>
            <w:r>
              <w:rPr>
                <w:lang w:val="fr-FR"/>
              </w:rPr>
              <w:t>AMMONIAC EN SOLUTION AQUEUSE de densité relative inférieure à 0,880 à 15 °C contenant plus de 35 % mais au plus 50 % d’ammoniac</w:t>
            </w:r>
          </w:p>
        </w:tc>
        <w:tc>
          <w:tcPr>
            <w:tcW w:w="550" w:type="dxa"/>
            <w:shd w:val="clear" w:color="auto" w:fill="auto"/>
            <w:hideMark/>
          </w:tcPr>
          <w:p w14:paraId="5BD7E1D3"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2</w:t>
            </w:r>
          </w:p>
        </w:tc>
        <w:tc>
          <w:tcPr>
            <w:tcW w:w="689" w:type="dxa"/>
            <w:shd w:val="clear" w:color="auto" w:fill="auto"/>
            <w:hideMark/>
          </w:tcPr>
          <w:p w14:paraId="03FF53EB"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4A</w:t>
            </w:r>
          </w:p>
        </w:tc>
        <w:tc>
          <w:tcPr>
            <w:tcW w:w="557" w:type="dxa"/>
            <w:shd w:val="clear" w:color="auto" w:fill="auto"/>
            <w:hideMark/>
          </w:tcPr>
          <w:p w14:paraId="7542FFF0"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 </w:t>
            </w:r>
          </w:p>
        </w:tc>
        <w:tc>
          <w:tcPr>
            <w:tcW w:w="750" w:type="dxa"/>
            <w:shd w:val="clear" w:color="auto" w:fill="auto"/>
            <w:hideMark/>
          </w:tcPr>
          <w:p w14:paraId="2661826A"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2.2</w:t>
            </w:r>
            <w:r>
              <w:rPr>
                <w:rFonts w:asciiTheme="majorBidi" w:hAnsiTheme="majorBidi" w:cstheme="majorBidi"/>
                <w:color w:val="000000"/>
              </w:rPr>
              <w:t xml:space="preserve"> (RID :) +13</w:t>
            </w:r>
          </w:p>
        </w:tc>
        <w:tc>
          <w:tcPr>
            <w:tcW w:w="691" w:type="dxa"/>
            <w:shd w:val="clear" w:color="auto" w:fill="auto"/>
            <w:hideMark/>
          </w:tcPr>
          <w:p w14:paraId="05D4E977"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532</w:t>
            </w:r>
          </w:p>
        </w:tc>
      </w:tr>
      <w:tr w:rsidR="00CB35C3" w:rsidRPr="00033D2B" w14:paraId="11E37483" w14:textId="77777777" w:rsidTr="00FC53B0">
        <w:trPr>
          <w:trHeight w:val="20"/>
        </w:trPr>
        <w:tc>
          <w:tcPr>
            <w:tcW w:w="616" w:type="dxa"/>
            <w:shd w:val="clear" w:color="auto" w:fill="auto"/>
            <w:hideMark/>
          </w:tcPr>
          <w:p w14:paraId="16018890"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2672</w:t>
            </w:r>
          </w:p>
        </w:tc>
        <w:tc>
          <w:tcPr>
            <w:tcW w:w="3518" w:type="dxa"/>
            <w:shd w:val="clear" w:color="auto" w:fill="auto"/>
            <w:hideMark/>
          </w:tcPr>
          <w:p w14:paraId="53E0B076" w14:textId="77777777" w:rsidR="00CB35C3" w:rsidRPr="006B5F49" w:rsidRDefault="00CB35C3" w:rsidP="000008EE">
            <w:pPr>
              <w:spacing w:before="60" w:after="60"/>
              <w:ind w:left="-16"/>
              <w:rPr>
                <w:rFonts w:asciiTheme="majorBidi" w:hAnsiTheme="majorBidi" w:cstheme="majorBidi"/>
                <w:color w:val="000000"/>
                <w:lang w:val="fr-FR"/>
              </w:rPr>
            </w:pPr>
            <w:r>
              <w:rPr>
                <w:lang w:val="fr-FR"/>
              </w:rPr>
              <w:t>AMMONIAC EN SOLUTION aqueuse de densité relative comprise entre 0,880 et 0,957 à 15 °C contenant plus de 10 % mais pas plus de 35 % d’ammoniac</w:t>
            </w:r>
          </w:p>
        </w:tc>
        <w:tc>
          <w:tcPr>
            <w:tcW w:w="550" w:type="dxa"/>
            <w:shd w:val="clear" w:color="auto" w:fill="auto"/>
            <w:hideMark/>
          </w:tcPr>
          <w:p w14:paraId="6DDE88E3"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8</w:t>
            </w:r>
          </w:p>
        </w:tc>
        <w:tc>
          <w:tcPr>
            <w:tcW w:w="689" w:type="dxa"/>
            <w:shd w:val="clear" w:color="auto" w:fill="auto"/>
            <w:hideMark/>
          </w:tcPr>
          <w:p w14:paraId="0D366D7F"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C5</w:t>
            </w:r>
          </w:p>
        </w:tc>
        <w:tc>
          <w:tcPr>
            <w:tcW w:w="557" w:type="dxa"/>
            <w:shd w:val="clear" w:color="auto" w:fill="auto"/>
            <w:hideMark/>
          </w:tcPr>
          <w:p w14:paraId="7C134C84"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III</w:t>
            </w:r>
          </w:p>
        </w:tc>
        <w:tc>
          <w:tcPr>
            <w:tcW w:w="750" w:type="dxa"/>
            <w:shd w:val="clear" w:color="auto" w:fill="auto"/>
            <w:hideMark/>
          </w:tcPr>
          <w:p w14:paraId="0B6B6AAE"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8</w:t>
            </w:r>
          </w:p>
        </w:tc>
        <w:tc>
          <w:tcPr>
            <w:tcW w:w="691" w:type="dxa"/>
            <w:shd w:val="clear" w:color="auto" w:fill="auto"/>
            <w:hideMark/>
          </w:tcPr>
          <w:p w14:paraId="32E8391A"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543</w:t>
            </w:r>
          </w:p>
        </w:tc>
      </w:tr>
      <w:tr w:rsidR="00CB35C3" w:rsidRPr="00033D2B" w14:paraId="25AC2FBB" w14:textId="77777777" w:rsidTr="00FC53B0">
        <w:trPr>
          <w:trHeight w:val="20"/>
        </w:trPr>
        <w:tc>
          <w:tcPr>
            <w:tcW w:w="616" w:type="dxa"/>
            <w:shd w:val="clear" w:color="auto" w:fill="auto"/>
            <w:hideMark/>
          </w:tcPr>
          <w:p w14:paraId="5DF985CD"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3318</w:t>
            </w:r>
          </w:p>
        </w:tc>
        <w:tc>
          <w:tcPr>
            <w:tcW w:w="3518" w:type="dxa"/>
            <w:shd w:val="clear" w:color="auto" w:fill="auto"/>
            <w:hideMark/>
          </w:tcPr>
          <w:p w14:paraId="488EFCDD" w14:textId="77777777" w:rsidR="00CB35C3" w:rsidRPr="006B5F49" w:rsidRDefault="00CB35C3" w:rsidP="000008EE">
            <w:pPr>
              <w:spacing w:before="60" w:after="60"/>
              <w:ind w:left="-16"/>
              <w:rPr>
                <w:rFonts w:asciiTheme="majorBidi" w:hAnsiTheme="majorBidi" w:cstheme="majorBidi"/>
                <w:color w:val="000000"/>
                <w:lang w:val="fr-FR"/>
              </w:rPr>
            </w:pPr>
            <w:r>
              <w:rPr>
                <w:lang w:val="fr-FR"/>
              </w:rPr>
              <w:t>AMMONIAC EN SOLUTION AQUEUSE de densité relative inférieure à 0,880 à 15 °C contenant plus de 50 % d’ammoniac</w:t>
            </w:r>
          </w:p>
        </w:tc>
        <w:tc>
          <w:tcPr>
            <w:tcW w:w="550" w:type="dxa"/>
            <w:shd w:val="clear" w:color="auto" w:fill="auto"/>
            <w:hideMark/>
          </w:tcPr>
          <w:p w14:paraId="308779A3"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2</w:t>
            </w:r>
          </w:p>
        </w:tc>
        <w:tc>
          <w:tcPr>
            <w:tcW w:w="689" w:type="dxa"/>
            <w:shd w:val="clear" w:color="auto" w:fill="auto"/>
            <w:hideMark/>
          </w:tcPr>
          <w:p w14:paraId="58522367"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4TC</w:t>
            </w:r>
          </w:p>
        </w:tc>
        <w:tc>
          <w:tcPr>
            <w:tcW w:w="557" w:type="dxa"/>
            <w:shd w:val="clear" w:color="auto" w:fill="auto"/>
            <w:hideMark/>
          </w:tcPr>
          <w:p w14:paraId="6225014E"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 </w:t>
            </w:r>
          </w:p>
        </w:tc>
        <w:tc>
          <w:tcPr>
            <w:tcW w:w="750" w:type="dxa"/>
            <w:shd w:val="clear" w:color="auto" w:fill="auto"/>
            <w:hideMark/>
          </w:tcPr>
          <w:p w14:paraId="40AFF3D7"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2.3</w:t>
            </w:r>
            <w:r w:rsidRPr="00033D2B">
              <w:rPr>
                <w:rFonts w:asciiTheme="majorBidi" w:hAnsiTheme="majorBidi" w:cstheme="majorBidi"/>
                <w:color w:val="000000"/>
              </w:rPr>
              <w:br/>
              <w:t>+8</w:t>
            </w:r>
            <w:r>
              <w:rPr>
                <w:rFonts w:asciiTheme="majorBidi" w:hAnsiTheme="majorBidi" w:cstheme="majorBidi"/>
                <w:color w:val="000000"/>
              </w:rPr>
              <w:t xml:space="preserve"> (RID :) +13</w:t>
            </w:r>
          </w:p>
        </w:tc>
        <w:tc>
          <w:tcPr>
            <w:tcW w:w="691" w:type="dxa"/>
            <w:shd w:val="clear" w:color="auto" w:fill="auto"/>
            <w:hideMark/>
          </w:tcPr>
          <w:p w14:paraId="392A452A" w14:textId="77777777" w:rsidR="00CB35C3" w:rsidRPr="00033D2B" w:rsidRDefault="00CB35C3" w:rsidP="000008EE">
            <w:pPr>
              <w:spacing w:before="60" w:after="60"/>
              <w:jc w:val="center"/>
              <w:rPr>
                <w:rFonts w:asciiTheme="majorBidi" w:hAnsiTheme="majorBidi" w:cstheme="majorBidi"/>
                <w:color w:val="000000"/>
              </w:rPr>
            </w:pPr>
            <w:r w:rsidRPr="00033D2B">
              <w:rPr>
                <w:rFonts w:asciiTheme="majorBidi" w:hAnsiTheme="majorBidi" w:cstheme="majorBidi"/>
                <w:color w:val="000000"/>
              </w:rPr>
              <w:t>23</w:t>
            </w:r>
          </w:p>
        </w:tc>
      </w:tr>
    </w:tbl>
    <w:p w14:paraId="59AFD9BF" w14:textId="19739202" w:rsidR="00CB35C3" w:rsidRPr="00A33244" w:rsidRDefault="00CB35C3" w:rsidP="000008EE">
      <w:pPr>
        <w:pStyle w:val="SingleTxtG"/>
        <w:spacing w:before="120"/>
        <w:ind w:left="1701" w:hanging="567"/>
        <w:rPr>
          <w:lang w:val="fr-FR"/>
        </w:rPr>
      </w:pPr>
      <w:r>
        <w:rPr>
          <w:lang w:val="fr-FR"/>
        </w:rPr>
        <w:t>532</w:t>
      </w:r>
      <w:r>
        <w:rPr>
          <w:lang w:val="fr-FR"/>
        </w:rPr>
        <w:tab/>
        <w:t>L’ammoniac en solution, contenant entre 10 % et 35 % d’ammoniac (N</w:t>
      </w:r>
      <w:r w:rsidRPr="000008EE">
        <w:rPr>
          <w:vertAlign w:val="superscript"/>
          <w:lang w:val="fr-FR"/>
        </w:rPr>
        <w:t>o</w:t>
      </w:r>
      <w:r w:rsidR="000008EE">
        <w:rPr>
          <w:lang w:val="fr-FR"/>
        </w:rPr>
        <w:t> </w:t>
      </w:r>
      <w:r>
        <w:rPr>
          <w:lang w:val="fr-FR"/>
        </w:rPr>
        <w:t>ONU 2672), est une matière de la classe 8.</w:t>
      </w:r>
    </w:p>
    <w:p w14:paraId="4A4152CC" w14:textId="1998248A" w:rsidR="00CB35C3" w:rsidRPr="00A33244" w:rsidRDefault="00CB35C3" w:rsidP="00CB35C3">
      <w:pPr>
        <w:pStyle w:val="SingleTxtG"/>
        <w:ind w:left="1701" w:hanging="567"/>
        <w:rPr>
          <w:lang w:val="fr-FR"/>
        </w:rPr>
      </w:pPr>
      <w:r>
        <w:rPr>
          <w:lang w:val="fr-FR"/>
        </w:rPr>
        <w:t>543</w:t>
      </w:r>
      <w:r>
        <w:rPr>
          <w:lang w:val="fr-FR"/>
        </w:rPr>
        <w:tab/>
        <w:t>L’ammoniac anhydre (N</w:t>
      </w:r>
      <w:r w:rsidRPr="000008EE">
        <w:rPr>
          <w:vertAlign w:val="superscript"/>
          <w:lang w:val="fr-FR"/>
        </w:rPr>
        <w:t>o</w:t>
      </w:r>
      <w:r w:rsidR="000008EE">
        <w:rPr>
          <w:lang w:val="fr-FR"/>
        </w:rPr>
        <w:t> </w:t>
      </w:r>
      <w:r>
        <w:rPr>
          <w:lang w:val="fr-FR"/>
        </w:rPr>
        <w:t>ONU 1005), l’ammoniac en solution contenant plus de 50 % d’ammoniac (N</w:t>
      </w:r>
      <w:r w:rsidRPr="000008EE">
        <w:rPr>
          <w:vertAlign w:val="superscript"/>
          <w:lang w:val="fr-FR"/>
        </w:rPr>
        <w:t>o</w:t>
      </w:r>
      <w:r w:rsidR="000008EE">
        <w:rPr>
          <w:lang w:val="fr-FR"/>
        </w:rPr>
        <w:t> </w:t>
      </w:r>
      <w:r>
        <w:rPr>
          <w:lang w:val="fr-FR"/>
        </w:rPr>
        <w:t>ONU 3318) et l’ammoniac en solution contenant plus de 35 % mais au maximum 50 % d’ammoniac (N</w:t>
      </w:r>
      <w:r w:rsidRPr="000008EE">
        <w:rPr>
          <w:vertAlign w:val="superscript"/>
          <w:lang w:val="fr-FR"/>
        </w:rPr>
        <w:t>o</w:t>
      </w:r>
      <w:r w:rsidR="000008EE">
        <w:rPr>
          <w:lang w:val="fr-FR"/>
        </w:rPr>
        <w:t> </w:t>
      </w:r>
      <w:r>
        <w:rPr>
          <w:lang w:val="fr-FR"/>
        </w:rPr>
        <w:t>ONU 2073) sont des matières de la classe 2. Les solutions d’ammoniac ne contenant pas plus de 10 % d’ammoniac ne sont pas soumises aux prescriptions [du RID, de l’ADR ou de l’ADN].</w:t>
      </w:r>
    </w:p>
    <w:p w14:paraId="471230DA" w14:textId="77777777" w:rsidR="00CB35C3" w:rsidRPr="00A33244" w:rsidRDefault="00CB35C3" w:rsidP="000008EE">
      <w:pPr>
        <w:pStyle w:val="H1G"/>
        <w:rPr>
          <w:lang w:val="fr-FR"/>
        </w:rPr>
      </w:pPr>
      <w:r>
        <w:rPr>
          <w:lang w:val="fr-FR"/>
        </w:rPr>
        <w:tab/>
        <w:t>B.</w:t>
      </w:r>
      <w:r>
        <w:rPr>
          <w:lang w:val="fr-FR"/>
        </w:rPr>
        <w:tab/>
        <w:t>Historique</w:t>
      </w:r>
    </w:p>
    <w:p w14:paraId="1FE905BF" w14:textId="5733C968" w:rsidR="00CB35C3" w:rsidRPr="00A33244" w:rsidRDefault="00CB35C3" w:rsidP="00CB35C3">
      <w:pPr>
        <w:pStyle w:val="SingleTxtG"/>
        <w:rPr>
          <w:lang w:val="fr-FR"/>
        </w:rPr>
      </w:pPr>
      <w:r>
        <w:rPr>
          <w:lang w:val="fr-FR"/>
        </w:rPr>
        <w:t>6.</w:t>
      </w:r>
      <w:r>
        <w:rPr>
          <w:lang w:val="fr-FR"/>
        </w:rPr>
        <w:tab/>
        <w:t>Le texte actuel des dispositions spéciales 532 et 543 a été ajouté dans l’édition 1993 du RID et de l’ADR sous la forme de notes aux marginaux (2)201</w:t>
      </w:r>
      <w:r w:rsidR="000008EE">
        <w:rPr>
          <w:rStyle w:val="FootnoteReference"/>
        </w:rPr>
        <w:footnoteReference w:id="4"/>
      </w:r>
      <w:r>
        <w:rPr>
          <w:lang w:val="fr-FR"/>
        </w:rPr>
        <w:t xml:space="preserve"> et (2)801 et, après quelques modifications, a été transposé dans les dispositions spéciales 532 et 543 lors de la restructuration du RID et de l’ADR pour l’édition 2001. Pour permettre de comprendre le raisonnement justifiant la formulation des notes, il est utile de rappeler qu’avant la </w:t>
      </w:r>
      <w:r>
        <w:rPr>
          <w:lang w:val="fr-FR"/>
        </w:rPr>
        <w:lastRenderedPageBreak/>
        <w:t>restructuration du RID et de l’ADR, ces notes figuraient dans des chapitres où les matières et les dispositions étaient présentées par classe. C’est pourquoi la note du marginal (2)201, qui figurait dans un chapitre relatif à la classe 2, faisait référence aux matières de la classe 8, et inversement. Ce raisonnement ne tient plus dans la version actuelle du RID, de l’ADR et de l’ADN, où les dispositions spéciales sont affectées à des numéros ONU individuellement.</w:t>
      </w:r>
    </w:p>
    <w:p w14:paraId="498E2F1A" w14:textId="77777777" w:rsidR="00CB35C3" w:rsidRPr="00A33244" w:rsidRDefault="00CB35C3" w:rsidP="00CB35C3">
      <w:pPr>
        <w:pStyle w:val="SingleTxtG"/>
        <w:rPr>
          <w:lang w:val="fr-FR"/>
        </w:rPr>
      </w:pPr>
      <w:r>
        <w:rPr>
          <w:lang w:val="fr-FR"/>
        </w:rPr>
        <w:t>7.</w:t>
      </w:r>
      <w:r>
        <w:rPr>
          <w:lang w:val="fr-FR"/>
        </w:rPr>
        <w:tab/>
        <w:t>Les dispositions spéciales en question sont identiques dans le RID, l’ADR et l’ADN, mais ne figurent pas dans le Règlement type pour le transport des marchandises dangereuses.</w:t>
      </w:r>
    </w:p>
    <w:p w14:paraId="6EB1D38E" w14:textId="77777777" w:rsidR="00CB35C3" w:rsidRPr="00A33244" w:rsidRDefault="00CB35C3" w:rsidP="000008EE">
      <w:pPr>
        <w:pStyle w:val="H1G"/>
        <w:rPr>
          <w:lang w:val="fr-FR"/>
        </w:rPr>
      </w:pPr>
      <w:r>
        <w:rPr>
          <w:lang w:val="fr-FR"/>
        </w:rPr>
        <w:tab/>
        <w:t>C.</w:t>
      </w:r>
      <w:r>
        <w:rPr>
          <w:lang w:val="fr-FR"/>
        </w:rPr>
        <w:tab/>
        <w:t>Problèmes relatifs aux dispositions spéciales 532 et 543</w:t>
      </w:r>
    </w:p>
    <w:p w14:paraId="370DE9FE" w14:textId="77777777" w:rsidR="00CB35C3" w:rsidRPr="00A33244" w:rsidRDefault="00CB35C3" w:rsidP="000008EE">
      <w:pPr>
        <w:pStyle w:val="SingleTxtG"/>
        <w:rPr>
          <w:lang w:val="fr-FR"/>
        </w:rPr>
      </w:pPr>
      <w:r>
        <w:rPr>
          <w:lang w:val="fr-FR"/>
        </w:rPr>
        <w:t>8.</w:t>
      </w:r>
      <w:r>
        <w:rPr>
          <w:lang w:val="fr-FR"/>
        </w:rPr>
        <w:tab/>
        <w:t>Les problèmes suivants ont été relevés :</w:t>
      </w:r>
    </w:p>
    <w:p w14:paraId="2BD69568" w14:textId="77777777" w:rsidR="00CB35C3" w:rsidRPr="00A33244" w:rsidRDefault="00CB35C3" w:rsidP="000008EE">
      <w:pPr>
        <w:pStyle w:val="SingleTxtG"/>
        <w:ind w:left="1701"/>
        <w:rPr>
          <w:lang w:val="fr-FR"/>
        </w:rPr>
      </w:pPr>
      <w:r>
        <w:rPr>
          <w:lang w:val="fr-FR"/>
        </w:rPr>
        <w:t>a)</w:t>
      </w:r>
      <w:r>
        <w:rPr>
          <w:lang w:val="fr-FR"/>
        </w:rPr>
        <w:tab/>
        <w:t>La formulation prête à confusion et peut donner lieu à des interprétations erronées.</w:t>
      </w:r>
    </w:p>
    <w:p w14:paraId="622E9258" w14:textId="2470A647" w:rsidR="00CB35C3" w:rsidRPr="00A33244" w:rsidRDefault="00CB35C3" w:rsidP="00CB35C3">
      <w:pPr>
        <w:pStyle w:val="SingleTxtG"/>
        <w:ind w:left="1701"/>
        <w:rPr>
          <w:lang w:val="fr-FR"/>
        </w:rPr>
      </w:pPr>
      <w:r>
        <w:rPr>
          <w:lang w:val="fr-FR"/>
        </w:rPr>
        <w:t>b)</w:t>
      </w:r>
      <w:r>
        <w:rPr>
          <w:lang w:val="fr-FR"/>
        </w:rPr>
        <w:tab/>
        <w:t>La disposition spéciale 532 contient l’expression « entre 10 % et 35 % », alors que le libellé du N</w:t>
      </w:r>
      <w:r w:rsidRPr="000008EE">
        <w:rPr>
          <w:vertAlign w:val="superscript"/>
          <w:lang w:val="fr-FR"/>
        </w:rPr>
        <w:t>o</w:t>
      </w:r>
      <w:r w:rsidR="000008EE">
        <w:rPr>
          <w:lang w:val="fr-FR"/>
        </w:rPr>
        <w:t> </w:t>
      </w:r>
      <w:r>
        <w:rPr>
          <w:lang w:val="fr-FR"/>
        </w:rPr>
        <w:t>ONU 2672 précise « plus de 10 % mais pas plus de 35 % ». Ces deux formulations ne sont pas équivalentes.</w:t>
      </w:r>
    </w:p>
    <w:p w14:paraId="2FB11276" w14:textId="0D0B7C41" w:rsidR="00CB35C3" w:rsidRPr="00A33244" w:rsidRDefault="00CB35C3" w:rsidP="00CB35C3">
      <w:pPr>
        <w:pStyle w:val="SingleTxtG"/>
        <w:ind w:left="1701"/>
        <w:rPr>
          <w:lang w:val="fr-FR"/>
        </w:rPr>
      </w:pPr>
      <w:r>
        <w:rPr>
          <w:lang w:val="fr-FR"/>
        </w:rPr>
        <w:t>c)</w:t>
      </w:r>
      <w:r>
        <w:rPr>
          <w:lang w:val="fr-FR"/>
        </w:rPr>
        <w:tab/>
        <w:t>Les dispositions spéciales ne mentionnent pas de limite en ce qui concerne la densité relative, alors que les descriptions des N</w:t>
      </w:r>
      <w:r w:rsidRPr="000008EE">
        <w:rPr>
          <w:vertAlign w:val="superscript"/>
          <w:lang w:val="fr-FR"/>
        </w:rPr>
        <w:t>os</w:t>
      </w:r>
      <w:r w:rsidR="000008EE">
        <w:rPr>
          <w:lang w:val="fr-FR"/>
        </w:rPr>
        <w:t> </w:t>
      </w:r>
      <w:r>
        <w:rPr>
          <w:lang w:val="fr-FR"/>
        </w:rPr>
        <w:t>ONU 2073, 2672 et 3318 établissent des limites applicables à la densité relative, qui ne sont d’ailleurs pas les mêmes pour ces trois numéros ONU.</w:t>
      </w:r>
    </w:p>
    <w:p w14:paraId="371E0033" w14:textId="77777777" w:rsidR="00CB35C3" w:rsidRPr="00A33244" w:rsidRDefault="00CB35C3" w:rsidP="00CB35C3">
      <w:pPr>
        <w:pStyle w:val="SingleTxtG"/>
        <w:ind w:left="1701"/>
        <w:rPr>
          <w:lang w:val="fr-FR"/>
        </w:rPr>
      </w:pPr>
      <w:r>
        <w:rPr>
          <w:lang w:val="fr-FR"/>
        </w:rPr>
        <w:t>d)</w:t>
      </w:r>
      <w:r>
        <w:rPr>
          <w:lang w:val="fr-FR"/>
        </w:rPr>
        <w:tab/>
        <w:t>Il semble exister une incohérence en ce qui concerne les numéros ONU qui sont mentionnés dans chaque disposition spéciale :</w:t>
      </w:r>
    </w:p>
    <w:p w14:paraId="14FA7B5F" w14:textId="13D7146B" w:rsidR="00CB35C3" w:rsidRPr="00A33244" w:rsidRDefault="00CB35C3" w:rsidP="00CB35C3">
      <w:pPr>
        <w:pStyle w:val="SingleTxtG"/>
        <w:ind w:left="2268"/>
        <w:rPr>
          <w:lang w:val="fr-FR"/>
        </w:rPr>
      </w:pPr>
      <w:r>
        <w:rPr>
          <w:lang w:val="fr-FR"/>
        </w:rPr>
        <w:t>i)</w:t>
      </w:r>
      <w:r>
        <w:rPr>
          <w:lang w:val="fr-FR"/>
        </w:rPr>
        <w:tab/>
        <w:t>La disposition spéciale affectée au N</w:t>
      </w:r>
      <w:r w:rsidRPr="000008EE">
        <w:rPr>
          <w:vertAlign w:val="superscript"/>
          <w:lang w:val="fr-FR"/>
        </w:rPr>
        <w:t>o</w:t>
      </w:r>
      <w:r w:rsidR="000008EE">
        <w:rPr>
          <w:lang w:val="fr-FR"/>
        </w:rPr>
        <w:t> </w:t>
      </w:r>
      <w:r>
        <w:rPr>
          <w:lang w:val="fr-FR"/>
        </w:rPr>
        <w:t>ONU 2073 ne mentionne que le N</w:t>
      </w:r>
      <w:r w:rsidRPr="000008EE">
        <w:rPr>
          <w:vertAlign w:val="superscript"/>
          <w:lang w:val="fr-FR"/>
        </w:rPr>
        <w:t>o</w:t>
      </w:r>
      <w:r w:rsidR="000008EE">
        <w:rPr>
          <w:lang w:val="fr-FR"/>
        </w:rPr>
        <w:t> </w:t>
      </w:r>
      <w:r>
        <w:rPr>
          <w:lang w:val="fr-FR"/>
        </w:rPr>
        <w:t>ONU 2672 ;</w:t>
      </w:r>
    </w:p>
    <w:p w14:paraId="685BB2FE" w14:textId="2945466E" w:rsidR="00CB35C3" w:rsidRPr="00A33244" w:rsidRDefault="00CB35C3" w:rsidP="00CB35C3">
      <w:pPr>
        <w:pStyle w:val="SingleTxtG"/>
        <w:ind w:left="2268"/>
        <w:rPr>
          <w:lang w:val="fr-FR"/>
        </w:rPr>
      </w:pPr>
      <w:r>
        <w:rPr>
          <w:lang w:val="fr-FR"/>
        </w:rPr>
        <w:t>ii)</w:t>
      </w:r>
      <w:r>
        <w:rPr>
          <w:lang w:val="fr-FR"/>
        </w:rPr>
        <w:tab/>
        <w:t>La disposition spéciale affectée au N</w:t>
      </w:r>
      <w:r w:rsidRPr="000008EE">
        <w:rPr>
          <w:vertAlign w:val="superscript"/>
          <w:lang w:val="fr-FR"/>
        </w:rPr>
        <w:t>o</w:t>
      </w:r>
      <w:r w:rsidR="000008EE">
        <w:rPr>
          <w:lang w:val="fr-FR"/>
        </w:rPr>
        <w:t> </w:t>
      </w:r>
      <w:r>
        <w:rPr>
          <w:lang w:val="fr-FR"/>
        </w:rPr>
        <w:t>ONU 2672 mentionne les N</w:t>
      </w:r>
      <w:r w:rsidRPr="000008EE">
        <w:rPr>
          <w:vertAlign w:val="superscript"/>
          <w:lang w:val="fr-FR"/>
        </w:rPr>
        <w:t>os</w:t>
      </w:r>
      <w:r>
        <w:rPr>
          <w:lang w:val="fr-FR"/>
        </w:rPr>
        <w:t xml:space="preserve"> ONU 1005, 2073 et 3318, mais également les solutions d’ammoniac ne contenant pas plus de 10 % d’ammoniac ; </w:t>
      </w:r>
    </w:p>
    <w:p w14:paraId="20EE9F0E" w14:textId="020C8865" w:rsidR="00CB35C3" w:rsidRPr="00A33244" w:rsidRDefault="00CB35C3" w:rsidP="00CB35C3">
      <w:pPr>
        <w:pStyle w:val="SingleTxtG"/>
        <w:ind w:left="2268"/>
        <w:rPr>
          <w:lang w:val="fr-FR"/>
        </w:rPr>
      </w:pPr>
      <w:r>
        <w:rPr>
          <w:lang w:val="fr-FR"/>
        </w:rPr>
        <w:t>iii)</w:t>
      </w:r>
      <w:r>
        <w:rPr>
          <w:lang w:val="fr-FR"/>
        </w:rPr>
        <w:tab/>
        <w:t>Aucune disposition spéciale mentionnant d’autres numéros ONU n’est affectée aux N</w:t>
      </w:r>
      <w:r w:rsidRPr="000008EE">
        <w:rPr>
          <w:vertAlign w:val="superscript"/>
          <w:lang w:val="fr-FR"/>
        </w:rPr>
        <w:t>os</w:t>
      </w:r>
      <w:r w:rsidR="000008EE">
        <w:rPr>
          <w:lang w:val="fr-FR"/>
        </w:rPr>
        <w:t> </w:t>
      </w:r>
      <w:r>
        <w:rPr>
          <w:lang w:val="fr-FR"/>
        </w:rPr>
        <w:t>ONU 1005 et 3318.</w:t>
      </w:r>
    </w:p>
    <w:p w14:paraId="7D589B52" w14:textId="77777777" w:rsidR="00CB35C3" w:rsidRPr="00A33244" w:rsidRDefault="00CB35C3" w:rsidP="000008EE">
      <w:pPr>
        <w:pStyle w:val="HChG"/>
        <w:rPr>
          <w:lang w:val="fr-FR"/>
        </w:rPr>
      </w:pPr>
      <w:r>
        <w:rPr>
          <w:lang w:val="fr-FR"/>
        </w:rPr>
        <w:tab/>
      </w:r>
      <w:r w:rsidRPr="000008EE">
        <w:t>III</w:t>
      </w:r>
      <w:r>
        <w:rPr>
          <w:lang w:val="fr-FR"/>
        </w:rPr>
        <w:t>.</w:t>
      </w:r>
      <w:r>
        <w:rPr>
          <w:lang w:val="fr-FR"/>
        </w:rPr>
        <w:tab/>
        <w:t>Propositions</w:t>
      </w:r>
      <w:r w:rsidRPr="00BD2DCF">
        <w:t xml:space="preserve"> </w:t>
      </w:r>
    </w:p>
    <w:p w14:paraId="4B4BA4AE" w14:textId="77777777" w:rsidR="00CB35C3" w:rsidRPr="00A33244" w:rsidRDefault="00CB35C3" w:rsidP="00CB35C3">
      <w:pPr>
        <w:pStyle w:val="SingleTxtG"/>
        <w:rPr>
          <w:lang w:val="fr-FR"/>
        </w:rPr>
      </w:pPr>
      <w:r>
        <w:rPr>
          <w:lang w:val="fr-FR"/>
        </w:rPr>
        <w:t>9.</w:t>
      </w:r>
      <w:r>
        <w:rPr>
          <w:lang w:val="fr-FR"/>
        </w:rPr>
        <w:tab/>
        <w:t>On trouvera ci-après quatre propositions visant à résoudre les problèmes relevés dans la section précédente. Elles sont plus ou moins présentées par ordre de préférence, compte tenu de l’analyse figurant dans le document informel INF.14 et des commentaires reçus à la suite de la présentation initiale de ce document.</w:t>
      </w:r>
    </w:p>
    <w:p w14:paraId="2FF985D9" w14:textId="4EFA5B31" w:rsidR="00CB35C3" w:rsidRPr="00A33244" w:rsidRDefault="00CB35C3" w:rsidP="00CB35C3">
      <w:pPr>
        <w:pStyle w:val="SingleTxtG"/>
        <w:rPr>
          <w:lang w:val="fr-FR"/>
        </w:rPr>
      </w:pPr>
      <w:r>
        <w:rPr>
          <w:lang w:val="fr-FR"/>
        </w:rPr>
        <w:t>10.</w:t>
      </w:r>
      <w:r>
        <w:rPr>
          <w:lang w:val="fr-FR"/>
        </w:rPr>
        <w:tab/>
        <w:t xml:space="preserve">La </w:t>
      </w:r>
      <w:r>
        <w:rPr>
          <w:b/>
          <w:bCs/>
          <w:lang w:val="fr-FR"/>
        </w:rPr>
        <w:t>proposition 1</w:t>
      </w:r>
      <w:r>
        <w:rPr>
          <w:lang w:val="fr-FR"/>
        </w:rPr>
        <w:t xml:space="preserve"> consiste à remplacer les deux dispositions spéciales actuelles par une seule disposition spéciale regroupant toutes les références et toutes les observations, qui serait affectée à tous les numéros ONU concernés (y compris les N</w:t>
      </w:r>
      <w:r w:rsidRPr="000008EE">
        <w:rPr>
          <w:vertAlign w:val="superscript"/>
          <w:lang w:val="fr-FR"/>
        </w:rPr>
        <w:t>os</w:t>
      </w:r>
      <w:r w:rsidR="000008EE">
        <w:rPr>
          <w:lang w:val="fr-FR"/>
        </w:rPr>
        <w:t> </w:t>
      </w:r>
      <w:r>
        <w:rPr>
          <w:lang w:val="fr-FR"/>
        </w:rPr>
        <w:t>ONU 1005 et 3318). Cela permettrait d’éviter les interprétations erronées et les incohérences.</w:t>
      </w:r>
    </w:p>
    <w:p w14:paraId="1290991F" w14:textId="77777777" w:rsidR="00CB35C3" w:rsidRPr="00A33244" w:rsidRDefault="00CB35C3" w:rsidP="00CB35C3">
      <w:pPr>
        <w:pStyle w:val="SingleTxtG"/>
        <w:rPr>
          <w:lang w:val="fr-FR"/>
        </w:rPr>
      </w:pPr>
      <w:r>
        <w:rPr>
          <w:lang w:val="fr-FR"/>
        </w:rPr>
        <w:t>11.</w:t>
      </w:r>
      <w:r>
        <w:rPr>
          <w:lang w:val="fr-FR"/>
        </w:rPr>
        <w:tab/>
        <w:t xml:space="preserve">La </w:t>
      </w:r>
      <w:r>
        <w:rPr>
          <w:b/>
          <w:bCs/>
          <w:lang w:val="fr-FR"/>
        </w:rPr>
        <w:t>proposition 2</w:t>
      </w:r>
      <w:r>
        <w:rPr>
          <w:lang w:val="fr-FR"/>
        </w:rPr>
        <w:t xml:space="preserve"> consiste à supprimer tout simplement les dispositions spéciales. Elle permet d’éviter toute interprétation erronée et d’harmoniser le RID, l’ADR et l’ADN avec le Règlement type. Il convient de souligner que la suppression des dispositions spéciales ne modifie en rien les prescriptions réglementaires, puisque ces dispositions spéciales ont simplement une valeur informative et ne créent ni obligation ni exemption à l’égard de ces prescriptions.</w:t>
      </w:r>
    </w:p>
    <w:p w14:paraId="504EF215" w14:textId="77777777" w:rsidR="00CB35C3" w:rsidRPr="00A33244" w:rsidRDefault="00CB35C3" w:rsidP="00CB35C3">
      <w:pPr>
        <w:pStyle w:val="SingleTxtG"/>
        <w:rPr>
          <w:lang w:val="fr-FR"/>
        </w:rPr>
      </w:pPr>
      <w:r>
        <w:rPr>
          <w:lang w:val="fr-FR"/>
        </w:rPr>
        <w:t>12.</w:t>
      </w:r>
      <w:r>
        <w:rPr>
          <w:lang w:val="fr-FR"/>
        </w:rPr>
        <w:tab/>
        <w:t xml:space="preserve">La </w:t>
      </w:r>
      <w:r>
        <w:rPr>
          <w:b/>
          <w:bCs/>
          <w:lang w:val="fr-FR"/>
        </w:rPr>
        <w:t>proposition 3</w:t>
      </w:r>
      <w:r>
        <w:rPr>
          <w:lang w:val="fr-FR"/>
        </w:rPr>
        <w:t xml:space="preserve"> consiste à supprimer la disposition spéciale 532 et à modifier la disposition spéciale 543 de façon à ne conserver que l’observation relative aux solutions d’ammoniac ne contenant pas plus de 10 % d’ammoniac.</w:t>
      </w:r>
    </w:p>
    <w:p w14:paraId="7FA9F5D4" w14:textId="308CA234" w:rsidR="00CB35C3" w:rsidRPr="00A33244" w:rsidRDefault="00CB35C3" w:rsidP="000008EE">
      <w:pPr>
        <w:pStyle w:val="SingleTxtG"/>
        <w:keepNext/>
        <w:keepLines/>
        <w:rPr>
          <w:lang w:val="fr-FR"/>
        </w:rPr>
      </w:pPr>
      <w:r>
        <w:rPr>
          <w:lang w:val="fr-FR"/>
        </w:rPr>
        <w:lastRenderedPageBreak/>
        <w:t>13.</w:t>
      </w:r>
      <w:r>
        <w:rPr>
          <w:lang w:val="fr-FR"/>
        </w:rPr>
        <w:tab/>
        <w:t xml:space="preserve">La </w:t>
      </w:r>
      <w:r>
        <w:rPr>
          <w:b/>
          <w:bCs/>
          <w:lang w:val="fr-FR"/>
        </w:rPr>
        <w:t>proposition 4</w:t>
      </w:r>
      <w:r>
        <w:rPr>
          <w:lang w:val="fr-FR"/>
        </w:rPr>
        <w:t xml:space="preserve"> consiste à conserver les dispositions spéciales actuelles en y</w:t>
      </w:r>
      <w:r w:rsidR="000008EE">
        <w:rPr>
          <w:lang w:val="fr-FR"/>
        </w:rPr>
        <w:t> </w:t>
      </w:r>
      <w:r>
        <w:rPr>
          <w:lang w:val="fr-FR"/>
        </w:rPr>
        <w:t>apportant quelques ajustements :</w:t>
      </w:r>
    </w:p>
    <w:p w14:paraId="3648BCEE" w14:textId="77777777" w:rsidR="00CB35C3" w:rsidRPr="00A33244" w:rsidRDefault="00CB35C3" w:rsidP="000008EE">
      <w:pPr>
        <w:pStyle w:val="SingleTxtG"/>
        <w:ind w:left="1701"/>
        <w:rPr>
          <w:lang w:val="fr-FR"/>
        </w:rPr>
      </w:pPr>
      <w:r>
        <w:rPr>
          <w:lang w:val="fr-FR"/>
        </w:rPr>
        <w:t>a)</w:t>
      </w:r>
      <w:r>
        <w:rPr>
          <w:lang w:val="fr-FR"/>
        </w:rPr>
        <w:tab/>
        <w:t>La formulation est modifiée pour corriger le texte et éviter toute interprétation erronée.</w:t>
      </w:r>
    </w:p>
    <w:p w14:paraId="1F84B421" w14:textId="38120FC0" w:rsidR="00CB35C3" w:rsidRPr="00A33244" w:rsidRDefault="00CB35C3" w:rsidP="00CB35C3">
      <w:pPr>
        <w:pStyle w:val="SingleTxtG"/>
        <w:ind w:left="1701"/>
        <w:rPr>
          <w:lang w:val="fr-FR"/>
        </w:rPr>
      </w:pPr>
      <w:r>
        <w:rPr>
          <w:lang w:val="fr-FR"/>
        </w:rPr>
        <w:t>b)</w:t>
      </w:r>
      <w:r>
        <w:rPr>
          <w:lang w:val="fr-FR"/>
        </w:rPr>
        <w:tab/>
        <w:t>Dans la disposition spéciale 532 affectée au N</w:t>
      </w:r>
      <w:r w:rsidRPr="000008EE">
        <w:rPr>
          <w:vertAlign w:val="superscript"/>
          <w:lang w:val="fr-FR"/>
        </w:rPr>
        <w:t>o</w:t>
      </w:r>
      <w:r w:rsidR="000008EE">
        <w:rPr>
          <w:lang w:val="fr-FR"/>
        </w:rPr>
        <w:t> </w:t>
      </w:r>
      <w:r>
        <w:rPr>
          <w:lang w:val="fr-FR"/>
        </w:rPr>
        <w:t>ONU 2073, en plus de la référence actuelle au N</w:t>
      </w:r>
      <w:r w:rsidRPr="000008EE">
        <w:rPr>
          <w:vertAlign w:val="superscript"/>
          <w:lang w:val="fr-FR"/>
        </w:rPr>
        <w:t>o</w:t>
      </w:r>
      <w:r w:rsidR="000008EE">
        <w:rPr>
          <w:lang w:val="fr-FR"/>
        </w:rPr>
        <w:t> </w:t>
      </w:r>
      <w:r>
        <w:rPr>
          <w:lang w:val="fr-FR"/>
        </w:rPr>
        <w:t>ONU 2672, on ajoute une référence au N</w:t>
      </w:r>
      <w:r w:rsidRPr="000008EE">
        <w:rPr>
          <w:vertAlign w:val="superscript"/>
          <w:lang w:val="fr-FR"/>
        </w:rPr>
        <w:t>o</w:t>
      </w:r>
      <w:r w:rsidR="000008EE">
        <w:rPr>
          <w:lang w:val="fr-FR"/>
        </w:rPr>
        <w:t> </w:t>
      </w:r>
      <w:r>
        <w:rPr>
          <w:lang w:val="fr-FR"/>
        </w:rPr>
        <w:t>ONU 3318, dont la teneur en ammoniac est immédiatement supérieure à celle du N</w:t>
      </w:r>
      <w:r w:rsidRPr="000008EE">
        <w:rPr>
          <w:vertAlign w:val="superscript"/>
          <w:lang w:val="fr-FR"/>
        </w:rPr>
        <w:t>o</w:t>
      </w:r>
      <w:r w:rsidR="000008EE">
        <w:rPr>
          <w:lang w:val="fr-FR"/>
        </w:rPr>
        <w:t> </w:t>
      </w:r>
      <w:r>
        <w:rPr>
          <w:lang w:val="fr-FR"/>
        </w:rPr>
        <w:t>ONU 2073.</w:t>
      </w:r>
    </w:p>
    <w:p w14:paraId="40FF1C45" w14:textId="654CFDD8" w:rsidR="00CB35C3" w:rsidRPr="00A33244" w:rsidRDefault="00CB35C3" w:rsidP="00CB35C3">
      <w:pPr>
        <w:pStyle w:val="SingleTxtG"/>
        <w:ind w:left="1701"/>
        <w:rPr>
          <w:lang w:val="fr-FR"/>
        </w:rPr>
      </w:pPr>
      <w:r>
        <w:rPr>
          <w:lang w:val="fr-FR"/>
        </w:rPr>
        <w:t>c)</w:t>
      </w:r>
      <w:r>
        <w:rPr>
          <w:lang w:val="fr-FR"/>
        </w:rPr>
        <w:tab/>
        <w:t>Dans la disposition spéciale 543 affectée au N</w:t>
      </w:r>
      <w:r w:rsidRPr="000008EE">
        <w:rPr>
          <w:vertAlign w:val="superscript"/>
          <w:lang w:val="fr-FR"/>
        </w:rPr>
        <w:t>o</w:t>
      </w:r>
      <w:r w:rsidR="000008EE">
        <w:rPr>
          <w:lang w:val="fr-FR"/>
        </w:rPr>
        <w:t> </w:t>
      </w:r>
      <w:r>
        <w:rPr>
          <w:lang w:val="fr-FR"/>
        </w:rPr>
        <w:t>ONU 2672, on fait uniquement référence au N</w:t>
      </w:r>
      <w:r w:rsidRPr="000008EE">
        <w:rPr>
          <w:vertAlign w:val="superscript"/>
          <w:lang w:val="fr-FR"/>
        </w:rPr>
        <w:t>o</w:t>
      </w:r>
      <w:r w:rsidR="000008EE">
        <w:rPr>
          <w:lang w:val="fr-FR"/>
        </w:rPr>
        <w:t> </w:t>
      </w:r>
      <w:r>
        <w:rPr>
          <w:lang w:val="fr-FR"/>
        </w:rPr>
        <w:t>ONU 2073, dont la teneur en ammoniac est directement supérieure à celle du N</w:t>
      </w:r>
      <w:r w:rsidRPr="000008EE">
        <w:rPr>
          <w:vertAlign w:val="superscript"/>
          <w:lang w:val="fr-FR"/>
        </w:rPr>
        <w:t>o</w:t>
      </w:r>
      <w:r w:rsidR="000008EE">
        <w:rPr>
          <w:lang w:val="fr-FR"/>
        </w:rPr>
        <w:t> </w:t>
      </w:r>
      <w:r>
        <w:rPr>
          <w:lang w:val="fr-FR"/>
        </w:rPr>
        <w:t>ONU 2672, et on conserve l’observation relative aux solutions d’ammoniac ne contenant pas plus de 10 % d’ammoniac. On supprime la référence au N</w:t>
      </w:r>
      <w:r w:rsidRPr="000008EE">
        <w:rPr>
          <w:vertAlign w:val="superscript"/>
          <w:lang w:val="fr-FR"/>
        </w:rPr>
        <w:t>o</w:t>
      </w:r>
      <w:r w:rsidR="000008EE">
        <w:rPr>
          <w:lang w:val="fr-FR"/>
        </w:rPr>
        <w:t> </w:t>
      </w:r>
      <w:r>
        <w:rPr>
          <w:lang w:val="fr-FR"/>
        </w:rPr>
        <w:t>ONU 3318, car sa teneur en ammoniac n’est pas proche de celle du N</w:t>
      </w:r>
      <w:r w:rsidRPr="000008EE">
        <w:rPr>
          <w:vertAlign w:val="superscript"/>
          <w:lang w:val="fr-FR"/>
        </w:rPr>
        <w:t>o</w:t>
      </w:r>
      <w:r w:rsidR="000008EE">
        <w:rPr>
          <w:lang w:val="fr-FR"/>
        </w:rPr>
        <w:t> </w:t>
      </w:r>
      <w:r>
        <w:rPr>
          <w:lang w:val="fr-FR"/>
        </w:rPr>
        <w:t>ONU 2672, ainsi qu’à l’ammoniac anhydre (N</w:t>
      </w:r>
      <w:r w:rsidRPr="000008EE">
        <w:rPr>
          <w:vertAlign w:val="superscript"/>
          <w:lang w:val="fr-FR"/>
        </w:rPr>
        <w:t>o</w:t>
      </w:r>
      <w:r w:rsidR="000008EE">
        <w:rPr>
          <w:lang w:val="fr-FR"/>
        </w:rPr>
        <w:t> </w:t>
      </w:r>
      <w:r>
        <w:rPr>
          <w:lang w:val="fr-FR"/>
        </w:rPr>
        <w:t>ONU 1005).</w:t>
      </w:r>
    </w:p>
    <w:p w14:paraId="15EC6B72" w14:textId="71B5B788" w:rsidR="00CB35C3" w:rsidRPr="00A33244" w:rsidRDefault="00CB35C3" w:rsidP="00CB35C3">
      <w:pPr>
        <w:pStyle w:val="SingleTxtG"/>
        <w:ind w:left="1701"/>
        <w:rPr>
          <w:lang w:val="fr-FR"/>
        </w:rPr>
      </w:pPr>
      <w:r>
        <w:rPr>
          <w:lang w:val="fr-FR"/>
        </w:rPr>
        <w:t>d)</w:t>
      </w:r>
      <w:r>
        <w:rPr>
          <w:lang w:val="fr-FR"/>
        </w:rPr>
        <w:tab/>
        <w:t>Aucune disposition spéciale n’est ajoutée aux N</w:t>
      </w:r>
      <w:r w:rsidRPr="000008EE">
        <w:rPr>
          <w:vertAlign w:val="superscript"/>
          <w:lang w:val="fr-FR"/>
        </w:rPr>
        <w:t>os</w:t>
      </w:r>
      <w:r w:rsidR="000008EE">
        <w:rPr>
          <w:lang w:val="fr-FR"/>
        </w:rPr>
        <w:t> </w:t>
      </w:r>
      <w:r>
        <w:rPr>
          <w:lang w:val="fr-FR"/>
        </w:rPr>
        <w:t>ONU 1005 et 3318, le but de cette proposition étant d’apporter le moins possible de modifications. Toutefois, par souci de cohérence, la Réunion commune pourra envisager d’affecter au moins au N</w:t>
      </w:r>
      <w:r w:rsidRPr="000008EE">
        <w:rPr>
          <w:vertAlign w:val="superscript"/>
          <w:lang w:val="fr-FR"/>
        </w:rPr>
        <w:t>o</w:t>
      </w:r>
      <w:r w:rsidR="000008EE">
        <w:rPr>
          <w:lang w:val="fr-FR"/>
        </w:rPr>
        <w:t> </w:t>
      </w:r>
      <w:r>
        <w:rPr>
          <w:lang w:val="fr-FR"/>
        </w:rPr>
        <w:t>ONU 3318 une nouvelle disposition spéciale faisant référence au N</w:t>
      </w:r>
      <w:r w:rsidRPr="000008EE">
        <w:rPr>
          <w:vertAlign w:val="superscript"/>
          <w:lang w:val="fr-FR"/>
        </w:rPr>
        <w:t>o</w:t>
      </w:r>
      <w:r w:rsidR="000008EE">
        <w:rPr>
          <w:lang w:val="fr-FR"/>
        </w:rPr>
        <w:t> </w:t>
      </w:r>
      <w:r>
        <w:rPr>
          <w:lang w:val="fr-FR"/>
        </w:rPr>
        <w:t>ONU 2672.</w:t>
      </w:r>
    </w:p>
    <w:p w14:paraId="29E2A8DE" w14:textId="01B9204F" w:rsidR="00CB35C3" w:rsidRPr="00A33244" w:rsidRDefault="00CB35C3" w:rsidP="000008EE">
      <w:pPr>
        <w:pStyle w:val="H1G"/>
        <w:rPr>
          <w:lang w:val="fr-FR"/>
        </w:rPr>
      </w:pPr>
      <w:r>
        <w:rPr>
          <w:lang w:val="fr-FR"/>
        </w:rPr>
        <w:tab/>
        <w:t>A.</w:t>
      </w:r>
      <w:r>
        <w:rPr>
          <w:lang w:val="fr-FR"/>
        </w:rPr>
        <w:tab/>
        <w:t xml:space="preserve">Proposition 1 (regrouper les dispositions spéciales et les appliquer </w:t>
      </w:r>
      <w:r w:rsidR="000008EE">
        <w:rPr>
          <w:lang w:val="fr-FR"/>
        </w:rPr>
        <w:br/>
      </w:r>
      <w:r>
        <w:rPr>
          <w:lang w:val="fr-FR"/>
        </w:rPr>
        <w:t>à toutes les rubriques concernant l’ammoniac)</w:t>
      </w:r>
    </w:p>
    <w:p w14:paraId="777505D1" w14:textId="77777777" w:rsidR="00CB35C3" w:rsidRPr="00A33244" w:rsidRDefault="00CB35C3" w:rsidP="000008EE">
      <w:pPr>
        <w:pStyle w:val="H23G"/>
        <w:rPr>
          <w:lang w:val="fr-FR"/>
        </w:rPr>
      </w:pPr>
      <w:r>
        <w:rPr>
          <w:lang w:val="fr-FR"/>
        </w:rPr>
        <w:tab/>
      </w:r>
      <w:r>
        <w:rPr>
          <w:lang w:val="fr-FR"/>
        </w:rPr>
        <w:tab/>
        <w:t>Chapitre 3.2, tableau A</w:t>
      </w:r>
    </w:p>
    <w:p w14:paraId="5F6D1377" w14:textId="51F90DAC" w:rsidR="00CB35C3" w:rsidRPr="00A33244" w:rsidRDefault="00CB35C3" w:rsidP="00CB35C3">
      <w:pPr>
        <w:pStyle w:val="SingleTxtG"/>
        <w:ind w:left="2268" w:hanging="1134"/>
        <w:rPr>
          <w:lang w:val="fr-FR"/>
        </w:rPr>
      </w:pPr>
      <w:r>
        <w:rPr>
          <w:lang w:val="fr-FR"/>
        </w:rPr>
        <w:t>Pour les N</w:t>
      </w:r>
      <w:r w:rsidRPr="000008EE">
        <w:rPr>
          <w:vertAlign w:val="superscript"/>
          <w:lang w:val="fr-FR"/>
        </w:rPr>
        <w:t>os</w:t>
      </w:r>
      <w:r w:rsidR="000008EE">
        <w:rPr>
          <w:lang w:val="fr-FR"/>
        </w:rPr>
        <w:t> </w:t>
      </w:r>
      <w:r>
        <w:rPr>
          <w:lang w:val="fr-FR"/>
        </w:rPr>
        <w:t>ONU 1005 et 3318, dans la colonne (6), ajouter « 532 ».</w:t>
      </w:r>
    </w:p>
    <w:p w14:paraId="7690B5D6" w14:textId="223C345E" w:rsidR="00CB35C3" w:rsidRPr="00A33244" w:rsidRDefault="00CB35C3" w:rsidP="00CB35C3">
      <w:pPr>
        <w:pStyle w:val="SingleTxtG"/>
        <w:ind w:left="2268" w:hanging="1134"/>
        <w:rPr>
          <w:lang w:val="fr-FR"/>
        </w:rPr>
      </w:pPr>
      <w:r>
        <w:rPr>
          <w:lang w:val="fr-FR"/>
        </w:rPr>
        <w:t>Pour le N</w:t>
      </w:r>
      <w:r w:rsidRPr="000008EE">
        <w:rPr>
          <w:vertAlign w:val="superscript"/>
          <w:lang w:val="fr-FR"/>
        </w:rPr>
        <w:t>o</w:t>
      </w:r>
      <w:r w:rsidR="000008EE">
        <w:rPr>
          <w:lang w:val="fr-FR"/>
        </w:rPr>
        <w:t> </w:t>
      </w:r>
      <w:r>
        <w:rPr>
          <w:lang w:val="fr-FR"/>
        </w:rPr>
        <w:t>ONU 2672, dans la colonne (6), remplacer « 543 » par « 532 ».</w:t>
      </w:r>
    </w:p>
    <w:p w14:paraId="289CCB61" w14:textId="77777777" w:rsidR="00CB35C3" w:rsidRPr="00A33244" w:rsidRDefault="00CB35C3" w:rsidP="00CB35C3">
      <w:pPr>
        <w:pStyle w:val="H23G"/>
        <w:rPr>
          <w:lang w:val="fr-FR"/>
        </w:rPr>
      </w:pPr>
      <w:r>
        <w:rPr>
          <w:lang w:val="fr-FR"/>
        </w:rPr>
        <w:tab/>
      </w:r>
      <w:r>
        <w:rPr>
          <w:lang w:val="fr-FR"/>
        </w:rPr>
        <w:tab/>
      </w:r>
      <w:r>
        <w:rPr>
          <w:bCs/>
          <w:lang w:val="fr-FR"/>
        </w:rPr>
        <w:t>Chapitre 3.3</w:t>
      </w:r>
    </w:p>
    <w:p w14:paraId="22330CCD" w14:textId="77777777" w:rsidR="00CB35C3" w:rsidRPr="00A33244" w:rsidRDefault="00CB35C3" w:rsidP="000008EE">
      <w:pPr>
        <w:pStyle w:val="SingleTxtG"/>
        <w:keepNext/>
        <w:ind w:left="2268" w:hanging="1134"/>
        <w:rPr>
          <w:lang w:val="fr-FR"/>
        </w:rPr>
      </w:pPr>
      <w:r>
        <w:rPr>
          <w:lang w:val="fr-FR"/>
        </w:rPr>
        <w:t>DS 532</w:t>
      </w:r>
      <w:r>
        <w:rPr>
          <w:lang w:val="fr-FR"/>
        </w:rPr>
        <w:tab/>
        <w:t>Modifier comme suit :</w:t>
      </w:r>
    </w:p>
    <w:p w14:paraId="1B7ECFAB" w14:textId="493FB87A" w:rsidR="00CB35C3" w:rsidRPr="00A33244" w:rsidRDefault="00CB35C3" w:rsidP="00CB35C3">
      <w:pPr>
        <w:pStyle w:val="SingleTxtG"/>
        <w:ind w:left="2268" w:hanging="1134"/>
        <w:rPr>
          <w:lang w:val="fr-FR"/>
        </w:rPr>
      </w:pPr>
      <w:r>
        <w:rPr>
          <w:lang w:val="fr-FR"/>
        </w:rPr>
        <w:t>« 532</w:t>
      </w:r>
      <w:r>
        <w:rPr>
          <w:lang w:val="fr-FR"/>
        </w:rPr>
        <w:tab/>
        <w:t>L’ammoniac en solution aqueuse de densité relative comprise entre 0,880 et 0,957 à 15 °C, contenant plus de 10 % mais pas plus de 35 % d’ammoniac, est classé dans la classe 8 sous le N</w:t>
      </w:r>
      <w:r w:rsidRPr="000008EE">
        <w:rPr>
          <w:vertAlign w:val="superscript"/>
          <w:lang w:val="fr-FR"/>
        </w:rPr>
        <w:t>o</w:t>
      </w:r>
      <w:r w:rsidR="000008EE">
        <w:rPr>
          <w:lang w:val="fr-FR"/>
        </w:rPr>
        <w:t> </w:t>
      </w:r>
      <w:r>
        <w:rPr>
          <w:lang w:val="fr-FR"/>
        </w:rPr>
        <w:t>ONU 2672. L’ammoniac en solution aqueuse de densité relative inférieure à 0,880 à 15 °C, contenant plus de 35 % mais au plus 50 % d’ammoniac, est classé dans la classe 2 sous le N</w:t>
      </w:r>
      <w:r w:rsidRPr="000008EE">
        <w:rPr>
          <w:vertAlign w:val="superscript"/>
          <w:lang w:val="fr-FR"/>
        </w:rPr>
        <w:t>o</w:t>
      </w:r>
      <w:r w:rsidR="000008EE">
        <w:rPr>
          <w:lang w:val="fr-FR"/>
        </w:rPr>
        <w:t> </w:t>
      </w:r>
      <w:r>
        <w:rPr>
          <w:lang w:val="fr-FR"/>
        </w:rPr>
        <w:t>ONU 2073. L’ammoniac en solution aqueuse de densité relative inférieure à 0,880 à 15 °C, contenant plus de 50 % d’ammoniac, est classé dans la classe 2 sous le N</w:t>
      </w:r>
      <w:r w:rsidRPr="000008EE">
        <w:rPr>
          <w:vertAlign w:val="superscript"/>
          <w:lang w:val="fr-FR"/>
        </w:rPr>
        <w:t>o</w:t>
      </w:r>
      <w:r w:rsidR="000008EE">
        <w:rPr>
          <w:lang w:val="fr-FR"/>
        </w:rPr>
        <w:t> </w:t>
      </w:r>
      <w:r>
        <w:rPr>
          <w:lang w:val="fr-FR"/>
        </w:rPr>
        <w:t>ONU</w:t>
      </w:r>
      <w:r w:rsidR="000008EE">
        <w:rPr>
          <w:lang w:val="fr-FR"/>
        </w:rPr>
        <w:t> </w:t>
      </w:r>
      <w:r>
        <w:rPr>
          <w:lang w:val="fr-FR"/>
        </w:rPr>
        <w:t>3318. Les solutions d’ammoniac ne contenant pas plus de 10 % d’ammoniac ne sont pas soumises aux prescriptions [du RID/de l’ADR/de l’ADN]. L’ammoniac anhydre est classé dans la classe</w:t>
      </w:r>
      <w:r w:rsidR="000008EE">
        <w:rPr>
          <w:lang w:val="fr-FR"/>
        </w:rPr>
        <w:t> </w:t>
      </w:r>
      <w:r>
        <w:rPr>
          <w:lang w:val="fr-FR"/>
        </w:rPr>
        <w:t>2 sous le N</w:t>
      </w:r>
      <w:r w:rsidRPr="000008EE">
        <w:rPr>
          <w:vertAlign w:val="superscript"/>
          <w:lang w:val="fr-FR"/>
        </w:rPr>
        <w:t>o</w:t>
      </w:r>
      <w:r w:rsidR="000008EE">
        <w:rPr>
          <w:lang w:val="fr-FR"/>
        </w:rPr>
        <w:t> </w:t>
      </w:r>
      <w:r>
        <w:rPr>
          <w:lang w:val="fr-FR"/>
        </w:rPr>
        <w:t>ONU</w:t>
      </w:r>
      <w:r w:rsidR="000008EE">
        <w:rPr>
          <w:lang w:val="fr-FR"/>
        </w:rPr>
        <w:t> </w:t>
      </w:r>
      <w:r>
        <w:rPr>
          <w:lang w:val="fr-FR"/>
        </w:rPr>
        <w:t>1005. ».</w:t>
      </w:r>
    </w:p>
    <w:p w14:paraId="6AF199A0" w14:textId="77777777" w:rsidR="00CB35C3" w:rsidRPr="00A33244" w:rsidRDefault="00CB35C3" w:rsidP="00CB35C3">
      <w:pPr>
        <w:pStyle w:val="SingleTxtG"/>
        <w:ind w:left="2268" w:hanging="1134"/>
        <w:rPr>
          <w:lang w:val="fr-FR"/>
        </w:rPr>
      </w:pPr>
      <w:r>
        <w:rPr>
          <w:lang w:val="fr-FR"/>
        </w:rPr>
        <w:t>DS 543</w:t>
      </w:r>
      <w:r>
        <w:rPr>
          <w:lang w:val="fr-FR"/>
        </w:rPr>
        <w:tab/>
        <w:t>Supprimer et ajouter « </w:t>
      </w:r>
      <w:r>
        <w:rPr>
          <w:i/>
          <w:iCs/>
          <w:lang w:val="fr-FR"/>
        </w:rPr>
        <w:t>(Supprimée)</w:t>
      </w:r>
      <w:r>
        <w:rPr>
          <w:lang w:val="fr-FR"/>
        </w:rPr>
        <w:t> ».</w:t>
      </w:r>
    </w:p>
    <w:p w14:paraId="519F8C68" w14:textId="77777777" w:rsidR="00CB35C3" w:rsidRPr="00A33244" w:rsidRDefault="00CB35C3" w:rsidP="000008EE">
      <w:pPr>
        <w:pStyle w:val="H1G"/>
        <w:rPr>
          <w:lang w:val="fr-FR"/>
        </w:rPr>
      </w:pPr>
      <w:r>
        <w:rPr>
          <w:lang w:val="fr-FR"/>
        </w:rPr>
        <w:tab/>
        <w:t>B.</w:t>
      </w:r>
      <w:r>
        <w:rPr>
          <w:lang w:val="fr-FR"/>
        </w:rPr>
        <w:tab/>
        <w:t>Proposition 2 (supprimer les deux dispositions spéciales)</w:t>
      </w:r>
    </w:p>
    <w:p w14:paraId="70DA403B" w14:textId="77777777" w:rsidR="00CB35C3" w:rsidRPr="00A33244" w:rsidRDefault="00CB35C3" w:rsidP="00CB35C3">
      <w:pPr>
        <w:pStyle w:val="H23G"/>
        <w:rPr>
          <w:lang w:val="fr-FR"/>
        </w:rPr>
      </w:pPr>
      <w:r>
        <w:rPr>
          <w:lang w:val="fr-FR"/>
        </w:rPr>
        <w:tab/>
      </w:r>
      <w:r>
        <w:rPr>
          <w:lang w:val="fr-FR"/>
        </w:rPr>
        <w:tab/>
      </w:r>
      <w:r>
        <w:rPr>
          <w:bCs/>
          <w:lang w:val="fr-FR"/>
        </w:rPr>
        <w:t>Chapitre 3.2, tableau A</w:t>
      </w:r>
    </w:p>
    <w:p w14:paraId="7FDEF816" w14:textId="0EDB9FBA" w:rsidR="00CB35C3" w:rsidRPr="00A33244" w:rsidRDefault="00CB35C3" w:rsidP="00CB35C3">
      <w:pPr>
        <w:pStyle w:val="SingleTxtG"/>
        <w:ind w:left="2268" w:hanging="1134"/>
        <w:rPr>
          <w:lang w:val="fr-FR"/>
        </w:rPr>
      </w:pPr>
      <w:r>
        <w:rPr>
          <w:lang w:val="fr-FR"/>
        </w:rPr>
        <w:t>Pour le N</w:t>
      </w:r>
      <w:r w:rsidRPr="000008EE">
        <w:rPr>
          <w:vertAlign w:val="superscript"/>
          <w:lang w:val="fr-FR"/>
        </w:rPr>
        <w:t>o</w:t>
      </w:r>
      <w:r w:rsidR="000008EE">
        <w:rPr>
          <w:lang w:val="fr-FR"/>
        </w:rPr>
        <w:t> </w:t>
      </w:r>
      <w:r>
        <w:rPr>
          <w:lang w:val="fr-FR"/>
        </w:rPr>
        <w:t>ONU 2073, dans la colonne (6), supprimer « 532 ».</w:t>
      </w:r>
    </w:p>
    <w:p w14:paraId="27E0707C" w14:textId="6FEC4AF5" w:rsidR="00CB35C3" w:rsidRPr="00A33244" w:rsidRDefault="00CB35C3" w:rsidP="00CB35C3">
      <w:pPr>
        <w:pStyle w:val="SingleTxtG"/>
        <w:ind w:left="2268" w:hanging="1134"/>
        <w:rPr>
          <w:lang w:val="fr-FR"/>
        </w:rPr>
      </w:pPr>
      <w:r>
        <w:rPr>
          <w:lang w:val="fr-FR"/>
        </w:rPr>
        <w:t>Pour le N</w:t>
      </w:r>
      <w:r w:rsidRPr="000008EE">
        <w:rPr>
          <w:vertAlign w:val="superscript"/>
          <w:lang w:val="fr-FR"/>
        </w:rPr>
        <w:t>o</w:t>
      </w:r>
      <w:r w:rsidR="000008EE">
        <w:rPr>
          <w:lang w:val="fr-FR"/>
        </w:rPr>
        <w:t> </w:t>
      </w:r>
      <w:r>
        <w:rPr>
          <w:lang w:val="fr-FR"/>
        </w:rPr>
        <w:t>ONU 2672, dans la colonne (6), supprimer « 543 ».</w:t>
      </w:r>
    </w:p>
    <w:p w14:paraId="68480EB3" w14:textId="77777777" w:rsidR="00CB35C3" w:rsidRPr="00A33244" w:rsidRDefault="00CB35C3" w:rsidP="00CB35C3">
      <w:pPr>
        <w:pStyle w:val="H23G"/>
        <w:rPr>
          <w:lang w:val="fr-FR"/>
        </w:rPr>
      </w:pPr>
      <w:r>
        <w:rPr>
          <w:lang w:val="fr-FR"/>
        </w:rPr>
        <w:tab/>
      </w:r>
      <w:r>
        <w:rPr>
          <w:lang w:val="fr-FR"/>
        </w:rPr>
        <w:tab/>
      </w:r>
      <w:r>
        <w:rPr>
          <w:bCs/>
          <w:lang w:val="fr-FR"/>
        </w:rPr>
        <w:t>Chapitre 3.3</w:t>
      </w:r>
    </w:p>
    <w:p w14:paraId="2F68D813" w14:textId="77777777" w:rsidR="00CB35C3" w:rsidRPr="00A33244" w:rsidRDefault="00CB35C3" w:rsidP="00CB35C3">
      <w:pPr>
        <w:pStyle w:val="SingleTxtG"/>
        <w:ind w:left="2268" w:hanging="1134"/>
        <w:rPr>
          <w:lang w:val="fr-FR"/>
        </w:rPr>
      </w:pPr>
      <w:r>
        <w:rPr>
          <w:lang w:val="fr-FR"/>
        </w:rPr>
        <w:t>DS 532</w:t>
      </w:r>
      <w:r>
        <w:rPr>
          <w:lang w:val="fr-FR"/>
        </w:rPr>
        <w:tab/>
        <w:t xml:space="preserve">Supprimer et ajouter « </w:t>
      </w:r>
      <w:r>
        <w:rPr>
          <w:i/>
          <w:iCs/>
          <w:lang w:val="fr-FR"/>
        </w:rPr>
        <w:t>(Supprimée)</w:t>
      </w:r>
      <w:r>
        <w:rPr>
          <w:lang w:val="fr-FR"/>
        </w:rPr>
        <w:t xml:space="preserve"> ».</w:t>
      </w:r>
    </w:p>
    <w:p w14:paraId="64360BB8" w14:textId="77777777" w:rsidR="00CB35C3" w:rsidRPr="00A33244" w:rsidRDefault="00CB35C3" w:rsidP="00CB35C3">
      <w:pPr>
        <w:pStyle w:val="SingleTxtG"/>
        <w:ind w:left="2268" w:hanging="1134"/>
        <w:rPr>
          <w:lang w:val="fr-FR"/>
        </w:rPr>
      </w:pPr>
      <w:r>
        <w:rPr>
          <w:lang w:val="fr-FR"/>
        </w:rPr>
        <w:t>DS 543</w:t>
      </w:r>
      <w:r>
        <w:rPr>
          <w:lang w:val="fr-FR"/>
        </w:rPr>
        <w:tab/>
        <w:t xml:space="preserve">Supprimer et ajouter « </w:t>
      </w:r>
      <w:r>
        <w:rPr>
          <w:i/>
          <w:iCs/>
          <w:lang w:val="fr-FR"/>
        </w:rPr>
        <w:t>(Supprimée)</w:t>
      </w:r>
      <w:r>
        <w:rPr>
          <w:lang w:val="fr-FR"/>
        </w:rPr>
        <w:t xml:space="preserve"> ».</w:t>
      </w:r>
    </w:p>
    <w:p w14:paraId="086C823D" w14:textId="47267B10" w:rsidR="00CB35C3" w:rsidRPr="00A33244" w:rsidRDefault="00CB35C3" w:rsidP="000008EE">
      <w:pPr>
        <w:pStyle w:val="H1G"/>
        <w:rPr>
          <w:lang w:val="fr-FR"/>
        </w:rPr>
      </w:pPr>
      <w:r>
        <w:rPr>
          <w:lang w:val="fr-FR"/>
        </w:rPr>
        <w:lastRenderedPageBreak/>
        <w:tab/>
        <w:t>C.</w:t>
      </w:r>
      <w:r>
        <w:rPr>
          <w:lang w:val="fr-FR"/>
        </w:rPr>
        <w:tab/>
      </w:r>
      <w:r w:rsidRPr="000008EE">
        <w:t>Proposition</w:t>
      </w:r>
      <w:r>
        <w:rPr>
          <w:lang w:val="fr-FR"/>
        </w:rPr>
        <w:t xml:space="preserve"> 3 (conserver uniquement l’observation </w:t>
      </w:r>
      <w:r w:rsidR="000008EE">
        <w:rPr>
          <w:lang w:val="fr-FR"/>
        </w:rPr>
        <w:br/>
      </w:r>
      <w:r>
        <w:rPr>
          <w:lang w:val="fr-FR"/>
        </w:rPr>
        <w:t xml:space="preserve">relative aux solutions d’ammoniac ne contenant pas </w:t>
      </w:r>
      <w:r w:rsidR="000008EE">
        <w:rPr>
          <w:lang w:val="fr-FR"/>
        </w:rPr>
        <w:br/>
      </w:r>
      <w:r>
        <w:rPr>
          <w:lang w:val="fr-FR"/>
        </w:rPr>
        <w:t>plus de 10 % d’ammoniac)</w:t>
      </w:r>
    </w:p>
    <w:p w14:paraId="45CD2352" w14:textId="77777777" w:rsidR="00CB35C3" w:rsidRPr="00A33244" w:rsidRDefault="00CB35C3" w:rsidP="00CB35C3">
      <w:pPr>
        <w:pStyle w:val="H23G"/>
        <w:rPr>
          <w:lang w:val="fr-FR"/>
        </w:rPr>
      </w:pPr>
      <w:r>
        <w:rPr>
          <w:lang w:val="fr-FR"/>
        </w:rPr>
        <w:tab/>
      </w:r>
      <w:r>
        <w:rPr>
          <w:lang w:val="fr-FR"/>
        </w:rPr>
        <w:tab/>
      </w:r>
      <w:r>
        <w:rPr>
          <w:bCs/>
          <w:lang w:val="fr-FR"/>
        </w:rPr>
        <w:t>Chapitre 3.2, tableau A</w:t>
      </w:r>
    </w:p>
    <w:p w14:paraId="69D0CD5D" w14:textId="6A2C9500" w:rsidR="00CB35C3" w:rsidRPr="00A33244" w:rsidRDefault="00CB35C3" w:rsidP="00CB35C3">
      <w:pPr>
        <w:pStyle w:val="SingleTxtG"/>
        <w:ind w:left="2268" w:hanging="1134"/>
        <w:rPr>
          <w:lang w:val="fr-FR"/>
        </w:rPr>
      </w:pPr>
      <w:r>
        <w:rPr>
          <w:lang w:val="fr-FR"/>
        </w:rPr>
        <w:t>Pour le N</w:t>
      </w:r>
      <w:r w:rsidRPr="000008EE">
        <w:rPr>
          <w:vertAlign w:val="superscript"/>
          <w:lang w:val="fr-FR"/>
        </w:rPr>
        <w:t>o</w:t>
      </w:r>
      <w:r w:rsidR="000008EE">
        <w:rPr>
          <w:lang w:val="fr-FR"/>
        </w:rPr>
        <w:t> </w:t>
      </w:r>
      <w:r>
        <w:rPr>
          <w:lang w:val="fr-FR"/>
        </w:rPr>
        <w:t>ONU 2073, dans la colonne (6), supprimer «</w:t>
      </w:r>
      <w:r w:rsidR="000008EE">
        <w:rPr>
          <w:lang w:val="fr-FR"/>
        </w:rPr>
        <w:t> </w:t>
      </w:r>
      <w:r>
        <w:rPr>
          <w:lang w:val="fr-FR"/>
        </w:rPr>
        <w:t>532</w:t>
      </w:r>
      <w:r w:rsidR="000008EE">
        <w:rPr>
          <w:lang w:val="fr-FR"/>
        </w:rPr>
        <w:t> </w:t>
      </w:r>
      <w:r>
        <w:rPr>
          <w:lang w:val="fr-FR"/>
        </w:rPr>
        <w:t>».</w:t>
      </w:r>
    </w:p>
    <w:p w14:paraId="0A635B0E" w14:textId="77777777" w:rsidR="00CB35C3" w:rsidRPr="00A33244" w:rsidRDefault="00CB35C3" w:rsidP="00CB35C3">
      <w:pPr>
        <w:pStyle w:val="H23G"/>
        <w:rPr>
          <w:lang w:val="fr-FR"/>
        </w:rPr>
      </w:pPr>
      <w:r>
        <w:rPr>
          <w:lang w:val="fr-FR"/>
        </w:rPr>
        <w:tab/>
      </w:r>
      <w:r>
        <w:rPr>
          <w:lang w:val="fr-FR"/>
        </w:rPr>
        <w:tab/>
      </w:r>
      <w:r>
        <w:rPr>
          <w:bCs/>
          <w:lang w:val="fr-FR"/>
        </w:rPr>
        <w:t>Chapitre 3.3</w:t>
      </w:r>
    </w:p>
    <w:p w14:paraId="20A8DBA4" w14:textId="4C3114B9" w:rsidR="00CB35C3" w:rsidRPr="00A33244" w:rsidRDefault="00CB35C3" w:rsidP="00CB35C3">
      <w:pPr>
        <w:pStyle w:val="SingleTxtG"/>
        <w:ind w:left="2268" w:hanging="1134"/>
        <w:rPr>
          <w:lang w:val="fr-FR"/>
        </w:rPr>
      </w:pPr>
      <w:r>
        <w:rPr>
          <w:lang w:val="fr-FR"/>
        </w:rPr>
        <w:t>DS 532</w:t>
      </w:r>
      <w:r>
        <w:rPr>
          <w:lang w:val="fr-FR"/>
        </w:rPr>
        <w:tab/>
        <w:t>Supprimer et ajouter «</w:t>
      </w:r>
      <w:r w:rsidR="003D169D">
        <w:rPr>
          <w:lang w:val="fr-FR"/>
        </w:rPr>
        <w:t> </w:t>
      </w:r>
      <w:r>
        <w:rPr>
          <w:i/>
          <w:iCs/>
          <w:lang w:val="fr-FR"/>
        </w:rPr>
        <w:t>(Supprimée)</w:t>
      </w:r>
      <w:r w:rsidR="003D169D">
        <w:rPr>
          <w:lang w:val="fr-FR"/>
        </w:rPr>
        <w:t> </w:t>
      </w:r>
      <w:r>
        <w:rPr>
          <w:lang w:val="fr-FR"/>
        </w:rPr>
        <w:t>».</w:t>
      </w:r>
    </w:p>
    <w:p w14:paraId="08FED4DC" w14:textId="12F2AEB7" w:rsidR="00CB35C3" w:rsidRPr="00A33244" w:rsidRDefault="00CB35C3" w:rsidP="00CB35C3">
      <w:pPr>
        <w:pStyle w:val="SingleTxtG"/>
        <w:ind w:left="2268" w:hanging="1134"/>
        <w:rPr>
          <w:lang w:val="fr-FR"/>
        </w:rPr>
      </w:pPr>
      <w:r>
        <w:rPr>
          <w:lang w:val="fr-FR"/>
        </w:rPr>
        <w:t>DS 543</w:t>
      </w:r>
      <w:r>
        <w:rPr>
          <w:lang w:val="fr-FR"/>
        </w:rPr>
        <w:tab/>
        <w:t>Modifier comme suit</w:t>
      </w:r>
      <w:r w:rsidR="003D169D">
        <w:rPr>
          <w:lang w:val="fr-FR"/>
        </w:rPr>
        <w:t> </w:t>
      </w:r>
      <w:r>
        <w:rPr>
          <w:lang w:val="fr-FR"/>
        </w:rPr>
        <w:t>:</w:t>
      </w:r>
    </w:p>
    <w:p w14:paraId="3338AAD4" w14:textId="77777777" w:rsidR="00CB35C3" w:rsidRPr="00A33244" w:rsidRDefault="00CB35C3" w:rsidP="00CB35C3">
      <w:pPr>
        <w:pStyle w:val="SingleTxtG"/>
        <w:ind w:left="2268" w:hanging="1134"/>
        <w:rPr>
          <w:lang w:val="fr-FR"/>
        </w:rPr>
      </w:pPr>
      <w:r>
        <w:rPr>
          <w:lang w:val="fr-FR"/>
        </w:rPr>
        <w:t>« 543</w:t>
      </w:r>
      <w:r>
        <w:rPr>
          <w:lang w:val="fr-FR"/>
        </w:rPr>
        <w:tab/>
        <w:t>Les solutions d’ammoniac ne contenant pas plus de 10 % d’ammoniac ne sont pas soumises aux prescriptions [du RID/de l’ADR/de l’ADN]. ».</w:t>
      </w:r>
    </w:p>
    <w:p w14:paraId="1FFE559E" w14:textId="77777777" w:rsidR="00CB35C3" w:rsidRPr="00A33244" w:rsidRDefault="00CB35C3" w:rsidP="003D169D">
      <w:pPr>
        <w:pStyle w:val="H1G"/>
        <w:rPr>
          <w:lang w:val="fr-FR"/>
        </w:rPr>
      </w:pPr>
      <w:r>
        <w:rPr>
          <w:lang w:val="fr-FR"/>
        </w:rPr>
        <w:tab/>
        <w:t>D.</w:t>
      </w:r>
      <w:r>
        <w:rPr>
          <w:lang w:val="fr-FR"/>
        </w:rPr>
        <w:tab/>
        <w:t>Proposition 4 (modifier les dispositions spéciales actuelles)</w:t>
      </w:r>
    </w:p>
    <w:p w14:paraId="7B2756A0" w14:textId="77777777" w:rsidR="00CB35C3" w:rsidRPr="00A33244" w:rsidRDefault="00CB35C3" w:rsidP="003D169D">
      <w:pPr>
        <w:pStyle w:val="H23G"/>
        <w:rPr>
          <w:lang w:val="fr-FR"/>
        </w:rPr>
      </w:pPr>
      <w:r>
        <w:rPr>
          <w:lang w:val="fr-FR"/>
        </w:rPr>
        <w:tab/>
      </w:r>
      <w:r>
        <w:rPr>
          <w:lang w:val="fr-FR"/>
        </w:rPr>
        <w:tab/>
      </w:r>
      <w:r w:rsidRPr="003D169D">
        <w:t>Chapitre</w:t>
      </w:r>
      <w:r>
        <w:rPr>
          <w:lang w:val="fr-FR"/>
        </w:rPr>
        <w:t xml:space="preserve"> 3.3</w:t>
      </w:r>
    </w:p>
    <w:p w14:paraId="2F333C3A" w14:textId="6B7AC339" w:rsidR="00CB35C3" w:rsidRPr="00A33244" w:rsidRDefault="00CB35C3" w:rsidP="00CB35C3">
      <w:pPr>
        <w:pStyle w:val="SingleTxtG"/>
        <w:ind w:left="2268" w:hanging="1134"/>
        <w:rPr>
          <w:lang w:val="fr-FR"/>
        </w:rPr>
      </w:pPr>
      <w:r>
        <w:rPr>
          <w:lang w:val="fr-FR"/>
        </w:rPr>
        <w:t>DS 532</w:t>
      </w:r>
      <w:r>
        <w:rPr>
          <w:lang w:val="fr-FR"/>
        </w:rPr>
        <w:tab/>
        <w:t>Modifier comme suit</w:t>
      </w:r>
      <w:r w:rsidR="003D169D">
        <w:rPr>
          <w:lang w:val="fr-FR"/>
        </w:rPr>
        <w:t> </w:t>
      </w:r>
      <w:r>
        <w:rPr>
          <w:lang w:val="fr-FR"/>
        </w:rPr>
        <w:t>:</w:t>
      </w:r>
    </w:p>
    <w:p w14:paraId="5B9A3989" w14:textId="0A8CEAFB" w:rsidR="00CB35C3" w:rsidRPr="00A33244" w:rsidRDefault="00CB35C3" w:rsidP="00CB35C3">
      <w:pPr>
        <w:pStyle w:val="SingleTxtG"/>
        <w:ind w:left="2268" w:hanging="1134"/>
        <w:rPr>
          <w:lang w:val="fr-FR"/>
        </w:rPr>
      </w:pPr>
      <w:r>
        <w:rPr>
          <w:lang w:val="fr-FR"/>
        </w:rPr>
        <w:t>« 532</w:t>
      </w:r>
      <w:r>
        <w:rPr>
          <w:lang w:val="fr-FR"/>
        </w:rPr>
        <w:tab/>
        <w:t>Pour l’ammoniac en solution aqueuse de densité relative comprise entre 0,880 et 0,957 à 15 °C, contenant plus de 10 % mais pas plus de 35 % d’ammoniac, voir le N</w:t>
      </w:r>
      <w:r w:rsidRPr="003D169D">
        <w:rPr>
          <w:vertAlign w:val="superscript"/>
          <w:lang w:val="fr-FR"/>
        </w:rPr>
        <w:t>o</w:t>
      </w:r>
      <w:r w:rsidR="003D169D">
        <w:rPr>
          <w:lang w:val="fr-FR"/>
        </w:rPr>
        <w:t> </w:t>
      </w:r>
      <w:r>
        <w:rPr>
          <w:lang w:val="fr-FR"/>
        </w:rPr>
        <w:t>ONU 2672. Pour l’ammoniac en solution aqueuse de densité relative inférieure à 0,880 à 15 °C, contenant plus de 50 % d’ammoniac, voir le N</w:t>
      </w:r>
      <w:r w:rsidRPr="003D169D">
        <w:rPr>
          <w:vertAlign w:val="superscript"/>
          <w:lang w:val="fr-FR"/>
        </w:rPr>
        <w:t>o</w:t>
      </w:r>
      <w:r w:rsidR="003D169D">
        <w:rPr>
          <w:lang w:val="fr-FR"/>
        </w:rPr>
        <w:t> </w:t>
      </w:r>
      <w:r>
        <w:rPr>
          <w:lang w:val="fr-FR"/>
        </w:rPr>
        <w:t>ONU 3318. ».</w:t>
      </w:r>
    </w:p>
    <w:p w14:paraId="469E2D03" w14:textId="5D8D39BA" w:rsidR="00CB35C3" w:rsidRPr="00A33244" w:rsidRDefault="00CB35C3" w:rsidP="00CB35C3">
      <w:pPr>
        <w:pStyle w:val="SingleTxtG"/>
        <w:ind w:left="2268" w:hanging="1134"/>
        <w:rPr>
          <w:lang w:val="fr-FR"/>
        </w:rPr>
      </w:pPr>
      <w:r>
        <w:rPr>
          <w:lang w:val="fr-FR"/>
        </w:rPr>
        <w:t>DS 543</w:t>
      </w:r>
      <w:r>
        <w:rPr>
          <w:lang w:val="fr-FR"/>
        </w:rPr>
        <w:tab/>
        <w:t>Modifier comme suit</w:t>
      </w:r>
      <w:r w:rsidR="003D169D">
        <w:rPr>
          <w:lang w:val="fr-FR"/>
        </w:rPr>
        <w:t> </w:t>
      </w:r>
      <w:r>
        <w:rPr>
          <w:lang w:val="fr-FR"/>
        </w:rPr>
        <w:t>:</w:t>
      </w:r>
    </w:p>
    <w:p w14:paraId="3D31A9AD" w14:textId="7BD6B705" w:rsidR="00CB35C3" w:rsidRPr="00A33244" w:rsidRDefault="00CB35C3" w:rsidP="00CB35C3">
      <w:pPr>
        <w:pStyle w:val="SingleTxtG"/>
        <w:ind w:left="2268" w:hanging="1134"/>
        <w:rPr>
          <w:lang w:val="fr-FR"/>
        </w:rPr>
      </w:pPr>
      <w:r>
        <w:rPr>
          <w:lang w:val="fr-FR"/>
        </w:rPr>
        <w:t>« 543</w:t>
      </w:r>
      <w:r>
        <w:rPr>
          <w:lang w:val="fr-FR"/>
        </w:rPr>
        <w:tab/>
        <w:t>Pour l’ammoniac en solution aqueuse de densité relative inférieure à 0,880 à 15 °C, contenant plus de 35 % mais au plus 50 % d’ammoniac, voir le N</w:t>
      </w:r>
      <w:r w:rsidRPr="003D169D">
        <w:rPr>
          <w:vertAlign w:val="superscript"/>
          <w:lang w:val="fr-FR"/>
        </w:rPr>
        <w:t>o</w:t>
      </w:r>
      <w:r w:rsidR="003D169D">
        <w:rPr>
          <w:lang w:val="fr-FR"/>
        </w:rPr>
        <w:t> </w:t>
      </w:r>
      <w:r>
        <w:rPr>
          <w:lang w:val="fr-FR"/>
        </w:rPr>
        <w:t>ONU</w:t>
      </w:r>
      <w:r w:rsidR="003D169D">
        <w:rPr>
          <w:lang w:val="fr-FR"/>
        </w:rPr>
        <w:t> </w:t>
      </w:r>
      <w:r>
        <w:rPr>
          <w:lang w:val="fr-FR"/>
        </w:rPr>
        <w:t>2073. Les solutions d’ammoniac ne contenant pas plus de 10 % d’ammoniac ne sont pas soumises aux prescriptions [du RID/de l’ADR/de l’ADN]. ».</w:t>
      </w:r>
    </w:p>
    <w:p w14:paraId="354726AB" w14:textId="77777777" w:rsidR="00CB35C3" w:rsidRPr="00A33244" w:rsidRDefault="00CB35C3" w:rsidP="003D169D">
      <w:pPr>
        <w:pStyle w:val="HChG"/>
        <w:rPr>
          <w:lang w:val="fr-FR"/>
        </w:rPr>
      </w:pPr>
      <w:r>
        <w:rPr>
          <w:lang w:val="fr-FR"/>
        </w:rPr>
        <w:tab/>
        <w:t>IV.</w:t>
      </w:r>
      <w:r>
        <w:rPr>
          <w:lang w:val="fr-FR"/>
        </w:rPr>
        <w:tab/>
      </w:r>
      <w:r w:rsidRPr="003D169D">
        <w:t>Conclusion</w:t>
      </w:r>
    </w:p>
    <w:p w14:paraId="05A33947" w14:textId="77777777" w:rsidR="00CB35C3" w:rsidRPr="00A33244" w:rsidRDefault="00CB35C3" w:rsidP="00CB35C3">
      <w:pPr>
        <w:pStyle w:val="SingleTxtG"/>
        <w:rPr>
          <w:lang w:val="fr-FR"/>
        </w:rPr>
      </w:pPr>
      <w:r>
        <w:rPr>
          <w:lang w:val="fr-FR"/>
        </w:rPr>
        <w:t>14.</w:t>
      </w:r>
      <w:r>
        <w:rPr>
          <w:lang w:val="fr-FR"/>
        </w:rPr>
        <w:tab/>
        <w:t>Si la Réunion commune ne choisit pas la deuxième proposition, qui permettrait d’harmoniser le RID, l’ADR et l’ADN avec le Règlement type, elle pourra réfléchir à la nécessité d’élaborer une proposition visant à intégrer la ou les dispositions spéciales retenues dans le Règlement type.</w:t>
      </w:r>
    </w:p>
    <w:p w14:paraId="1712565E" w14:textId="426CFA58" w:rsidR="00F9573C" w:rsidRDefault="00CB35C3" w:rsidP="003D169D">
      <w:pPr>
        <w:pStyle w:val="SingleTxtG"/>
        <w:rPr>
          <w:lang w:val="fr-FR"/>
        </w:rPr>
      </w:pPr>
      <w:r>
        <w:rPr>
          <w:lang w:val="fr-FR"/>
        </w:rPr>
        <w:t>15.</w:t>
      </w:r>
      <w:r>
        <w:rPr>
          <w:lang w:val="fr-FR"/>
        </w:rPr>
        <w:tab/>
        <w:t>Au cours de l’examen du document informel INF.14 à sa session du printemps 2022, la Réunion commune avait fait observer qu’au cours de la restructuration, un grand nombre de marginaux contenant des références à l’affectation à d’autres numéros ONU avaient été transposés dans des dispositions spéciales et devaient également être revus. Toutefois, elle avait convenu de reporter l’analyse d’autres dispositions spéciales tant que le problème relatif aux dispositions spéciales 532 et 543 n’aurait pas été résolu. Compte tenu de ce qui précède, la Réunion commune pourra débattre de la marche à suivre concernant ces autres dispositions spéciales une fois qu’elle aura pris une décision sur les propositions ci-dessus.</w:t>
      </w:r>
    </w:p>
    <w:p w14:paraId="69CCCCD2" w14:textId="750DE0C5" w:rsidR="003D169D" w:rsidRPr="003D169D" w:rsidRDefault="003D169D" w:rsidP="003D169D">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3D169D" w:rsidRPr="003D169D" w:rsidSect="00CB35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1E7D" w14:textId="77777777" w:rsidR="00517E66" w:rsidRDefault="00517E66" w:rsidP="00F95C08">
      <w:pPr>
        <w:spacing w:line="240" w:lineRule="auto"/>
      </w:pPr>
    </w:p>
  </w:endnote>
  <w:endnote w:type="continuationSeparator" w:id="0">
    <w:p w14:paraId="3B51214A" w14:textId="77777777" w:rsidR="00517E66" w:rsidRPr="00AC3823" w:rsidRDefault="00517E66" w:rsidP="00AC3823">
      <w:pPr>
        <w:pStyle w:val="Footer"/>
      </w:pPr>
    </w:p>
  </w:endnote>
  <w:endnote w:type="continuationNotice" w:id="1">
    <w:p w14:paraId="18A17756" w14:textId="77777777" w:rsidR="00517E66" w:rsidRDefault="00517E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94D3" w14:textId="72250945" w:rsidR="00CB35C3" w:rsidRPr="00CB35C3" w:rsidRDefault="00CB35C3" w:rsidP="00CB35C3">
    <w:pPr>
      <w:pStyle w:val="Footer"/>
      <w:tabs>
        <w:tab w:val="right" w:pos="9638"/>
      </w:tabs>
    </w:pPr>
    <w:r w:rsidRPr="00CB35C3">
      <w:rPr>
        <w:b/>
        <w:sz w:val="18"/>
      </w:rPr>
      <w:fldChar w:fldCharType="begin"/>
    </w:r>
    <w:r w:rsidRPr="00CB35C3">
      <w:rPr>
        <w:b/>
        <w:sz w:val="18"/>
      </w:rPr>
      <w:instrText xml:space="preserve"> PAGE  \* MERGEFORMAT </w:instrText>
    </w:r>
    <w:r w:rsidRPr="00CB35C3">
      <w:rPr>
        <w:b/>
        <w:sz w:val="18"/>
      </w:rPr>
      <w:fldChar w:fldCharType="separate"/>
    </w:r>
    <w:r w:rsidRPr="00CB35C3">
      <w:rPr>
        <w:b/>
        <w:noProof/>
        <w:sz w:val="18"/>
      </w:rPr>
      <w:t>2</w:t>
    </w:r>
    <w:r w:rsidRPr="00CB35C3">
      <w:rPr>
        <w:b/>
        <w:sz w:val="18"/>
      </w:rPr>
      <w:fldChar w:fldCharType="end"/>
    </w:r>
    <w:r>
      <w:rPr>
        <w:b/>
        <w:sz w:val="18"/>
      </w:rPr>
      <w:tab/>
    </w:r>
    <w:r>
      <w:t>GE.22-28223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6C09" w14:textId="6E4FDA74" w:rsidR="00CB35C3" w:rsidRPr="00CB35C3" w:rsidRDefault="00CB35C3" w:rsidP="00CB35C3">
    <w:pPr>
      <w:pStyle w:val="Footer"/>
      <w:tabs>
        <w:tab w:val="right" w:pos="9638"/>
      </w:tabs>
      <w:rPr>
        <w:b/>
        <w:sz w:val="18"/>
      </w:rPr>
    </w:pPr>
    <w:r>
      <w:t>GE.22-28223</w:t>
    </w:r>
    <w:r>
      <w:tab/>
    </w:r>
    <w:r w:rsidRPr="00CB35C3">
      <w:rPr>
        <w:b/>
        <w:sz w:val="18"/>
      </w:rPr>
      <w:fldChar w:fldCharType="begin"/>
    </w:r>
    <w:r w:rsidRPr="00CB35C3">
      <w:rPr>
        <w:b/>
        <w:sz w:val="18"/>
      </w:rPr>
      <w:instrText xml:space="preserve"> PAGE  \* MERGEFORMAT </w:instrText>
    </w:r>
    <w:r w:rsidRPr="00CB35C3">
      <w:rPr>
        <w:b/>
        <w:sz w:val="18"/>
      </w:rPr>
      <w:fldChar w:fldCharType="separate"/>
    </w:r>
    <w:r w:rsidRPr="00CB35C3">
      <w:rPr>
        <w:b/>
        <w:noProof/>
        <w:sz w:val="18"/>
      </w:rPr>
      <w:t>3</w:t>
    </w:r>
    <w:r w:rsidRPr="00CB35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CBE2" w14:textId="7CDB63F6" w:rsidR="007F20FA" w:rsidRPr="00CB35C3" w:rsidRDefault="00CB35C3" w:rsidP="00CB35C3">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A905E4B" wp14:editId="4E6354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28223  (</w:t>
    </w:r>
    <w:proofErr w:type="gramEnd"/>
    <w:r>
      <w:rPr>
        <w:sz w:val="20"/>
      </w:rPr>
      <w:t>F)</w:t>
    </w:r>
    <w:r>
      <w:rPr>
        <w:noProof/>
        <w:sz w:val="20"/>
      </w:rPr>
      <w:drawing>
        <wp:anchor distT="0" distB="0" distL="114300" distR="114300" simplePos="0" relativeHeight="251660288" behindDoc="0" locked="0" layoutInCell="1" allowOverlap="1" wp14:anchorId="065A5066" wp14:editId="0A23EDE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160123    160123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A663" w14:textId="77777777" w:rsidR="00517E66" w:rsidRPr="00AC3823" w:rsidRDefault="00517E66" w:rsidP="00AC3823">
      <w:pPr>
        <w:pStyle w:val="Footer"/>
        <w:tabs>
          <w:tab w:val="right" w:pos="2155"/>
        </w:tabs>
        <w:spacing w:after="80" w:line="240" w:lineRule="atLeast"/>
        <w:ind w:left="680"/>
        <w:rPr>
          <w:u w:val="single"/>
        </w:rPr>
      </w:pPr>
      <w:r>
        <w:rPr>
          <w:u w:val="single"/>
        </w:rPr>
        <w:tab/>
      </w:r>
    </w:p>
  </w:footnote>
  <w:footnote w:type="continuationSeparator" w:id="0">
    <w:p w14:paraId="705313D1" w14:textId="77777777" w:rsidR="00517E66" w:rsidRPr="00AC3823" w:rsidRDefault="00517E66" w:rsidP="00AC3823">
      <w:pPr>
        <w:pStyle w:val="Footer"/>
        <w:tabs>
          <w:tab w:val="right" w:pos="2155"/>
        </w:tabs>
        <w:spacing w:after="80" w:line="240" w:lineRule="atLeast"/>
        <w:ind w:left="680"/>
        <w:rPr>
          <w:u w:val="single"/>
        </w:rPr>
      </w:pPr>
      <w:r>
        <w:rPr>
          <w:u w:val="single"/>
        </w:rPr>
        <w:tab/>
      </w:r>
    </w:p>
  </w:footnote>
  <w:footnote w:type="continuationNotice" w:id="1">
    <w:p w14:paraId="3D59E99F" w14:textId="77777777" w:rsidR="00517E66" w:rsidRPr="00AC3823" w:rsidRDefault="00517E66">
      <w:pPr>
        <w:spacing w:line="240" w:lineRule="auto"/>
        <w:rPr>
          <w:sz w:val="2"/>
          <w:szCs w:val="2"/>
        </w:rPr>
      </w:pPr>
    </w:p>
  </w:footnote>
  <w:footnote w:id="2">
    <w:p w14:paraId="56564815" w14:textId="6CEC126F" w:rsidR="00FC062A" w:rsidRPr="00FC062A" w:rsidRDefault="00FC062A">
      <w:pPr>
        <w:pStyle w:val="FootnoteText"/>
      </w:pPr>
      <w:r>
        <w:rPr>
          <w:rStyle w:val="FootnoteReference"/>
        </w:rPr>
        <w:tab/>
      </w:r>
      <w:r w:rsidRPr="00FC062A">
        <w:rPr>
          <w:rStyle w:val="FootnoteReference"/>
          <w:sz w:val="20"/>
          <w:vertAlign w:val="baseline"/>
        </w:rPr>
        <w:t>*</w:t>
      </w:r>
      <w:r>
        <w:rPr>
          <w:rStyle w:val="FootnoteReference"/>
          <w:sz w:val="20"/>
          <w:vertAlign w:val="baseline"/>
        </w:rPr>
        <w:tab/>
      </w:r>
      <w:r>
        <w:rPr>
          <w:lang w:val="fr-FR"/>
        </w:rPr>
        <w:t>A/77/6 (Sect. 20), tableau 20.6.</w:t>
      </w:r>
    </w:p>
  </w:footnote>
  <w:footnote w:id="3">
    <w:p w14:paraId="07468095" w14:textId="65381E75" w:rsidR="00FC062A" w:rsidRPr="00FC062A" w:rsidRDefault="00FC062A">
      <w:pPr>
        <w:pStyle w:val="FootnoteText"/>
      </w:pPr>
      <w:r>
        <w:rPr>
          <w:rStyle w:val="FootnoteReference"/>
        </w:rPr>
        <w:tab/>
      </w:r>
      <w:r w:rsidRPr="00FC062A">
        <w:rPr>
          <w:rStyle w:val="FootnoteReference"/>
          <w:sz w:val="20"/>
          <w:vertAlign w:val="baseline"/>
        </w:rPr>
        <w:t>**</w:t>
      </w:r>
      <w:r>
        <w:rPr>
          <w:rStyle w:val="FootnoteReference"/>
          <w:sz w:val="20"/>
          <w:vertAlign w:val="baseline"/>
        </w:rPr>
        <w:tab/>
      </w:r>
      <w:r w:rsidR="000008EE">
        <w:rPr>
          <w:lang w:val="fr-FR"/>
        </w:rPr>
        <w:t>Diffusée par l’Organisation intergouvernementale pour les transports internationaux ferroviaires (OTIF) sous la cote OTIF/RID/RC/2023/1.</w:t>
      </w:r>
    </w:p>
  </w:footnote>
  <w:footnote w:id="4">
    <w:p w14:paraId="78C286D3" w14:textId="7AC05FCF" w:rsidR="000008EE" w:rsidRDefault="000008EE">
      <w:pPr>
        <w:pStyle w:val="FootnoteText"/>
      </w:pPr>
      <w:r>
        <w:tab/>
      </w:r>
      <w:r>
        <w:rPr>
          <w:rStyle w:val="FootnoteReference"/>
        </w:rPr>
        <w:footnoteRef/>
      </w:r>
      <w:r>
        <w:tab/>
      </w:r>
      <w:r>
        <w:rPr>
          <w:lang w:val="fr-FR"/>
        </w:rPr>
        <w:t>Le marginal 2201 dans l’édition 1993 de l’ADR correspondait au marginal 201 dans l’édition 1993 du RID.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85C0" w14:textId="68A17CA1" w:rsidR="00CB35C3" w:rsidRPr="00CB35C3" w:rsidRDefault="00EE725E">
    <w:pPr>
      <w:pStyle w:val="Header"/>
    </w:pPr>
    <w:r>
      <w:fldChar w:fldCharType="begin"/>
    </w:r>
    <w:r>
      <w:instrText xml:space="preserve"> TITLE  \* MERGEFORMAT </w:instrText>
    </w:r>
    <w:r>
      <w:fldChar w:fldCharType="separate"/>
    </w:r>
    <w:r>
      <w:t>ECE/TRANS/WP.15/AC.1/2023/1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D868" w14:textId="5D38F9CA" w:rsidR="00CB35C3" w:rsidRPr="00CB35C3" w:rsidRDefault="00EE725E" w:rsidP="00CB35C3">
    <w:pPr>
      <w:pStyle w:val="Header"/>
      <w:jc w:val="right"/>
    </w:pPr>
    <w:r>
      <w:fldChar w:fldCharType="begin"/>
    </w:r>
    <w:r>
      <w:instrText xml:space="preserve"> TITLE  \* MERGEFORMAT </w:instrText>
    </w:r>
    <w:r>
      <w:fldChar w:fldCharType="separate"/>
    </w:r>
    <w:r>
      <w:t>ECE/TRANS/WP.15/AC.1/2023/1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66"/>
    <w:rsid w:val="000008EE"/>
    <w:rsid w:val="00017F94"/>
    <w:rsid w:val="00023842"/>
    <w:rsid w:val="000334F9"/>
    <w:rsid w:val="00045FEB"/>
    <w:rsid w:val="0007796D"/>
    <w:rsid w:val="000B7790"/>
    <w:rsid w:val="00111F2F"/>
    <w:rsid w:val="001137BB"/>
    <w:rsid w:val="0014365E"/>
    <w:rsid w:val="00143C66"/>
    <w:rsid w:val="00176178"/>
    <w:rsid w:val="001F525A"/>
    <w:rsid w:val="00201148"/>
    <w:rsid w:val="00223272"/>
    <w:rsid w:val="0024779E"/>
    <w:rsid w:val="00257168"/>
    <w:rsid w:val="002744B8"/>
    <w:rsid w:val="002832AC"/>
    <w:rsid w:val="002C4B6E"/>
    <w:rsid w:val="002D7C93"/>
    <w:rsid w:val="00305801"/>
    <w:rsid w:val="003916DE"/>
    <w:rsid w:val="003D169D"/>
    <w:rsid w:val="00421996"/>
    <w:rsid w:val="00441C3B"/>
    <w:rsid w:val="00446FE5"/>
    <w:rsid w:val="00452396"/>
    <w:rsid w:val="00477EB2"/>
    <w:rsid w:val="004837D8"/>
    <w:rsid w:val="004E2EED"/>
    <w:rsid w:val="004E468C"/>
    <w:rsid w:val="00517E66"/>
    <w:rsid w:val="005505B7"/>
    <w:rsid w:val="00573BE5"/>
    <w:rsid w:val="00586ED3"/>
    <w:rsid w:val="00596AA9"/>
    <w:rsid w:val="0071601D"/>
    <w:rsid w:val="007663F3"/>
    <w:rsid w:val="007A62E6"/>
    <w:rsid w:val="007F20FA"/>
    <w:rsid w:val="0080684C"/>
    <w:rsid w:val="00871C75"/>
    <w:rsid w:val="008776DC"/>
    <w:rsid w:val="008D5EF9"/>
    <w:rsid w:val="009446C0"/>
    <w:rsid w:val="009705C8"/>
    <w:rsid w:val="009C1CF4"/>
    <w:rsid w:val="009F6B74"/>
    <w:rsid w:val="00A3029F"/>
    <w:rsid w:val="00A30353"/>
    <w:rsid w:val="00AC3823"/>
    <w:rsid w:val="00AD396B"/>
    <w:rsid w:val="00AE323C"/>
    <w:rsid w:val="00AF0CB5"/>
    <w:rsid w:val="00B00181"/>
    <w:rsid w:val="00B00B0D"/>
    <w:rsid w:val="00B45F2E"/>
    <w:rsid w:val="00B765F7"/>
    <w:rsid w:val="00B77993"/>
    <w:rsid w:val="00BA0CA9"/>
    <w:rsid w:val="00C02897"/>
    <w:rsid w:val="00C97039"/>
    <w:rsid w:val="00CB35C3"/>
    <w:rsid w:val="00D3439C"/>
    <w:rsid w:val="00D7622E"/>
    <w:rsid w:val="00DB1831"/>
    <w:rsid w:val="00DD3BFD"/>
    <w:rsid w:val="00DF6678"/>
    <w:rsid w:val="00E0299A"/>
    <w:rsid w:val="00E85C74"/>
    <w:rsid w:val="00EA6547"/>
    <w:rsid w:val="00ED7237"/>
    <w:rsid w:val="00EE725E"/>
    <w:rsid w:val="00EF2E22"/>
    <w:rsid w:val="00F35BAF"/>
    <w:rsid w:val="00F660DF"/>
    <w:rsid w:val="00F94664"/>
    <w:rsid w:val="00F9573C"/>
    <w:rsid w:val="00F95C08"/>
    <w:rsid w:val="00FC062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1BA20"/>
  <w15:docId w15:val="{2F8B7D99-94EB-4234-8B1E-A63CA6E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CB35C3"/>
    <w:rPr>
      <w:rFonts w:ascii="Times New Roman" w:eastAsiaTheme="minorHAnsi" w:hAnsi="Times New Roman" w:cs="Times New Roman"/>
      <w:sz w:val="20"/>
      <w:szCs w:val="20"/>
      <w:lang w:eastAsia="en-US"/>
    </w:rPr>
  </w:style>
  <w:style w:type="character" w:customStyle="1" w:styleId="HChGChar">
    <w:name w:val="_ H _Ch_G Char"/>
    <w:link w:val="HChG"/>
    <w:qFormat/>
    <w:rsid w:val="00CB35C3"/>
    <w:rPr>
      <w:rFonts w:ascii="Times New Roman" w:eastAsiaTheme="minorHAnsi" w:hAnsi="Times New Roman" w:cs="Times New Roman"/>
      <w:b/>
      <w:sz w:val="28"/>
      <w:szCs w:val="20"/>
      <w:lang w:eastAsia="en-US"/>
    </w:rPr>
  </w:style>
  <w:style w:type="character" w:customStyle="1" w:styleId="H1GChar">
    <w:name w:val="_ H_1_G Char"/>
    <w:link w:val="H1G"/>
    <w:rsid w:val="00CB35C3"/>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1956</Words>
  <Characters>11154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ECE/TRANS/WP.15/AC.1/2023/1</vt:lpstr>
    </vt:vector>
  </TitlesOfParts>
  <Company>DCM</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ECE/TRANS/WP.15/AC.1/2023/1</dc:title>
  <dc:subject/>
  <dc:creator>Christine CHAUTAGNAT</dc:creator>
  <cp:keywords/>
  <cp:lastModifiedBy>Laurence Berthet</cp:lastModifiedBy>
  <cp:revision>3</cp:revision>
  <cp:lastPrinted>2023-01-16T14:19:00Z</cp:lastPrinted>
  <dcterms:created xsi:type="dcterms:W3CDTF">2023-01-16T14:19:00Z</dcterms:created>
  <dcterms:modified xsi:type="dcterms:W3CDTF">2023-01-16T14:19:00Z</dcterms:modified>
</cp:coreProperties>
</file>