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065024" w14:paraId="71E74C9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74CD83" w14:textId="77777777" w:rsidR="00F35BAF" w:rsidRPr="00DB58B5" w:rsidRDefault="00F35BAF" w:rsidP="00C5697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FD03F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8CF6DD" w14:textId="0F55B9EF" w:rsidR="00F35BAF" w:rsidRPr="005509A7" w:rsidRDefault="00C56970" w:rsidP="00C56970">
            <w:pPr>
              <w:jc w:val="right"/>
              <w:rPr>
                <w:lang w:val="en-GB"/>
              </w:rPr>
            </w:pPr>
            <w:bookmarkStart w:id="0" w:name="_Hlk122506485"/>
            <w:r w:rsidRPr="005509A7">
              <w:rPr>
                <w:sz w:val="40"/>
                <w:lang w:val="en-GB"/>
              </w:rPr>
              <w:t>ECE</w:t>
            </w:r>
            <w:r w:rsidRPr="005509A7">
              <w:rPr>
                <w:lang w:val="en-GB"/>
              </w:rPr>
              <w:t>/TRANS/WP.15/AC.1/202</w:t>
            </w:r>
            <w:r w:rsidR="005509A7" w:rsidRPr="005509A7">
              <w:rPr>
                <w:lang w:val="en-GB"/>
              </w:rPr>
              <w:t>3/</w:t>
            </w:r>
            <w:r w:rsidR="00E163ED">
              <w:rPr>
                <w:lang w:val="en-GB"/>
              </w:rPr>
              <w:t>17</w:t>
            </w:r>
            <w:bookmarkEnd w:id="0"/>
          </w:p>
        </w:tc>
      </w:tr>
      <w:tr w:rsidR="00F35BAF" w:rsidRPr="00DB58B5" w14:paraId="2A5410D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72CBB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548E52" wp14:editId="01E4E89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FE43F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06321E5" w14:textId="77777777" w:rsidR="00F35BAF" w:rsidRDefault="00C56970" w:rsidP="00C97039">
            <w:pPr>
              <w:spacing w:before="240"/>
            </w:pPr>
            <w:r>
              <w:t>Distr. générale</w:t>
            </w:r>
          </w:p>
          <w:p w14:paraId="1AE20DA4" w14:textId="3C118E76" w:rsidR="00C56970" w:rsidRDefault="00E163ED" w:rsidP="00C56970">
            <w:pPr>
              <w:spacing w:line="240" w:lineRule="exact"/>
            </w:pPr>
            <w:r>
              <w:t>2</w:t>
            </w:r>
            <w:r w:rsidR="00396A9D">
              <w:t>8</w:t>
            </w:r>
            <w:r w:rsidR="005509A7">
              <w:t xml:space="preserve"> décembre </w:t>
            </w:r>
            <w:r w:rsidR="00C56970">
              <w:t>2022</w:t>
            </w:r>
          </w:p>
          <w:p w14:paraId="4FC52489" w14:textId="006A33B6" w:rsidR="00C56970" w:rsidRDefault="00C56970" w:rsidP="00C56970">
            <w:pPr>
              <w:spacing w:line="240" w:lineRule="exact"/>
            </w:pPr>
          </w:p>
          <w:p w14:paraId="24820059" w14:textId="4608CA3F" w:rsidR="00C56970" w:rsidRPr="00DB58B5" w:rsidRDefault="00C56970" w:rsidP="00C56970">
            <w:pPr>
              <w:spacing w:line="240" w:lineRule="exact"/>
            </w:pPr>
            <w:r>
              <w:t xml:space="preserve">Original : </w:t>
            </w:r>
            <w:r w:rsidR="005509A7">
              <w:t>français</w:t>
            </w:r>
          </w:p>
        </w:tc>
      </w:tr>
    </w:tbl>
    <w:p w14:paraId="76174FB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bookmarkStart w:id="1" w:name="_Hlk123113281"/>
      <w:r w:rsidRPr="000312C0">
        <w:rPr>
          <w:b/>
          <w:sz w:val="28"/>
          <w:szCs w:val="28"/>
        </w:rPr>
        <w:t>Commission économique pour l’Europe</w:t>
      </w:r>
      <w:bookmarkEnd w:id="1"/>
    </w:p>
    <w:p w14:paraId="7759F51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8E27D7C" w14:textId="49F05802" w:rsidR="00C06FF4" w:rsidRPr="00C06FF4" w:rsidRDefault="00C06FF4" w:rsidP="00C06FF4">
      <w:pPr>
        <w:spacing w:before="120" w:after="120"/>
        <w:rPr>
          <w:b/>
          <w:sz w:val="24"/>
          <w:szCs w:val="24"/>
          <w:lang w:val="fr-FR"/>
        </w:rPr>
      </w:pPr>
      <w:r w:rsidRPr="00C06FF4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C06FF4">
        <w:rPr>
          <w:b/>
          <w:bCs/>
          <w:sz w:val="24"/>
          <w:szCs w:val="24"/>
          <w:lang w:val="fr-FR"/>
        </w:rPr>
        <w:t>de marchandises dangereuses</w:t>
      </w:r>
    </w:p>
    <w:p w14:paraId="758BF44B" w14:textId="09ABE9AD" w:rsidR="00C06FF4" w:rsidRPr="00402C88" w:rsidRDefault="00C06FF4" w:rsidP="00C06FF4">
      <w:pPr>
        <w:rPr>
          <w:b/>
          <w:lang w:val="fr-FR"/>
        </w:rPr>
      </w:pPr>
      <w:r w:rsidRPr="00402C88">
        <w:rPr>
          <w:b/>
          <w:bCs/>
          <w:lang w:val="fr-FR"/>
        </w:rPr>
        <w:t>Réunion commune de la Commission d</w:t>
      </w:r>
      <w:r>
        <w:rPr>
          <w:b/>
          <w:bCs/>
          <w:lang w:val="fr-FR"/>
        </w:rPr>
        <w:t>’</w:t>
      </w:r>
      <w:r w:rsidRPr="00402C88">
        <w:rPr>
          <w:b/>
          <w:bCs/>
          <w:lang w:val="fr-FR"/>
        </w:rPr>
        <w:t>experts du RID et du</w:t>
      </w:r>
      <w:r>
        <w:rPr>
          <w:b/>
          <w:bCs/>
          <w:lang w:val="fr-FR"/>
        </w:rPr>
        <w:t xml:space="preserve"> </w:t>
      </w:r>
      <w:r w:rsidRPr="00402C88">
        <w:rPr>
          <w:b/>
          <w:bCs/>
          <w:lang w:val="fr-FR"/>
        </w:rPr>
        <w:t xml:space="preserve">Groupe </w:t>
      </w:r>
      <w:r>
        <w:rPr>
          <w:b/>
          <w:bCs/>
          <w:lang w:val="fr-FR"/>
        </w:rPr>
        <w:br/>
      </w:r>
      <w:r w:rsidRPr="00402C88">
        <w:rPr>
          <w:b/>
          <w:bCs/>
          <w:lang w:val="fr-FR"/>
        </w:rPr>
        <w:t>de travail des transports de marchandises dangereuses</w:t>
      </w:r>
    </w:p>
    <w:p w14:paraId="1527E2BA" w14:textId="01B594A5" w:rsidR="00C06FF4" w:rsidRPr="005165CB" w:rsidRDefault="005509A7" w:rsidP="00C06FF4">
      <w:pPr>
        <w:rPr>
          <w:lang w:val="fr-FR"/>
        </w:rPr>
      </w:pPr>
      <w:r w:rsidRPr="005165CB">
        <w:rPr>
          <w:lang w:val="fr-FR"/>
        </w:rPr>
        <w:t>Berne</w:t>
      </w:r>
      <w:r w:rsidR="00C06FF4" w:rsidRPr="005165CB">
        <w:rPr>
          <w:lang w:val="fr-FR"/>
        </w:rPr>
        <w:t xml:space="preserve">, </w:t>
      </w:r>
      <w:r w:rsidRPr="005165CB">
        <w:t>20-24 mars 2023</w:t>
      </w:r>
    </w:p>
    <w:p w14:paraId="3631A840" w14:textId="080019FC" w:rsidR="00C06FF4" w:rsidRPr="005165CB" w:rsidRDefault="00C06FF4" w:rsidP="00C06FF4">
      <w:pPr>
        <w:rPr>
          <w:lang w:val="fr-FR"/>
        </w:rPr>
      </w:pPr>
      <w:r w:rsidRPr="005165CB">
        <w:rPr>
          <w:lang w:val="fr-FR"/>
        </w:rPr>
        <w:t xml:space="preserve">Point </w:t>
      </w:r>
      <w:r w:rsidR="005509A7" w:rsidRPr="005165CB">
        <w:rPr>
          <w:lang w:val="fr-FR"/>
        </w:rPr>
        <w:t>8</w:t>
      </w:r>
      <w:r w:rsidRPr="005165CB">
        <w:rPr>
          <w:lang w:val="fr-FR"/>
        </w:rPr>
        <w:t xml:space="preserve"> de l’ordre du jour provisoire</w:t>
      </w:r>
    </w:p>
    <w:p w14:paraId="2A107F4F" w14:textId="7B50CE33" w:rsidR="00C06FF4" w:rsidRPr="00402C88" w:rsidRDefault="005509A7" w:rsidP="00C06FF4">
      <w:pPr>
        <w:rPr>
          <w:b/>
          <w:bCs/>
          <w:lang w:val="fr-FR"/>
        </w:rPr>
      </w:pPr>
      <w:r w:rsidRPr="005165CB">
        <w:rPr>
          <w:b/>
          <w:bCs/>
          <w:lang w:val="fr-FR"/>
        </w:rPr>
        <w:t>Travaux futurs</w:t>
      </w:r>
    </w:p>
    <w:p w14:paraId="55F0CE4B" w14:textId="63D29EFA" w:rsidR="00C06FF4" w:rsidRPr="00402C88" w:rsidRDefault="00C06FF4" w:rsidP="00C06FF4">
      <w:pPr>
        <w:pStyle w:val="HChG"/>
        <w:rPr>
          <w:lang w:val="fr-FR"/>
        </w:rPr>
      </w:pPr>
      <w:r w:rsidRPr="00402C88">
        <w:rPr>
          <w:lang w:val="fr-FR"/>
        </w:rPr>
        <w:tab/>
      </w:r>
      <w:r w:rsidRPr="00402C88">
        <w:rPr>
          <w:lang w:val="fr-FR"/>
        </w:rPr>
        <w:tab/>
      </w:r>
      <w:bookmarkStart w:id="2" w:name="_Hlk122511914"/>
      <w:r w:rsidRPr="00944017">
        <w:rPr>
          <w:lang w:val="fr-FR"/>
        </w:rPr>
        <w:t xml:space="preserve">Références </w:t>
      </w:r>
      <w:r w:rsidR="005509A7" w:rsidRPr="00944017">
        <w:rPr>
          <w:lang w:val="fr-FR"/>
        </w:rPr>
        <w:t xml:space="preserve">à l’autorité compétente dans le </w:t>
      </w:r>
      <w:r w:rsidR="00571E4D" w:rsidRPr="00944017">
        <w:rPr>
          <w:lang w:val="fr-FR"/>
        </w:rPr>
        <w:t>RID/</w:t>
      </w:r>
      <w:r w:rsidR="005509A7" w:rsidRPr="00944017">
        <w:rPr>
          <w:lang w:val="fr-FR"/>
        </w:rPr>
        <w:t>ADR</w:t>
      </w:r>
      <w:r w:rsidR="00EB2804" w:rsidRPr="00944017">
        <w:rPr>
          <w:lang w:val="fr-FR"/>
        </w:rPr>
        <w:t>/ADN</w:t>
      </w:r>
      <w:r w:rsidR="00626D77" w:rsidRPr="00944017">
        <w:rPr>
          <w:lang w:val="fr-FR"/>
        </w:rPr>
        <w:t> :</w:t>
      </w:r>
      <w:r w:rsidR="00626D77">
        <w:rPr>
          <w:lang w:val="fr-FR"/>
        </w:rPr>
        <w:t xml:space="preserve"> proposition de mandat </w:t>
      </w:r>
      <w:r w:rsidR="00065024">
        <w:rPr>
          <w:lang w:val="fr-FR"/>
        </w:rPr>
        <w:t>d’un</w:t>
      </w:r>
      <w:r w:rsidR="00626D77">
        <w:rPr>
          <w:lang w:val="fr-FR"/>
        </w:rPr>
        <w:t xml:space="preserve"> groupe de travail informel</w:t>
      </w:r>
      <w:bookmarkEnd w:id="2"/>
    </w:p>
    <w:p w14:paraId="7A7FF683" w14:textId="12C71B63" w:rsidR="005509A7" w:rsidRPr="005509A7" w:rsidRDefault="00C06FF4" w:rsidP="005509A7">
      <w:pPr>
        <w:pStyle w:val="H1G"/>
        <w:rPr>
          <w:szCs w:val="24"/>
          <w:lang w:val="fr-FR"/>
        </w:rPr>
      </w:pPr>
      <w:r w:rsidRPr="00402C88">
        <w:rPr>
          <w:lang w:val="fr-FR"/>
        </w:rPr>
        <w:tab/>
      </w:r>
      <w:r w:rsidRPr="00402C88">
        <w:rPr>
          <w:lang w:val="fr-FR"/>
        </w:rPr>
        <w:tab/>
      </w:r>
      <w:r w:rsidR="00EA73F6">
        <w:rPr>
          <w:lang w:val="fr-FR"/>
        </w:rPr>
        <w:t>Communication du</w:t>
      </w:r>
      <w:r w:rsidR="005509A7">
        <w:rPr>
          <w:lang w:val="fr-FR"/>
        </w:rPr>
        <w:t xml:space="preserve"> Gouvernement suisse</w:t>
      </w:r>
      <w:r w:rsidR="00A96D00">
        <w:rPr>
          <w:rStyle w:val="FootnoteReference"/>
        </w:rPr>
        <w:footnoteReference w:id="2"/>
      </w:r>
      <w:r w:rsidR="00FF5B01" w:rsidRPr="00FF5B01">
        <w:rPr>
          <w:vertAlign w:val="superscript"/>
          <w:lang w:val="fr-FR"/>
        </w:rPr>
        <w:t>,</w:t>
      </w:r>
      <w:r w:rsidR="00E2384D">
        <w:rPr>
          <w:vertAlign w:val="superscript"/>
          <w:lang w:val="fr-FR"/>
        </w:rPr>
        <w:t xml:space="preserve"> </w:t>
      </w:r>
      <w:r w:rsidR="008337E8">
        <w:rPr>
          <w:rStyle w:val="FootnoteReference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5509A7" w14:paraId="7EA8C46C" w14:textId="77777777" w:rsidTr="001507B1">
        <w:trPr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20FD79" w14:textId="7019C103" w:rsidR="005509A7" w:rsidRDefault="006E21E8" w:rsidP="001507B1">
            <w:pPr>
              <w:spacing w:before="240" w:after="120"/>
              <w:ind w:left="255"/>
              <w:rPr>
                <w:i/>
              </w:rPr>
            </w:pPr>
            <w:r>
              <w:rPr>
                <w:i/>
              </w:rPr>
              <w:t>Résumé</w:t>
            </w:r>
          </w:p>
        </w:tc>
      </w:tr>
      <w:tr w:rsidR="005509A7" w:rsidRPr="005509A7" w14:paraId="12BC1C6F" w14:textId="77777777" w:rsidTr="001507B1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46FA7" w14:textId="53871917" w:rsidR="005509A7" w:rsidRPr="00245234" w:rsidRDefault="00FF4BA2" w:rsidP="001507B1">
            <w:pPr>
              <w:tabs>
                <w:tab w:val="left" w:pos="3260"/>
              </w:tabs>
              <w:spacing w:after="120"/>
              <w:ind w:left="3260" w:right="858" w:hanging="2419"/>
              <w:jc w:val="both"/>
            </w:pPr>
            <w:r w:rsidRPr="00245234">
              <w:rPr>
                <w:b/>
              </w:rPr>
              <w:t xml:space="preserve">Résumé </w:t>
            </w:r>
            <w:r w:rsidR="005165CB">
              <w:rPr>
                <w:b/>
              </w:rPr>
              <w:t xml:space="preserve">analytique </w:t>
            </w:r>
            <w:r w:rsidR="005509A7" w:rsidRPr="00245234">
              <w:rPr>
                <w:b/>
              </w:rPr>
              <w:t xml:space="preserve">: </w:t>
            </w:r>
            <w:r w:rsidR="005509A7" w:rsidRPr="00245234">
              <w:tab/>
            </w:r>
            <w:r w:rsidR="005165CB">
              <w:t xml:space="preserve">La Réunion commune a </w:t>
            </w:r>
            <w:r w:rsidR="005165CB" w:rsidRPr="006710F8">
              <w:t xml:space="preserve">reconnu à plusieurs reprises </w:t>
            </w:r>
            <w:r w:rsidR="006710F8">
              <w:t>la nécessité</w:t>
            </w:r>
            <w:r w:rsidR="006710F8" w:rsidRPr="006710F8">
              <w:t xml:space="preserve"> </w:t>
            </w:r>
            <w:r w:rsidR="005165CB" w:rsidRPr="006710F8">
              <w:t>de clarifier quelles autorités et</w:t>
            </w:r>
            <w:r w:rsidR="005165CB">
              <w:t xml:space="preserve"> quels pays étaient visés par le</w:t>
            </w:r>
            <w:r w:rsidR="00065024">
              <w:t>s</w:t>
            </w:r>
            <w:r w:rsidR="005165CB">
              <w:t xml:space="preserve"> terme</w:t>
            </w:r>
            <w:r w:rsidR="00065024">
              <w:t>s</w:t>
            </w:r>
            <w:r w:rsidR="005165CB">
              <w:t xml:space="preserve"> « autorité compétente » utilisé</w:t>
            </w:r>
            <w:r w:rsidR="00E36BFB">
              <w:t>s</w:t>
            </w:r>
            <w:r w:rsidR="005165CB">
              <w:t xml:space="preserve"> dans le RID/ADR/ADN.</w:t>
            </w:r>
          </w:p>
        </w:tc>
      </w:tr>
      <w:tr w:rsidR="005509A7" w:rsidRPr="005509A7" w14:paraId="48E6919F" w14:textId="77777777" w:rsidTr="001507B1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7BBB" w14:textId="5D433BFD" w:rsidR="005509A7" w:rsidRPr="00A54265" w:rsidRDefault="005165CB" w:rsidP="001507B1">
            <w:pPr>
              <w:tabs>
                <w:tab w:val="left" w:pos="3260"/>
              </w:tabs>
              <w:spacing w:after="120"/>
              <w:ind w:left="3260" w:right="858" w:hanging="2419"/>
              <w:jc w:val="both"/>
              <w:rPr>
                <w:bCs/>
              </w:rPr>
            </w:pPr>
            <w:r>
              <w:rPr>
                <w:b/>
              </w:rPr>
              <w:t>Mesure</w:t>
            </w:r>
            <w:r w:rsidR="00FF4BA2" w:rsidRPr="00A54265">
              <w:rPr>
                <w:b/>
              </w:rPr>
              <w:t xml:space="preserve"> à prendre </w:t>
            </w:r>
            <w:r w:rsidR="005509A7" w:rsidRPr="00A54265">
              <w:rPr>
                <w:b/>
              </w:rPr>
              <w:t>:</w:t>
            </w:r>
            <w:r w:rsidR="005509A7" w:rsidRPr="00A54265">
              <w:rPr>
                <w:b/>
              </w:rPr>
              <w:tab/>
            </w:r>
            <w:r w:rsidR="00A54265" w:rsidRPr="00A54265">
              <w:rPr>
                <w:bCs/>
              </w:rPr>
              <w:t xml:space="preserve">La </w:t>
            </w:r>
            <w:r w:rsidR="00A54265">
              <w:rPr>
                <w:bCs/>
              </w:rPr>
              <w:t xml:space="preserve">Réunion commune est invitée à </w:t>
            </w:r>
            <w:r w:rsidR="00CC25E9">
              <w:rPr>
                <w:bCs/>
              </w:rPr>
              <w:t xml:space="preserve">créer </w:t>
            </w:r>
            <w:r w:rsidR="00A54265">
              <w:rPr>
                <w:bCs/>
              </w:rPr>
              <w:t xml:space="preserve">un groupe de travail informel </w:t>
            </w:r>
            <w:r>
              <w:rPr>
                <w:bCs/>
              </w:rPr>
              <w:t xml:space="preserve">sur les </w:t>
            </w:r>
            <w:r w:rsidRPr="00944017">
              <w:rPr>
                <w:lang w:val="fr-FR"/>
              </w:rPr>
              <w:t xml:space="preserve">références à l’autorité compétente </w:t>
            </w:r>
            <w:r w:rsidR="00A54265">
              <w:rPr>
                <w:bCs/>
              </w:rPr>
              <w:t>et à définir son mandat sur la base du projet proposé.</w:t>
            </w:r>
          </w:p>
        </w:tc>
      </w:tr>
      <w:tr w:rsidR="005509A7" w:rsidRPr="005509A7" w14:paraId="54BE9D2C" w14:textId="77777777" w:rsidTr="001507B1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08C2F" w14:textId="5D203E18" w:rsidR="005509A7" w:rsidRPr="00FF4BA2" w:rsidRDefault="00FF4BA2" w:rsidP="006710F8">
            <w:pPr>
              <w:tabs>
                <w:tab w:val="left" w:pos="3260"/>
              </w:tabs>
              <w:ind w:left="3260" w:right="1134" w:hanging="2419"/>
              <w:rPr>
                <w:bCs/>
              </w:rPr>
            </w:pPr>
            <w:r w:rsidRPr="00FF4BA2">
              <w:rPr>
                <w:b/>
              </w:rPr>
              <w:t>D</w:t>
            </w:r>
            <w:r w:rsidR="005509A7" w:rsidRPr="00FF4BA2">
              <w:rPr>
                <w:b/>
              </w:rPr>
              <w:t>ocuments</w:t>
            </w:r>
            <w:r w:rsidRPr="00FF4BA2">
              <w:rPr>
                <w:b/>
              </w:rPr>
              <w:t xml:space="preserve"> connexes </w:t>
            </w:r>
            <w:r w:rsidR="005509A7" w:rsidRPr="00FF4BA2">
              <w:rPr>
                <w:b/>
              </w:rPr>
              <w:t>:</w:t>
            </w:r>
            <w:r w:rsidR="005509A7" w:rsidRPr="00FF4BA2">
              <w:rPr>
                <w:b/>
              </w:rPr>
              <w:tab/>
            </w:r>
            <w:r w:rsidR="00FB32AB" w:rsidRPr="005B0DB4">
              <w:rPr>
                <w:rFonts w:eastAsia="Times New Roman"/>
                <w:lang w:eastAsia="zh-CN"/>
              </w:rPr>
              <w:t>ECE/TRANS/WP.15/AC.1/120</w:t>
            </w:r>
            <w:r w:rsidR="003A2C0E">
              <w:rPr>
                <w:rFonts w:eastAsia="Times New Roman"/>
                <w:lang w:eastAsia="zh-CN"/>
              </w:rPr>
              <w:t>, paragraphes 20 et 21</w:t>
            </w:r>
            <w:r w:rsidR="003A2C0E">
              <w:rPr>
                <w:rFonts w:eastAsia="Times New Roman"/>
                <w:lang w:eastAsia="zh-CN"/>
              </w:rPr>
              <w:br/>
              <w:t>D</w:t>
            </w:r>
            <w:r w:rsidR="00FB32AB">
              <w:rPr>
                <w:rFonts w:eastAsia="Times New Roman"/>
                <w:lang w:eastAsia="zh-CN"/>
              </w:rPr>
              <w:t xml:space="preserve">ocument informel INF.48 </w:t>
            </w:r>
            <w:r w:rsidR="003A2C0E">
              <w:rPr>
                <w:rFonts w:eastAsia="Times New Roman"/>
                <w:lang w:eastAsia="zh-CN"/>
              </w:rPr>
              <w:t>de la session d’automne 2011</w:t>
            </w:r>
            <w:r w:rsidR="003A2C0E">
              <w:rPr>
                <w:rFonts w:eastAsia="Times New Roman"/>
                <w:lang w:eastAsia="zh-CN"/>
              </w:rPr>
              <w:br/>
            </w:r>
            <w:r w:rsidR="005C058C" w:rsidRPr="005B0DB4">
              <w:rPr>
                <w:rFonts w:eastAsia="Times New Roman"/>
                <w:lang w:eastAsia="zh-CN"/>
              </w:rPr>
              <w:t>ECE/TRANS/WP.15/AC.1/12</w:t>
            </w:r>
            <w:r w:rsidR="005C058C">
              <w:rPr>
                <w:rFonts w:eastAsia="Times New Roman"/>
                <w:lang w:eastAsia="zh-CN"/>
              </w:rPr>
              <w:t>4</w:t>
            </w:r>
            <w:r w:rsidR="003A2C0E">
              <w:rPr>
                <w:rFonts w:eastAsia="Times New Roman"/>
                <w:lang w:eastAsia="zh-CN"/>
              </w:rPr>
              <w:t>, paragraphes 124 et 125</w:t>
            </w:r>
            <w:r w:rsidR="003A2C0E">
              <w:rPr>
                <w:rFonts w:eastAsia="Times New Roman"/>
                <w:lang w:eastAsia="zh-CN"/>
              </w:rPr>
              <w:br/>
              <w:t>D</w:t>
            </w:r>
            <w:r w:rsidR="005C058C">
              <w:rPr>
                <w:rFonts w:eastAsia="Times New Roman"/>
                <w:lang w:eastAsia="zh-CN"/>
              </w:rPr>
              <w:t xml:space="preserve">ocument informel INF.21 </w:t>
            </w:r>
            <w:r w:rsidR="003A2C0E">
              <w:rPr>
                <w:snapToGrid w:val="0"/>
              </w:rPr>
              <w:t>de la session d’automne 2018</w:t>
            </w:r>
            <w:r w:rsidR="003A2C0E">
              <w:rPr>
                <w:snapToGrid w:val="0"/>
              </w:rPr>
              <w:br/>
            </w:r>
            <w:r w:rsidR="005509A7" w:rsidRPr="00FF4BA2">
              <w:rPr>
                <w:snapToGrid w:val="0"/>
              </w:rPr>
              <w:t>ECE/TRANS/WP.15/AC.1/</w:t>
            </w:r>
            <w:r w:rsidR="005165CB">
              <w:rPr>
                <w:snapToGrid w:val="0"/>
              </w:rPr>
              <w:t xml:space="preserve">152, </w:t>
            </w:r>
            <w:r w:rsidR="003A2C0E">
              <w:rPr>
                <w:snapToGrid w:val="0"/>
              </w:rPr>
              <w:t>paragraphes 57 à 59</w:t>
            </w:r>
            <w:r w:rsidR="003A2C0E">
              <w:rPr>
                <w:snapToGrid w:val="0"/>
              </w:rPr>
              <w:br/>
            </w:r>
            <w:r w:rsidR="005165CB" w:rsidRPr="00FF4BA2">
              <w:rPr>
                <w:snapToGrid w:val="0"/>
              </w:rPr>
              <w:t>ECE/TRANS/WP.15/</w:t>
            </w:r>
            <w:r w:rsidR="005165CB">
              <w:rPr>
                <w:snapToGrid w:val="0"/>
              </w:rPr>
              <w:t>2021/5</w:t>
            </w:r>
            <w:r w:rsidR="003A2C0E">
              <w:rPr>
                <w:snapToGrid w:val="0"/>
              </w:rPr>
              <w:br/>
            </w:r>
            <w:r w:rsidR="005165CB" w:rsidRPr="00FF4BA2">
              <w:rPr>
                <w:snapToGrid w:val="0"/>
              </w:rPr>
              <w:t>ECE/TRANS/WP.15/</w:t>
            </w:r>
            <w:r w:rsidR="00C75F78">
              <w:rPr>
                <w:snapToGrid w:val="0"/>
              </w:rPr>
              <w:t>253</w:t>
            </w:r>
            <w:r w:rsidR="003A2C0E">
              <w:rPr>
                <w:snapToGrid w:val="0"/>
              </w:rPr>
              <w:t xml:space="preserve">, paragraphes </w:t>
            </w:r>
            <w:r w:rsidR="006710F8">
              <w:rPr>
                <w:snapToGrid w:val="0"/>
              </w:rPr>
              <w:t>36 à 39</w:t>
            </w:r>
          </w:p>
        </w:tc>
      </w:tr>
      <w:tr w:rsidR="005509A7" w:rsidRPr="005509A7" w14:paraId="3B6978C1" w14:textId="77777777" w:rsidTr="001507B1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05F" w14:textId="77777777" w:rsidR="005509A7" w:rsidRPr="00FF4BA2" w:rsidRDefault="005509A7" w:rsidP="001507B1"/>
        </w:tc>
      </w:tr>
    </w:tbl>
    <w:p w14:paraId="7ACC91E0" w14:textId="77777777" w:rsidR="00C06FF4" w:rsidRPr="00402C88" w:rsidRDefault="00C06FF4" w:rsidP="00C06FF4">
      <w:pPr>
        <w:pStyle w:val="HChG"/>
        <w:rPr>
          <w:lang w:val="fr-FR"/>
        </w:rPr>
      </w:pPr>
      <w:r w:rsidRPr="00402C88">
        <w:rPr>
          <w:lang w:val="fr-FR"/>
        </w:rPr>
        <w:tab/>
      </w:r>
      <w:r w:rsidRPr="00402C88">
        <w:rPr>
          <w:lang w:val="fr-FR"/>
        </w:rPr>
        <w:tab/>
        <w:t>Introduction</w:t>
      </w:r>
    </w:p>
    <w:p w14:paraId="250AED14" w14:textId="6C76316B" w:rsidR="00600220" w:rsidRDefault="00A41F64" w:rsidP="00600220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690A61">
        <w:rPr>
          <w:lang w:val="fr-FR"/>
        </w:rPr>
        <w:t xml:space="preserve">La Suisse </w:t>
      </w:r>
      <w:r w:rsidR="00CC25E9">
        <w:rPr>
          <w:lang w:val="fr-FR"/>
        </w:rPr>
        <w:t>souhaite</w:t>
      </w:r>
      <w:r w:rsidR="00F56FF4">
        <w:rPr>
          <w:lang w:val="fr-FR"/>
        </w:rPr>
        <w:t xml:space="preserve"> inviter</w:t>
      </w:r>
      <w:r w:rsidR="00314BD9">
        <w:rPr>
          <w:lang w:val="fr-FR"/>
        </w:rPr>
        <w:t xml:space="preserve"> </w:t>
      </w:r>
      <w:r w:rsidR="00E84B14">
        <w:rPr>
          <w:lang w:val="fr-FR"/>
        </w:rPr>
        <w:t xml:space="preserve">la Réunion commune </w:t>
      </w:r>
      <w:r w:rsidR="006710F8">
        <w:rPr>
          <w:lang w:val="fr-FR"/>
        </w:rPr>
        <w:t xml:space="preserve">RID/ADR/ADN </w:t>
      </w:r>
      <w:r w:rsidR="00F56FF4">
        <w:rPr>
          <w:lang w:val="fr-FR"/>
        </w:rPr>
        <w:t xml:space="preserve">à reprendre </w:t>
      </w:r>
      <w:r w:rsidR="008362B9">
        <w:rPr>
          <w:lang w:val="fr-FR"/>
        </w:rPr>
        <w:t>l</w:t>
      </w:r>
      <w:r w:rsidR="00B525D4">
        <w:rPr>
          <w:lang w:val="fr-FR"/>
        </w:rPr>
        <w:t xml:space="preserve">es discussions sur </w:t>
      </w:r>
      <w:r w:rsidR="008362B9">
        <w:rPr>
          <w:lang w:val="fr-FR"/>
        </w:rPr>
        <w:t xml:space="preserve">l’interprétation </w:t>
      </w:r>
      <w:r w:rsidR="00690A61">
        <w:rPr>
          <w:lang w:val="fr-FR"/>
        </w:rPr>
        <w:t xml:space="preserve">et la clarification </w:t>
      </w:r>
      <w:r w:rsidR="008362B9">
        <w:rPr>
          <w:lang w:val="fr-FR"/>
        </w:rPr>
        <w:t xml:space="preserve">du terme « autorité compétente » </w:t>
      </w:r>
      <w:r w:rsidR="00CC25E9">
        <w:rPr>
          <w:lang w:val="fr-FR"/>
        </w:rPr>
        <w:t xml:space="preserve">et à créer </w:t>
      </w:r>
      <w:r w:rsidR="00314BD9" w:rsidRPr="00600220">
        <w:rPr>
          <w:lang w:val="fr-FR"/>
        </w:rPr>
        <w:lastRenderedPageBreak/>
        <w:t>u</w:t>
      </w:r>
      <w:r w:rsidR="00E84B14" w:rsidRPr="00600220">
        <w:rPr>
          <w:lang w:val="fr-FR"/>
        </w:rPr>
        <w:t>n</w:t>
      </w:r>
      <w:r w:rsidR="00690A61" w:rsidRPr="00600220">
        <w:rPr>
          <w:lang w:val="fr-FR"/>
        </w:rPr>
        <w:t xml:space="preserve"> </w:t>
      </w:r>
      <w:r w:rsidR="008362B9" w:rsidRPr="00600220">
        <w:rPr>
          <w:lang w:val="fr-FR"/>
        </w:rPr>
        <w:t>groupe de travail informel</w:t>
      </w:r>
      <w:r w:rsidR="00D16121" w:rsidRPr="00600220">
        <w:rPr>
          <w:lang w:val="fr-FR"/>
        </w:rPr>
        <w:t xml:space="preserve"> </w:t>
      </w:r>
      <w:r w:rsidR="00CC25E9">
        <w:rPr>
          <w:lang w:val="fr-FR"/>
        </w:rPr>
        <w:t>sur la question, comme il en avait été décidé à la session d’automne 2018.</w:t>
      </w:r>
    </w:p>
    <w:p w14:paraId="05C460E7" w14:textId="1A1EEABC" w:rsidR="009B2F25" w:rsidRDefault="00600220" w:rsidP="005165CB">
      <w:pPr>
        <w:pStyle w:val="SingleTxtG"/>
        <w:rPr>
          <w:b/>
          <w:sz w:val="28"/>
          <w:lang w:val="fr-FR"/>
        </w:rPr>
      </w:pPr>
      <w:r>
        <w:rPr>
          <w:lang w:val="fr-FR"/>
        </w:rPr>
        <w:t>2.</w:t>
      </w:r>
      <w:r w:rsidR="00CC25E9">
        <w:rPr>
          <w:lang w:val="fr-FR"/>
        </w:rPr>
        <w:tab/>
        <w:t>Le présent document</w:t>
      </w:r>
      <w:r>
        <w:rPr>
          <w:lang w:val="fr-FR"/>
        </w:rPr>
        <w:t xml:space="preserve"> résume les </w:t>
      </w:r>
      <w:r w:rsidR="00A54265">
        <w:rPr>
          <w:lang w:val="fr-FR"/>
        </w:rPr>
        <w:t xml:space="preserve">travaux entrepris au sein de la Réunion commune et du </w:t>
      </w:r>
      <w:r w:rsidR="00387A89">
        <w:rPr>
          <w:lang w:val="fr-FR"/>
        </w:rPr>
        <w:t>Groupe de travail des transports de marchandises dangereuses (WP.15)</w:t>
      </w:r>
      <w:r w:rsidR="00A54265">
        <w:rPr>
          <w:lang w:val="fr-FR"/>
        </w:rPr>
        <w:t xml:space="preserve">. </w:t>
      </w:r>
      <w:r w:rsidR="00CC25E9">
        <w:rPr>
          <w:lang w:val="fr-FR"/>
        </w:rPr>
        <w:t xml:space="preserve">Il </w:t>
      </w:r>
      <w:r w:rsidR="00C13EB8">
        <w:rPr>
          <w:lang w:val="fr-FR"/>
        </w:rPr>
        <w:t>propose un projet de mandat pour un</w:t>
      </w:r>
      <w:r w:rsidR="00387A89">
        <w:rPr>
          <w:lang w:val="fr-FR"/>
        </w:rPr>
        <w:t xml:space="preserve"> groupe de travail informel et</w:t>
      </w:r>
      <w:r w:rsidR="00C13EB8" w:rsidRPr="00C13EB8">
        <w:rPr>
          <w:lang w:val="fr-FR"/>
        </w:rPr>
        <w:t xml:space="preserve"> </w:t>
      </w:r>
      <w:r w:rsidR="00C13EB8">
        <w:rPr>
          <w:lang w:val="fr-FR"/>
        </w:rPr>
        <w:t>émet des suggestions sur la conduite de ce groupe.</w:t>
      </w:r>
    </w:p>
    <w:p w14:paraId="1BD26794" w14:textId="14DE620E" w:rsidR="00A54265" w:rsidRPr="00006D8D" w:rsidRDefault="00A54265" w:rsidP="00A5426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001C8E">
        <w:rPr>
          <w:lang w:val="fr-FR"/>
        </w:rPr>
        <w:t>Travaux</w:t>
      </w:r>
      <w:r>
        <w:rPr>
          <w:lang w:val="fr-FR"/>
        </w:rPr>
        <w:t xml:space="preserve"> de la Réunion commune</w:t>
      </w:r>
    </w:p>
    <w:p w14:paraId="6EED58D3" w14:textId="69C092D0" w:rsidR="009B2F25" w:rsidRDefault="00EE5C14" w:rsidP="009B2F25">
      <w:pPr>
        <w:pStyle w:val="SingleTxtG"/>
        <w:rPr>
          <w:lang w:val="fr-FR"/>
        </w:rPr>
      </w:pPr>
      <w:r w:rsidRPr="009B2F25">
        <w:rPr>
          <w:lang w:val="fr-FR"/>
        </w:rPr>
        <w:t>3</w:t>
      </w:r>
      <w:r w:rsidR="00A41F64" w:rsidRPr="009B2F25">
        <w:rPr>
          <w:lang w:val="fr-FR"/>
        </w:rPr>
        <w:t>.</w:t>
      </w:r>
      <w:r w:rsidR="00A41F64" w:rsidRPr="009B2F25">
        <w:rPr>
          <w:lang w:val="fr-FR"/>
        </w:rPr>
        <w:tab/>
      </w:r>
      <w:r w:rsidR="001D4C28">
        <w:rPr>
          <w:lang w:val="fr-FR"/>
        </w:rPr>
        <w:t xml:space="preserve">En 2010, la Réunion commune a été confrontée à </w:t>
      </w:r>
      <w:r w:rsidR="009B2F25" w:rsidRPr="009B2F25">
        <w:rPr>
          <w:lang w:val="fr-FR"/>
        </w:rPr>
        <w:t xml:space="preserve">une question concernant </w:t>
      </w:r>
      <w:r w:rsidR="006710F8">
        <w:rPr>
          <w:lang w:val="fr-FR"/>
        </w:rPr>
        <w:t>la compétence des autorités de pays non parties au RID/ADR/ADN dans l’approbation de matériel de transport</w:t>
      </w:r>
      <w:r w:rsidR="001D4C28">
        <w:rPr>
          <w:lang w:val="fr-FR"/>
        </w:rPr>
        <w:t>. Pour y donner suite, elle avait chargé</w:t>
      </w:r>
      <w:r w:rsidR="009B2F25" w:rsidRPr="009B2F25">
        <w:rPr>
          <w:lang w:val="fr-FR"/>
        </w:rPr>
        <w:t xml:space="preserve"> le secrétariat de la </w:t>
      </w:r>
      <w:r w:rsidR="00595582" w:rsidRPr="00595582">
        <w:rPr>
          <w:lang w:val="fr-FR"/>
        </w:rPr>
        <w:t>Commission économique pour l’Europe</w:t>
      </w:r>
      <w:r w:rsidR="009B2F25" w:rsidRPr="009B2F25">
        <w:rPr>
          <w:lang w:val="fr-FR"/>
        </w:rPr>
        <w:t xml:space="preserve"> d’établir u</w:t>
      </w:r>
      <w:r w:rsidR="009B2F25">
        <w:rPr>
          <w:lang w:val="fr-FR"/>
        </w:rPr>
        <w:t xml:space="preserve">ne liste de toutes les références faites à </w:t>
      </w:r>
      <w:r w:rsidR="00001C8E">
        <w:rPr>
          <w:lang w:val="fr-FR"/>
        </w:rPr>
        <w:t>l’« </w:t>
      </w:r>
      <w:r w:rsidR="009B2F25">
        <w:rPr>
          <w:lang w:val="fr-FR"/>
        </w:rPr>
        <w:t>autorité compétente</w:t>
      </w:r>
      <w:r w:rsidR="00001C8E">
        <w:rPr>
          <w:lang w:val="fr-FR"/>
        </w:rPr>
        <w:t> »</w:t>
      </w:r>
      <w:r w:rsidR="009B2F25">
        <w:rPr>
          <w:lang w:val="fr-FR"/>
        </w:rPr>
        <w:t xml:space="preserve"> dans l’ADR</w:t>
      </w:r>
      <w:r w:rsidR="00FB32AB">
        <w:rPr>
          <w:lang w:val="fr-FR"/>
        </w:rPr>
        <w:t xml:space="preserve">. Cette liste devait </w:t>
      </w:r>
      <w:r w:rsidR="001D4C28">
        <w:rPr>
          <w:lang w:val="fr-FR"/>
        </w:rPr>
        <w:t xml:space="preserve">lui </w:t>
      </w:r>
      <w:r w:rsidR="00FB32AB">
        <w:rPr>
          <w:lang w:val="fr-FR"/>
        </w:rPr>
        <w:t xml:space="preserve">permettre </w:t>
      </w:r>
      <w:r w:rsidR="00FB32AB">
        <w:rPr>
          <w:rFonts w:eastAsia="Times New Roman"/>
          <w:lang w:eastAsia="zh-CN"/>
        </w:rPr>
        <w:t>de clarifier sans ambiguïté quelles autorités compétentes étaient visées dans les divers cas qui pouvaient porter à interprétation (</w:t>
      </w:r>
      <w:r w:rsidR="00FB32AB" w:rsidRPr="005B0DB4">
        <w:rPr>
          <w:rFonts w:eastAsia="Times New Roman"/>
          <w:lang w:eastAsia="zh-CN"/>
        </w:rPr>
        <w:t>ECE/TRANS/WP.15/AC.1/120</w:t>
      </w:r>
      <w:r w:rsidR="00E71AC4">
        <w:rPr>
          <w:rFonts w:eastAsia="Times New Roman"/>
          <w:lang w:eastAsia="zh-CN"/>
        </w:rPr>
        <w:t>,</w:t>
      </w:r>
      <w:r w:rsidR="00E71AC4" w:rsidRPr="00E71AC4">
        <w:rPr>
          <w:rFonts w:eastAsia="Times New Roman"/>
          <w:lang w:eastAsia="zh-CN"/>
        </w:rPr>
        <w:t xml:space="preserve"> </w:t>
      </w:r>
      <w:r w:rsidR="00E71AC4" w:rsidRPr="00C84BF3">
        <w:rPr>
          <w:rFonts w:eastAsia="Times New Roman"/>
          <w:lang w:eastAsia="zh-CN"/>
        </w:rPr>
        <w:t>para</w:t>
      </w:r>
      <w:r w:rsidR="00C84BF3" w:rsidRPr="00C84BF3">
        <w:rPr>
          <w:rFonts w:eastAsia="Times New Roman"/>
          <w:lang w:eastAsia="zh-CN"/>
        </w:rPr>
        <w:t>graphes</w:t>
      </w:r>
      <w:r w:rsidR="00E71AC4" w:rsidRPr="00C84BF3">
        <w:rPr>
          <w:rFonts w:eastAsia="Times New Roman"/>
          <w:lang w:eastAsia="zh-CN"/>
        </w:rPr>
        <w:t xml:space="preserve"> 20 et 21</w:t>
      </w:r>
      <w:r w:rsidR="00FB32AB" w:rsidRPr="00C84BF3">
        <w:rPr>
          <w:rFonts w:eastAsia="Times New Roman"/>
          <w:lang w:eastAsia="zh-CN"/>
        </w:rPr>
        <w:t>).</w:t>
      </w:r>
    </w:p>
    <w:p w14:paraId="2B407783" w14:textId="76B84EEA" w:rsidR="009B2F25" w:rsidRPr="00FB32AB" w:rsidRDefault="009B2F25" w:rsidP="009B2F25">
      <w:pPr>
        <w:pStyle w:val="SingleTxtG"/>
      </w:pPr>
      <w:r>
        <w:rPr>
          <w:lang w:val="fr-FR"/>
        </w:rPr>
        <w:t xml:space="preserve">4. </w:t>
      </w:r>
      <w:r>
        <w:rPr>
          <w:lang w:val="fr-FR"/>
        </w:rPr>
        <w:tab/>
      </w:r>
      <w:r w:rsidRPr="00FB32AB">
        <w:t xml:space="preserve">Le </w:t>
      </w:r>
      <w:r w:rsidR="00FB32AB" w:rsidRPr="00FB32AB">
        <w:t>secrétariat</w:t>
      </w:r>
      <w:r w:rsidRPr="00FB32AB">
        <w:t xml:space="preserve"> a </w:t>
      </w:r>
      <w:r w:rsidR="00FB32AB">
        <w:rPr>
          <w:lang w:val="fr-FR"/>
        </w:rPr>
        <w:t xml:space="preserve">publié dans le </w:t>
      </w:r>
      <w:r w:rsidR="00FB32AB" w:rsidRPr="00FB32AB">
        <w:t xml:space="preserve">document </w:t>
      </w:r>
      <w:r w:rsidR="00FB32AB">
        <w:t xml:space="preserve">informel </w:t>
      </w:r>
      <w:r w:rsidR="00FB32AB" w:rsidRPr="00FB32AB">
        <w:t>INF.48</w:t>
      </w:r>
      <w:r w:rsidR="00FB32AB">
        <w:t xml:space="preserve"> de la session d’automne 2011 </w:t>
      </w:r>
      <w:r w:rsidR="00913DFC">
        <w:t>la</w:t>
      </w:r>
      <w:r w:rsidR="00FB32AB">
        <w:t xml:space="preserve"> liste des références pour les parties 1 à 3 de l’ADR, puis dans le document informel INF.21 de la session d’automne 2018 la liste des références pour les parties 1 à 7 de l’ADR. </w:t>
      </w:r>
    </w:p>
    <w:p w14:paraId="7C833409" w14:textId="33B87A71" w:rsidR="005C058C" w:rsidRDefault="00FB32AB" w:rsidP="00DB00CB">
      <w:pPr>
        <w:pStyle w:val="SingleTxtG"/>
        <w:rPr>
          <w:rFonts w:eastAsia="Times New Roman"/>
          <w:lang w:eastAsia="zh-CN"/>
        </w:rPr>
      </w:pPr>
      <w:r>
        <w:rPr>
          <w:lang w:val="fr-FR"/>
        </w:rPr>
        <w:t>5.</w:t>
      </w:r>
      <w:r w:rsidR="00AE6EAD">
        <w:rPr>
          <w:lang w:val="fr-FR"/>
        </w:rPr>
        <w:tab/>
      </w:r>
      <w:r w:rsidR="005C058C">
        <w:rPr>
          <w:lang w:val="fr-FR"/>
        </w:rPr>
        <w:t>Conformément à la demande de la Réunion commune, l</w:t>
      </w:r>
      <w:r w:rsidR="00001C8E" w:rsidRPr="00001C8E">
        <w:rPr>
          <w:lang w:val="fr-FR"/>
        </w:rPr>
        <w:t xml:space="preserve">e </w:t>
      </w:r>
      <w:r w:rsidR="00E84B14" w:rsidRPr="00001C8E">
        <w:rPr>
          <w:lang w:val="fr-FR"/>
        </w:rPr>
        <w:t xml:space="preserve">document </w:t>
      </w:r>
      <w:r w:rsidR="00006D8D" w:rsidRPr="00001C8E">
        <w:rPr>
          <w:lang w:val="fr-FR"/>
        </w:rPr>
        <w:t xml:space="preserve">informel </w:t>
      </w:r>
      <w:r w:rsidR="00E84B14" w:rsidRPr="00001C8E">
        <w:rPr>
          <w:lang w:val="fr-FR"/>
        </w:rPr>
        <w:t xml:space="preserve">INF.21 </w:t>
      </w:r>
      <w:r w:rsidR="005C058C">
        <w:rPr>
          <w:lang w:val="fr-FR"/>
        </w:rPr>
        <w:t>fait</w:t>
      </w:r>
      <w:r w:rsidR="00F56FF4" w:rsidRPr="00001C8E">
        <w:rPr>
          <w:lang w:val="fr-FR"/>
        </w:rPr>
        <w:t xml:space="preserve"> </w:t>
      </w:r>
      <w:r w:rsidR="005C058C">
        <w:rPr>
          <w:lang w:val="fr-FR"/>
        </w:rPr>
        <w:t xml:space="preserve">également </w:t>
      </w:r>
      <w:r w:rsidR="00F56FF4" w:rsidRPr="00001C8E">
        <w:rPr>
          <w:lang w:val="fr-FR"/>
        </w:rPr>
        <w:t>part de plusieurs considérations</w:t>
      </w:r>
      <w:r w:rsidR="00001C8E">
        <w:rPr>
          <w:lang w:val="fr-FR"/>
        </w:rPr>
        <w:t xml:space="preserve"> quant </w:t>
      </w:r>
      <w:r w:rsidR="005C058C">
        <w:rPr>
          <w:lang w:val="fr-FR"/>
        </w:rPr>
        <w:t>au concept d’</w:t>
      </w:r>
      <w:r w:rsidR="00B05E31">
        <w:rPr>
          <w:lang w:val="fr-FR"/>
        </w:rPr>
        <w:t>autorité compétente</w:t>
      </w:r>
      <w:r w:rsidR="005C058C">
        <w:rPr>
          <w:lang w:val="fr-FR"/>
        </w:rPr>
        <w:t xml:space="preserve">. </w:t>
      </w:r>
      <w:r w:rsidR="005C058C">
        <w:rPr>
          <w:rFonts w:eastAsia="Times New Roman"/>
          <w:lang w:eastAsia="zh-CN"/>
        </w:rPr>
        <w:t>En outre, l</w:t>
      </w:r>
      <w:r w:rsidR="005C058C" w:rsidRPr="00001C8E">
        <w:rPr>
          <w:lang w:val="fr-FR"/>
        </w:rPr>
        <w:t xml:space="preserve">a liste </w:t>
      </w:r>
      <w:r w:rsidR="00EA73F6">
        <w:rPr>
          <w:lang w:val="fr-FR"/>
        </w:rPr>
        <w:t>des références propose une clarification du terme à chaque fois que cela est nécessaire</w:t>
      </w:r>
      <w:r w:rsidR="005C058C">
        <w:rPr>
          <w:rFonts w:eastAsia="Times New Roman"/>
          <w:lang w:eastAsia="zh-CN"/>
        </w:rPr>
        <w:t xml:space="preserve"> (</w:t>
      </w:r>
      <w:r w:rsidR="005C058C" w:rsidRPr="005B0DB4">
        <w:rPr>
          <w:rFonts w:eastAsia="Times New Roman"/>
          <w:lang w:eastAsia="zh-CN"/>
        </w:rPr>
        <w:t>ECE/TRANS/WP.15/AC.1/12</w:t>
      </w:r>
      <w:r w:rsidR="005C058C">
        <w:rPr>
          <w:rFonts w:eastAsia="Times New Roman"/>
          <w:lang w:eastAsia="zh-CN"/>
        </w:rPr>
        <w:t>4</w:t>
      </w:r>
      <w:r w:rsidR="00E71AC4">
        <w:rPr>
          <w:rFonts w:eastAsia="Times New Roman"/>
          <w:lang w:eastAsia="zh-CN"/>
        </w:rPr>
        <w:t>,</w:t>
      </w:r>
      <w:r w:rsidR="00E71AC4" w:rsidRPr="00E71AC4">
        <w:rPr>
          <w:rFonts w:eastAsia="Times New Roman"/>
          <w:lang w:eastAsia="zh-CN"/>
        </w:rPr>
        <w:t xml:space="preserve"> </w:t>
      </w:r>
      <w:r w:rsidR="00E71AC4">
        <w:rPr>
          <w:rFonts w:eastAsia="Times New Roman"/>
          <w:lang w:eastAsia="zh-CN"/>
        </w:rPr>
        <w:t>para</w:t>
      </w:r>
      <w:r w:rsidR="00C84BF3">
        <w:rPr>
          <w:rFonts w:eastAsia="Times New Roman"/>
          <w:lang w:eastAsia="zh-CN"/>
        </w:rPr>
        <w:t>graphe</w:t>
      </w:r>
      <w:r w:rsidR="00E71AC4">
        <w:rPr>
          <w:rFonts w:eastAsia="Times New Roman"/>
          <w:lang w:eastAsia="zh-CN"/>
        </w:rPr>
        <w:t>s 124 et 125</w:t>
      </w:r>
      <w:r w:rsidR="00913DFC">
        <w:rPr>
          <w:rFonts w:eastAsia="Times New Roman"/>
          <w:lang w:eastAsia="zh-CN"/>
        </w:rPr>
        <w:t>).</w:t>
      </w:r>
    </w:p>
    <w:p w14:paraId="658EAF0D" w14:textId="73DD562C" w:rsidR="00DF1250" w:rsidRPr="00FB32AB" w:rsidRDefault="00001C8E" w:rsidP="00DF1250">
      <w:pPr>
        <w:pStyle w:val="SingleTxtG"/>
        <w:rPr>
          <w:rFonts w:eastAsia="Times New Roman"/>
          <w:lang w:eastAsia="zh-CN"/>
        </w:rPr>
      </w:pPr>
      <w:r>
        <w:rPr>
          <w:lang w:val="fr-FR"/>
        </w:rPr>
        <w:t>6</w:t>
      </w:r>
      <w:r w:rsidR="00A41F64">
        <w:rPr>
          <w:lang w:val="fr-FR"/>
        </w:rPr>
        <w:t>.</w:t>
      </w:r>
      <w:r w:rsidR="00A41F64">
        <w:rPr>
          <w:lang w:val="fr-FR"/>
        </w:rPr>
        <w:tab/>
      </w:r>
      <w:r w:rsidR="0094753D">
        <w:rPr>
          <w:lang w:val="fr-FR"/>
        </w:rPr>
        <w:t xml:space="preserve">Reconnaissant qu’il serait difficile d’examiner </w:t>
      </w:r>
      <w:r w:rsidR="0094753D" w:rsidRPr="00006D8D">
        <w:rPr>
          <w:lang w:val="fr-FR"/>
        </w:rPr>
        <w:t xml:space="preserve">toutes les questions soulevées </w:t>
      </w:r>
      <w:r w:rsidR="0094753D">
        <w:rPr>
          <w:lang w:val="fr-FR"/>
        </w:rPr>
        <w:t>en séance plénière</w:t>
      </w:r>
      <w:r w:rsidR="00DB00CB">
        <w:rPr>
          <w:lang w:val="fr-FR"/>
        </w:rPr>
        <w:t xml:space="preserve">, </w:t>
      </w:r>
      <w:r w:rsidR="00006D8D" w:rsidRPr="00006D8D">
        <w:rPr>
          <w:lang w:val="fr-FR"/>
        </w:rPr>
        <w:t xml:space="preserve">la Réunion commune a décidé </w:t>
      </w:r>
      <w:r w:rsidR="0094753D">
        <w:rPr>
          <w:lang w:val="fr-FR"/>
        </w:rPr>
        <w:t xml:space="preserve">en septembre 2018 </w:t>
      </w:r>
      <w:r w:rsidR="00006D8D" w:rsidRPr="00006D8D">
        <w:rPr>
          <w:lang w:val="fr-FR"/>
        </w:rPr>
        <w:t xml:space="preserve">de confier leur examen à un groupe de travail informel </w:t>
      </w:r>
      <w:r w:rsidR="00006D8D">
        <w:rPr>
          <w:lang w:val="fr-FR"/>
        </w:rPr>
        <w:t xml:space="preserve">et </w:t>
      </w:r>
      <w:r w:rsidR="00006D8D" w:rsidRPr="00006D8D">
        <w:rPr>
          <w:lang w:val="fr-FR"/>
        </w:rPr>
        <w:t>invité les délégations intéressées à soumettre</w:t>
      </w:r>
      <w:r w:rsidR="00006D8D">
        <w:rPr>
          <w:lang w:val="fr-FR"/>
        </w:rPr>
        <w:t xml:space="preserve"> </w:t>
      </w:r>
      <w:r w:rsidR="00006D8D" w:rsidRPr="00006D8D">
        <w:rPr>
          <w:lang w:val="fr-FR"/>
        </w:rPr>
        <w:t xml:space="preserve">une proposition de mandat pour </w:t>
      </w:r>
      <w:r w:rsidR="0094753D">
        <w:rPr>
          <w:lang w:val="fr-FR"/>
        </w:rPr>
        <w:t>c</w:t>
      </w:r>
      <w:r w:rsidR="00006D8D" w:rsidRPr="00006D8D">
        <w:rPr>
          <w:lang w:val="fr-FR"/>
        </w:rPr>
        <w:t>e groupe.</w:t>
      </w:r>
      <w:r w:rsidR="00BC259C">
        <w:rPr>
          <w:lang w:val="fr-FR"/>
        </w:rPr>
        <w:t xml:space="preserve"> </w:t>
      </w:r>
      <w:r w:rsidR="00FB32AB" w:rsidRPr="00006D8D">
        <w:rPr>
          <w:lang w:val="fr-FR"/>
        </w:rPr>
        <w:t xml:space="preserve">Il a été proposé </w:t>
      </w:r>
      <w:r w:rsidR="00BC259C">
        <w:rPr>
          <w:lang w:val="fr-FR"/>
        </w:rPr>
        <w:t xml:space="preserve">de prendre également en compte </w:t>
      </w:r>
      <w:r w:rsidR="00FB32AB" w:rsidRPr="00006D8D">
        <w:rPr>
          <w:lang w:val="fr-FR"/>
        </w:rPr>
        <w:t xml:space="preserve">les résultats des discussions </w:t>
      </w:r>
      <w:r w:rsidR="003C50E1" w:rsidRPr="00C84BF3">
        <w:rPr>
          <w:lang w:val="fr-FR"/>
        </w:rPr>
        <w:t xml:space="preserve">pertinentes </w:t>
      </w:r>
      <w:r w:rsidR="00FB32AB" w:rsidRPr="00C84BF3">
        <w:rPr>
          <w:lang w:val="fr-FR"/>
        </w:rPr>
        <w:t xml:space="preserve">du </w:t>
      </w:r>
      <w:r w:rsidR="00C84BF3" w:rsidRPr="00C84BF3">
        <w:rPr>
          <w:lang w:val="fr-FR"/>
        </w:rPr>
        <w:t>g</w:t>
      </w:r>
      <w:r w:rsidR="00FB32AB" w:rsidRPr="00C84BF3">
        <w:rPr>
          <w:lang w:val="fr-FR"/>
        </w:rPr>
        <w:t xml:space="preserve">roupe de travail informel </w:t>
      </w:r>
      <w:r w:rsidR="00C84BF3" w:rsidRPr="00C84BF3">
        <w:rPr>
          <w:lang w:val="fr-FR"/>
        </w:rPr>
        <w:t>du</w:t>
      </w:r>
      <w:r w:rsidR="00FB32AB" w:rsidRPr="00C84BF3">
        <w:rPr>
          <w:lang w:val="fr-FR"/>
        </w:rPr>
        <w:t xml:space="preserve"> contrôle et </w:t>
      </w:r>
      <w:r w:rsidR="00C84BF3" w:rsidRPr="00C84BF3">
        <w:rPr>
          <w:lang w:val="fr-FR"/>
        </w:rPr>
        <w:t>de l’agrément</w:t>
      </w:r>
      <w:r w:rsidR="00FB32AB" w:rsidRPr="00C84BF3">
        <w:rPr>
          <w:lang w:val="fr-FR"/>
        </w:rPr>
        <w:t xml:space="preserve"> des citernes, en ce qui concerne les références à l’autorité compétente</w:t>
      </w:r>
      <w:r w:rsidR="00BC259C" w:rsidRPr="00C84BF3">
        <w:rPr>
          <w:lang w:val="fr-FR"/>
        </w:rPr>
        <w:t xml:space="preserve"> </w:t>
      </w:r>
      <w:r w:rsidR="0081108B" w:rsidRPr="00C84BF3">
        <w:rPr>
          <w:lang w:val="fr-FR"/>
        </w:rPr>
        <w:t>(</w:t>
      </w:r>
      <w:r w:rsidR="0081108B" w:rsidRPr="00C84BF3">
        <w:rPr>
          <w:rFonts w:eastAsia="Times New Roman"/>
          <w:lang w:eastAsia="zh-CN"/>
        </w:rPr>
        <w:t>ECE/TRANS/WP</w:t>
      </w:r>
      <w:r w:rsidR="0081108B" w:rsidRPr="00EA73F6">
        <w:rPr>
          <w:rFonts w:eastAsia="Times New Roman"/>
          <w:lang w:eastAsia="zh-CN"/>
        </w:rPr>
        <w:t>.15/AC.1/</w:t>
      </w:r>
      <w:r w:rsidR="00EA73F6" w:rsidRPr="00EA73F6">
        <w:rPr>
          <w:rFonts w:eastAsia="Times New Roman"/>
          <w:lang w:eastAsia="zh-CN"/>
        </w:rPr>
        <w:t>152</w:t>
      </w:r>
      <w:r w:rsidR="0081108B" w:rsidRPr="00EA73F6">
        <w:rPr>
          <w:rFonts w:eastAsia="Times New Roman"/>
          <w:lang w:eastAsia="zh-CN"/>
        </w:rPr>
        <w:t>, para</w:t>
      </w:r>
      <w:r w:rsidR="00C84BF3">
        <w:rPr>
          <w:rFonts w:eastAsia="Times New Roman"/>
          <w:lang w:eastAsia="zh-CN"/>
        </w:rPr>
        <w:t>graphe</w:t>
      </w:r>
      <w:r w:rsidR="0081108B" w:rsidRPr="00EA73F6">
        <w:rPr>
          <w:rFonts w:eastAsia="Times New Roman"/>
          <w:lang w:eastAsia="zh-CN"/>
        </w:rPr>
        <w:t xml:space="preserve">s </w:t>
      </w:r>
      <w:r w:rsidR="00EA73F6" w:rsidRPr="00EA73F6">
        <w:rPr>
          <w:rFonts w:eastAsia="Times New Roman"/>
          <w:lang w:eastAsia="zh-CN"/>
        </w:rPr>
        <w:t>57 à 59</w:t>
      </w:r>
      <w:r w:rsidR="0081108B" w:rsidRPr="00EA73F6">
        <w:rPr>
          <w:rFonts w:eastAsia="Times New Roman"/>
          <w:lang w:eastAsia="zh-CN"/>
        </w:rPr>
        <w:t>)</w:t>
      </w:r>
      <w:r w:rsidR="00BC259C" w:rsidRPr="00EA73F6">
        <w:rPr>
          <w:rFonts w:eastAsia="Times New Roman"/>
          <w:lang w:eastAsia="zh-CN"/>
        </w:rPr>
        <w:t>.</w:t>
      </w:r>
    </w:p>
    <w:p w14:paraId="1236BCF4" w14:textId="4A737E7C" w:rsidR="00F56FF4" w:rsidRPr="00006D8D" w:rsidRDefault="00F56FF4" w:rsidP="00F56FF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54265">
        <w:rPr>
          <w:lang w:val="fr-FR"/>
        </w:rPr>
        <w:t>Travaux du</w:t>
      </w:r>
      <w:r>
        <w:rPr>
          <w:lang w:val="fr-FR"/>
        </w:rPr>
        <w:t xml:space="preserve"> Groupe de travail des transports de marchandises dangereuses</w:t>
      </w:r>
    </w:p>
    <w:p w14:paraId="7B984C7F" w14:textId="0D3FCDF3" w:rsidR="004A189D" w:rsidRDefault="003C50E1" w:rsidP="00DA5119">
      <w:pPr>
        <w:pStyle w:val="SingleTxtG"/>
        <w:rPr>
          <w:lang w:val="fr-FR"/>
        </w:rPr>
      </w:pPr>
      <w:r>
        <w:rPr>
          <w:lang w:val="fr-FR"/>
        </w:rPr>
        <w:t>7</w:t>
      </w:r>
      <w:r w:rsidR="00A41F64">
        <w:rPr>
          <w:lang w:val="fr-FR"/>
        </w:rPr>
        <w:t>.</w:t>
      </w:r>
      <w:r w:rsidR="00A41F64">
        <w:rPr>
          <w:lang w:val="fr-FR"/>
        </w:rPr>
        <w:tab/>
      </w:r>
      <w:r w:rsidR="007B00AA">
        <w:rPr>
          <w:lang w:val="fr-FR"/>
        </w:rPr>
        <w:t>Le</w:t>
      </w:r>
      <w:r w:rsidR="00B55011">
        <w:rPr>
          <w:lang w:val="fr-FR"/>
        </w:rPr>
        <w:t xml:space="preserve"> Groupe de travail des transports de marchandises dangereuses (WP.15) a </w:t>
      </w:r>
      <w:r w:rsidR="008A7FA9">
        <w:rPr>
          <w:lang w:val="fr-FR"/>
        </w:rPr>
        <w:t xml:space="preserve">poursuivi les discussions </w:t>
      </w:r>
      <w:r w:rsidR="007B00AA">
        <w:rPr>
          <w:lang w:val="fr-FR"/>
        </w:rPr>
        <w:t>et examiné</w:t>
      </w:r>
      <w:r w:rsidR="00B55011">
        <w:rPr>
          <w:lang w:val="fr-FR"/>
        </w:rPr>
        <w:t xml:space="preserve"> les références faites dans les parties 8 et 9 de l’ADR.</w:t>
      </w:r>
    </w:p>
    <w:p w14:paraId="660B2C67" w14:textId="37E6CCBE" w:rsidR="00382DAC" w:rsidRDefault="004A189D" w:rsidP="00DA5119">
      <w:pPr>
        <w:pStyle w:val="SingleTxtG"/>
        <w:rPr>
          <w:lang w:val="fr-FR"/>
        </w:rPr>
      </w:pPr>
      <w:r>
        <w:rPr>
          <w:lang w:val="fr-FR"/>
        </w:rPr>
        <w:t xml:space="preserve">8. </w:t>
      </w:r>
      <w:r>
        <w:rPr>
          <w:lang w:val="fr-FR"/>
        </w:rPr>
        <w:tab/>
      </w:r>
      <w:r w:rsidR="00C84BF3">
        <w:rPr>
          <w:lang w:val="fr-FR"/>
        </w:rPr>
        <w:t>À sa session de mai 2021, i</w:t>
      </w:r>
      <w:r w:rsidR="007B00AA">
        <w:rPr>
          <w:lang w:val="fr-FR"/>
        </w:rPr>
        <w:t>l</w:t>
      </w:r>
      <w:r w:rsidR="00A41F64">
        <w:rPr>
          <w:lang w:val="fr-FR"/>
        </w:rPr>
        <w:t xml:space="preserve"> a établi que certaines références à l’autorité compétente étaient claires et ne posaient pas de problème d’interprétation</w:t>
      </w:r>
      <w:r w:rsidR="003C50E1">
        <w:rPr>
          <w:lang w:val="fr-FR"/>
        </w:rPr>
        <w:t xml:space="preserve">. Dans ce cas, </w:t>
      </w:r>
      <w:r w:rsidR="008A7FA9">
        <w:rPr>
          <w:lang w:val="fr-FR"/>
        </w:rPr>
        <w:t xml:space="preserve">le texte </w:t>
      </w:r>
      <w:r w:rsidR="001D24B3">
        <w:rPr>
          <w:lang w:val="fr-FR"/>
        </w:rPr>
        <w:t xml:space="preserve">de l’ADR </w:t>
      </w:r>
      <w:r w:rsidR="008A7FA9">
        <w:rPr>
          <w:lang w:val="fr-FR"/>
        </w:rPr>
        <w:t>ne devait pas être modifié.</w:t>
      </w:r>
      <w:r w:rsidR="00382DAC">
        <w:rPr>
          <w:lang w:val="fr-FR"/>
        </w:rPr>
        <w:t xml:space="preserve"> </w:t>
      </w:r>
      <w:r w:rsidR="00A41F64">
        <w:rPr>
          <w:lang w:val="fr-FR"/>
        </w:rPr>
        <w:t xml:space="preserve">Par contre, d’autres références </w:t>
      </w:r>
      <w:r>
        <w:rPr>
          <w:lang w:val="fr-FR"/>
        </w:rPr>
        <w:t xml:space="preserve">pouvaient conduire à des </w:t>
      </w:r>
      <w:r w:rsidR="001D24B3">
        <w:rPr>
          <w:lang w:val="fr-FR"/>
        </w:rPr>
        <w:t>lectures</w:t>
      </w:r>
      <w:r>
        <w:rPr>
          <w:lang w:val="fr-FR"/>
        </w:rPr>
        <w:t xml:space="preserve"> différentes et </w:t>
      </w:r>
      <w:r w:rsidR="008A7FA9">
        <w:rPr>
          <w:lang w:val="fr-FR"/>
        </w:rPr>
        <w:t>nécessitaient</w:t>
      </w:r>
      <w:r w:rsidR="00A41F64">
        <w:rPr>
          <w:lang w:val="fr-FR"/>
        </w:rPr>
        <w:t xml:space="preserve"> </w:t>
      </w:r>
      <w:r w:rsidR="00DA5119">
        <w:rPr>
          <w:lang w:val="fr-FR"/>
        </w:rPr>
        <w:t>d’être clarifié</w:t>
      </w:r>
      <w:r>
        <w:rPr>
          <w:lang w:val="fr-FR"/>
        </w:rPr>
        <w:t>e</w:t>
      </w:r>
      <w:r w:rsidR="00DA5119">
        <w:rPr>
          <w:lang w:val="fr-FR"/>
        </w:rPr>
        <w:t>s</w:t>
      </w:r>
      <w:r w:rsidR="00C84BF3">
        <w:rPr>
          <w:lang w:val="fr-FR"/>
        </w:rPr>
        <w:t xml:space="preserve">, </w:t>
      </w:r>
      <w:r w:rsidR="008A7FA9">
        <w:rPr>
          <w:lang w:val="fr-FR"/>
        </w:rPr>
        <w:t xml:space="preserve">sans toutefois nécessiter une modification du texte de l’ADR </w:t>
      </w:r>
      <w:r w:rsidR="00382DAC">
        <w:rPr>
          <w:lang w:val="fr-FR"/>
        </w:rPr>
        <w:t>(ECE/TRANS/WP.15/253, paragraphes 36 à 39).</w:t>
      </w:r>
    </w:p>
    <w:p w14:paraId="23941B9A" w14:textId="284CEC21" w:rsidR="00DB00CB" w:rsidRDefault="00382DAC" w:rsidP="00DA5119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="001D24B3">
        <w:rPr>
          <w:lang w:val="fr-FR"/>
        </w:rPr>
        <w:t xml:space="preserve">Le WP.15 a procédé à l’interprétation de ces références et </w:t>
      </w:r>
      <w:r w:rsidR="00065024">
        <w:rPr>
          <w:lang w:val="fr-FR"/>
        </w:rPr>
        <w:t xml:space="preserve">le secrétariat </w:t>
      </w:r>
      <w:r w:rsidR="001D24B3">
        <w:rPr>
          <w:lang w:val="fr-FR"/>
        </w:rPr>
        <w:t>les a</w:t>
      </w:r>
      <w:r w:rsidR="008A7FA9">
        <w:rPr>
          <w:lang w:val="fr-FR"/>
        </w:rPr>
        <w:t xml:space="preserve"> publiées </w:t>
      </w:r>
      <w:r w:rsidR="00B55011">
        <w:rPr>
          <w:lang w:val="fr-FR"/>
        </w:rPr>
        <w:t>sur l</w:t>
      </w:r>
      <w:r w:rsidR="00EC44DC">
        <w:rPr>
          <w:lang w:val="fr-FR"/>
        </w:rPr>
        <w:t xml:space="preserve">a page </w:t>
      </w:r>
      <w:r w:rsidR="00B55011">
        <w:rPr>
          <w:lang w:val="fr-FR"/>
        </w:rPr>
        <w:t xml:space="preserve">de la </w:t>
      </w:r>
      <w:r w:rsidR="00595582" w:rsidRPr="00595582">
        <w:rPr>
          <w:lang w:val="fr-FR"/>
        </w:rPr>
        <w:t>Commission économique pour l’Europe</w:t>
      </w:r>
      <w:r w:rsidR="00EC44DC">
        <w:rPr>
          <w:lang w:val="fr-FR"/>
        </w:rPr>
        <w:t xml:space="preserve"> </w:t>
      </w:r>
      <w:r w:rsidR="00A13FDA">
        <w:rPr>
          <w:lang w:val="fr-FR"/>
        </w:rPr>
        <w:t>dédiée aux</w:t>
      </w:r>
      <w:r w:rsidR="00A13FDA" w:rsidRPr="00A13FDA">
        <w:rPr>
          <w:lang w:val="fr-FR"/>
        </w:rPr>
        <w:t xml:space="preserve"> interprétations de l'ADR</w:t>
      </w:r>
      <w:r w:rsidR="00A13FDA">
        <w:rPr>
          <w:lang w:val="fr-FR"/>
        </w:rPr>
        <w:t xml:space="preserve"> (</w:t>
      </w:r>
      <w:hyperlink r:id="rId12" w:anchor="accordion_5" w:history="1">
        <w:r w:rsidR="00A13FDA" w:rsidRPr="00277D05">
          <w:rPr>
            <w:rStyle w:val="Hyperlink"/>
          </w:rPr>
          <w:t>https://unece.org/transport/dangerous-goods/adr-interpretation-list?accordion=0#accordion_5</w:t>
        </w:r>
      </w:hyperlink>
      <w:r w:rsidR="00A13FDA">
        <w:t>)</w:t>
      </w:r>
      <w:r>
        <w:t>.</w:t>
      </w:r>
    </w:p>
    <w:p w14:paraId="4FCA19B1" w14:textId="30482A9B" w:rsidR="00C06FF4" w:rsidRDefault="00C06FF4" w:rsidP="006256A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256AF">
        <w:rPr>
          <w:lang w:val="fr-FR"/>
        </w:rPr>
        <w:t xml:space="preserve">Projet de mandat du </w:t>
      </w:r>
      <w:r w:rsidR="00B05E31" w:rsidRPr="00B05E31">
        <w:rPr>
          <w:lang w:val="fr-FR"/>
        </w:rPr>
        <w:t xml:space="preserve">groupe de travail informel sur les </w:t>
      </w:r>
      <w:r w:rsidR="00A07E37">
        <w:rPr>
          <w:lang w:val="fr-FR"/>
        </w:rPr>
        <w:t>r</w:t>
      </w:r>
      <w:r w:rsidR="00A07E37" w:rsidRPr="00A07E37">
        <w:rPr>
          <w:lang w:val="fr-FR"/>
        </w:rPr>
        <w:t>éférences à l’autorité compétente</w:t>
      </w:r>
    </w:p>
    <w:p w14:paraId="35DCAFAD" w14:textId="6C6B2E02" w:rsidR="007B00AA" w:rsidRDefault="00382DAC" w:rsidP="00006D8D">
      <w:pPr>
        <w:pStyle w:val="SingleTxtG"/>
      </w:pPr>
      <w:r>
        <w:rPr>
          <w:lang w:val="fr-FR"/>
        </w:rPr>
        <w:t>10</w:t>
      </w:r>
      <w:r w:rsidR="00094050">
        <w:rPr>
          <w:lang w:val="fr-FR"/>
        </w:rPr>
        <w:t>.</w:t>
      </w:r>
      <w:r w:rsidR="00094050">
        <w:rPr>
          <w:lang w:val="fr-FR"/>
        </w:rPr>
        <w:tab/>
      </w:r>
      <w:r w:rsidR="008F5421">
        <w:rPr>
          <w:lang w:val="fr-FR"/>
        </w:rPr>
        <w:t>Les travaux du</w:t>
      </w:r>
      <w:r w:rsidR="001D4663" w:rsidRPr="001D4663">
        <w:rPr>
          <w:lang w:val="fr-FR"/>
        </w:rPr>
        <w:t xml:space="preserve"> groupe de travail informel </w:t>
      </w:r>
      <w:r w:rsidR="001D4663">
        <w:rPr>
          <w:lang w:val="fr-FR"/>
        </w:rPr>
        <w:t>doivent aboutir</w:t>
      </w:r>
      <w:r w:rsidR="008F5421">
        <w:rPr>
          <w:lang w:val="fr-FR"/>
        </w:rPr>
        <w:t xml:space="preserve"> à une compréhension claire </w:t>
      </w:r>
      <w:r w:rsidR="008F5421" w:rsidRPr="00623E5A">
        <w:rPr>
          <w:lang w:val="fr-FR"/>
        </w:rPr>
        <w:t xml:space="preserve">et sans </w:t>
      </w:r>
      <w:r w:rsidR="005534E4">
        <w:rPr>
          <w:lang w:val="fr-FR"/>
        </w:rPr>
        <w:t>ambiguïté</w:t>
      </w:r>
      <w:r w:rsidR="008F5421" w:rsidRPr="00623E5A">
        <w:rPr>
          <w:lang w:val="fr-FR"/>
        </w:rPr>
        <w:t xml:space="preserve"> du</w:t>
      </w:r>
      <w:r w:rsidR="008F5421">
        <w:rPr>
          <w:lang w:val="fr-FR"/>
        </w:rPr>
        <w:t xml:space="preserve"> terme « autorité compétente </w:t>
      </w:r>
      <w:r w:rsidR="008F5421" w:rsidRPr="00F83461">
        <w:rPr>
          <w:lang w:val="fr-FR"/>
        </w:rPr>
        <w:t xml:space="preserve">» dans </w:t>
      </w:r>
      <w:r w:rsidR="00DB36A3" w:rsidRPr="00F83461">
        <w:rPr>
          <w:lang w:val="fr-FR"/>
        </w:rPr>
        <w:t>les parties 1 à 7</w:t>
      </w:r>
      <w:r w:rsidR="008F5421">
        <w:rPr>
          <w:lang w:val="fr-FR"/>
        </w:rPr>
        <w:t xml:space="preserve"> </w:t>
      </w:r>
      <w:r w:rsidR="008F5421" w:rsidRPr="00925BFD">
        <w:rPr>
          <w:lang w:val="fr-FR"/>
        </w:rPr>
        <w:t>du RID</w:t>
      </w:r>
      <w:r w:rsidR="006C1F1A" w:rsidRPr="00925BFD">
        <w:rPr>
          <w:lang w:val="fr-FR"/>
        </w:rPr>
        <w:t>/ADR/ADN</w:t>
      </w:r>
      <w:r w:rsidR="008F5421" w:rsidRPr="00925BFD">
        <w:rPr>
          <w:lang w:val="fr-FR"/>
        </w:rPr>
        <w:t>.</w:t>
      </w:r>
      <w:r w:rsidR="005534E4">
        <w:rPr>
          <w:lang w:val="fr-FR"/>
        </w:rPr>
        <w:t xml:space="preserve"> </w:t>
      </w:r>
      <w:r w:rsidR="005534E4" w:rsidRPr="005534E4">
        <w:rPr>
          <w:lang w:val="fr-FR"/>
        </w:rPr>
        <w:t>Ils doivent</w:t>
      </w:r>
      <w:r>
        <w:rPr>
          <w:lang w:val="fr-FR"/>
        </w:rPr>
        <w:t xml:space="preserve"> </w:t>
      </w:r>
      <w:r w:rsidR="005534E4" w:rsidRPr="005534E4">
        <w:rPr>
          <w:lang w:val="fr-FR"/>
        </w:rPr>
        <w:t>permettre de savoir</w:t>
      </w:r>
      <w:r w:rsidR="00065024">
        <w:rPr>
          <w:lang w:val="fr-FR"/>
        </w:rPr>
        <w:t>,</w:t>
      </w:r>
      <w:r w:rsidR="005534E4" w:rsidRPr="005534E4">
        <w:rPr>
          <w:lang w:val="fr-FR"/>
        </w:rPr>
        <w:t xml:space="preserve"> </w:t>
      </w:r>
      <w:r w:rsidR="00AF3463">
        <w:rPr>
          <w:lang w:val="fr-FR"/>
        </w:rPr>
        <w:t>pour chaque cas</w:t>
      </w:r>
      <w:r w:rsidR="00065024">
        <w:rPr>
          <w:lang w:val="fr-FR"/>
        </w:rPr>
        <w:t>,</w:t>
      </w:r>
      <w:r w:rsidR="00AF3463">
        <w:rPr>
          <w:lang w:val="fr-FR"/>
        </w:rPr>
        <w:t xml:space="preserve"> </w:t>
      </w:r>
      <w:r w:rsidR="005534E4" w:rsidRPr="005534E4">
        <w:rPr>
          <w:lang w:val="fr-FR"/>
        </w:rPr>
        <w:t>qu</w:t>
      </w:r>
      <w:r w:rsidR="00D54349" w:rsidRPr="005534E4">
        <w:rPr>
          <w:lang w:val="fr-FR"/>
        </w:rPr>
        <w:t xml:space="preserve">elle autorité </w:t>
      </w:r>
      <w:r w:rsidR="00AF3463">
        <w:rPr>
          <w:lang w:val="fr-FR"/>
        </w:rPr>
        <w:t>de</w:t>
      </w:r>
      <w:r w:rsidR="005534E4" w:rsidRPr="005534E4">
        <w:rPr>
          <w:lang w:val="fr-FR"/>
        </w:rPr>
        <w:t xml:space="preserve"> quel pays </w:t>
      </w:r>
      <w:r w:rsidR="00AF3463">
        <w:rPr>
          <w:lang w:val="fr-FR"/>
        </w:rPr>
        <w:t>est</w:t>
      </w:r>
      <w:r w:rsidR="00D54349" w:rsidRPr="005534E4">
        <w:rPr>
          <w:lang w:val="fr-FR"/>
        </w:rPr>
        <w:t xml:space="preserve"> visé</w:t>
      </w:r>
      <w:r w:rsidR="00AF3463">
        <w:rPr>
          <w:lang w:val="fr-FR"/>
        </w:rPr>
        <w:t>e</w:t>
      </w:r>
      <w:r w:rsidR="00D54349" w:rsidRPr="005534E4">
        <w:rPr>
          <w:lang w:val="fr-FR"/>
        </w:rPr>
        <w:t>.</w:t>
      </w:r>
      <w:r>
        <w:rPr>
          <w:lang w:val="fr-FR"/>
        </w:rPr>
        <w:t xml:space="preserve"> Le</w:t>
      </w:r>
      <w:r w:rsidR="00541148">
        <w:rPr>
          <w:lang w:val="fr-FR"/>
        </w:rPr>
        <w:t xml:space="preserve"> </w:t>
      </w:r>
      <w:r w:rsidR="001D4663" w:rsidRPr="001D4663">
        <w:rPr>
          <w:lang w:val="fr-FR"/>
        </w:rPr>
        <w:t xml:space="preserve">groupe de travail informel </w:t>
      </w:r>
      <w:r w:rsidR="001D4663">
        <w:rPr>
          <w:lang w:val="fr-FR"/>
        </w:rPr>
        <w:t>procèdera en</w:t>
      </w:r>
      <w:r w:rsidR="00DB36A3">
        <w:rPr>
          <w:lang w:val="fr-FR"/>
        </w:rPr>
        <w:t xml:space="preserve"> deux </w:t>
      </w:r>
      <w:r w:rsidR="00065024">
        <w:rPr>
          <w:lang w:val="fr-FR"/>
        </w:rPr>
        <w:t>étapes</w:t>
      </w:r>
      <w:r w:rsidR="001D4663">
        <w:rPr>
          <w:lang w:val="fr-FR"/>
        </w:rPr>
        <w:t> :</w:t>
      </w:r>
    </w:p>
    <w:p w14:paraId="01AFB58E" w14:textId="4E1A4C4D" w:rsidR="006B2BD1" w:rsidRPr="00C13EB8" w:rsidRDefault="00B96725" w:rsidP="006B2BD1">
      <w:pPr>
        <w:pStyle w:val="SingleTxtG"/>
        <w:numPr>
          <w:ilvl w:val="0"/>
          <w:numId w:val="18"/>
        </w:numPr>
        <w:rPr>
          <w:lang w:val="fr-FR"/>
        </w:rPr>
      </w:pPr>
      <w:r w:rsidRPr="00C13EB8">
        <w:rPr>
          <w:lang w:val="fr-FR"/>
        </w:rPr>
        <w:t>Établissement de p</w:t>
      </w:r>
      <w:r w:rsidR="00DB36A3" w:rsidRPr="00C13EB8">
        <w:rPr>
          <w:lang w:val="fr-FR"/>
        </w:rPr>
        <w:t>rincipes</w:t>
      </w:r>
      <w:r w:rsidR="00DD126A" w:rsidRPr="00DD126A">
        <w:rPr>
          <w:lang w:val="fr-FR"/>
        </w:rPr>
        <w:t xml:space="preserve"> </w:t>
      </w:r>
      <w:r w:rsidR="00DD126A" w:rsidRPr="00C13EB8">
        <w:rPr>
          <w:lang w:val="fr-FR"/>
        </w:rPr>
        <w:t>directeurs</w:t>
      </w:r>
    </w:p>
    <w:p w14:paraId="4BD533F6" w14:textId="3A1E0941" w:rsidR="00DB36A3" w:rsidRPr="00DD126A" w:rsidRDefault="00AC34C9" w:rsidP="00583924">
      <w:pPr>
        <w:pStyle w:val="Bullet1G"/>
        <w:rPr>
          <w:lang w:val="fr-FR"/>
        </w:rPr>
      </w:pPr>
      <w:r w:rsidRPr="00DD126A">
        <w:rPr>
          <w:lang w:val="fr-FR"/>
        </w:rPr>
        <w:t>Définir un</w:t>
      </w:r>
      <w:r w:rsidR="00DB36A3" w:rsidRPr="00DD126A">
        <w:rPr>
          <w:lang w:val="fr-FR"/>
        </w:rPr>
        <w:t xml:space="preserve"> ensemble de principes pour la définition du type d’autorité compétente concerné</w:t>
      </w:r>
      <w:r w:rsidR="006B2BD1" w:rsidRPr="00DD126A">
        <w:rPr>
          <w:lang w:val="fr-FR"/>
        </w:rPr>
        <w:t> ;</w:t>
      </w:r>
      <w:r w:rsidR="00C231FC" w:rsidRPr="00DD126A">
        <w:rPr>
          <w:lang w:val="fr-FR"/>
        </w:rPr>
        <w:t xml:space="preserve"> </w:t>
      </w:r>
    </w:p>
    <w:p w14:paraId="4C30E417" w14:textId="0ABF9C25" w:rsidR="005534E4" w:rsidRPr="00DD126A" w:rsidRDefault="005C71D6" w:rsidP="00583924">
      <w:pPr>
        <w:pStyle w:val="Bullet1G"/>
        <w:rPr>
          <w:lang w:val="fr-FR"/>
        </w:rPr>
      </w:pPr>
      <w:r w:rsidRPr="00DD126A">
        <w:rPr>
          <w:lang w:val="fr-FR"/>
        </w:rPr>
        <w:t xml:space="preserve">Définir </w:t>
      </w:r>
      <w:r w:rsidR="00192C09" w:rsidRPr="00DD126A">
        <w:rPr>
          <w:lang w:val="fr-FR"/>
        </w:rPr>
        <w:t xml:space="preserve">la manière dont il faut </w:t>
      </w:r>
      <w:r w:rsidR="003C30A7" w:rsidRPr="00DD126A">
        <w:rPr>
          <w:lang w:val="fr-FR"/>
        </w:rPr>
        <w:t xml:space="preserve">faire </w:t>
      </w:r>
      <w:r w:rsidR="00192C09" w:rsidRPr="00DD126A">
        <w:rPr>
          <w:lang w:val="fr-FR"/>
        </w:rPr>
        <w:t>référence</w:t>
      </w:r>
      <w:r w:rsidR="002131DF" w:rsidRPr="00DD126A">
        <w:rPr>
          <w:lang w:val="fr-FR"/>
        </w:rPr>
        <w:t xml:space="preserve"> </w:t>
      </w:r>
      <w:r w:rsidR="006B2BD1" w:rsidRPr="00DD126A">
        <w:rPr>
          <w:lang w:val="fr-FR"/>
        </w:rPr>
        <w:t>au terme « autorité compétente »</w:t>
      </w:r>
      <w:r w:rsidR="00DC2B05" w:rsidRPr="00DD126A">
        <w:rPr>
          <w:lang w:val="fr-FR"/>
        </w:rPr>
        <w:t> ;</w:t>
      </w:r>
    </w:p>
    <w:p w14:paraId="651E4F96" w14:textId="574B508A" w:rsidR="005C71D6" w:rsidRPr="00DD126A" w:rsidRDefault="00C13EB8" w:rsidP="00583924">
      <w:pPr>
        <w:pStyle w:val="Bullet1G"/>
        <w:rPr>
          <w:lang w:val="fr-FR"/>
        </w:rPr>
      </w:pPr>
      <w:r w:rsidRPr="00DD126A">
        <w:rPr>
          <w:lang w:val="fr-FR"/>
        </w:rPr>
        <w:t xml:space="preserve">Déterminer </w:t>
      </w:r>
      <w:r w:rsidR="00DD126A" w:rsidRPr="00DD126A">
        <w:rPr>
          <w:lang w:val="fr-FR"/>
        </w:rPr>
        <w:t xml:space="preserve">la marche à suivre lorsque </w:t>
      </w:r>
      <w:r w:rsidRPr="00DD126A">
        <w:rPr>
          <w:lang w:val="fr-FR"/>
        </w:rPr>
        <w:t>l’autorité visée est celle d’un pays non partie au RID/ADR/ADN</w:t>
      </w:r>
      <w:r w:rsidR="00DD126A">
        <w:rPr>
          <w:lang w:val="fr-FR"/>
        </w:rPr>
        <w:t xml:space="preserve"> (pays tiers)</w:t>
      </w:r>
      <w:r w:rsidRPr="00DD126A">
        <w:rPr>
          <w:lang w:val="fr-FR"/>
        </w:rPr>
        <w:t> ;</w:t>
      </w:r>
    </w:p>
    <w:p w14:paraId="10F5E120" w14:textId="33A5384A" w:rsidR="00925BFD" w:rsidRPr="00C222C0" w:rsidRDefault="00917DD2" w:rsidP="00583924">
      <w:pPr>
        <w:pStyle w:val="Bullet1G"/>
        <w:rPr>
          <w:lang w:val="fr-FR"/>
        </w:rPr>
      </w:pPr>
      <w:r>
        <w:rPr>
          <w:lang w:val="fr-FR"/>
        </w:rPr>
        <w:t>Proposer</w:t>
      </w:r>
      <w:r w:rsidR="005C71D6" w:rsidRPr="00C13EB8">
        <w:rPr>
          <w:lang w:val="fr-FR"/>
        </w:rPr>
        <w:t xml:space="preserve"> </w:t>
      </w:r>
      <w:r w:rsidR="00DC2B05" w:rsidRPr="00C13EB8">
        <w:rPr>
          <w:lang w:val="fr-FR"/>
        </w:rPr>
        <w:t>d</w:t>
      </w:r>
      <w:r w:rsidR="005C71D6" w:rsidRPr="00C13EB8">
        <w:rPr>
          <w:lang w:val="fr-FR"/>
        </w:rPr>
        <w:t xml:space="preserve">es actions visant à clarifier les termes, </w:t>
      </w:r>
      <w:r w:rsidR="00825B43" w:rsidRPr="00C13EB8">
        <w:rPr>
          <w:lang w:val="fr-FR"/>
        </w:rPr>
        <w:t>comme par exemple</w:t>
      </w:r>
      <w:r w:rsidR="005C71D6" w:rsidRPr="00C13EB8">
        <w:rPr>
          <w:lang w:val="fr-FR"/>
        </w:rPr>
        <w:t xml:space="preserve"> </w:t>
      </w:r>
      <w:r w:rsidR="00DD126A" w:rsidRPr="00C13EB8">
        <w:rPr>
          <w:lang w:val="fr-FR"/>
        </w:rPr>
        <w:t xml:space="preserve">la publication d’une liste </w:t>
      </w:r>
      <w:r w:rsidR="00DD126A" w:rsidRPr="00C222C0">
        <w:rPr>
          <w:lang w:val="fr-FR"/>
        </w:rPr>
        <w:t xml:space="preserve">d’interprétations sur les sites de l’OTIF et de la </w:t>
      </w:r>
      <w:r w:rsidR="00595582" w:rsidRPr="00595582">
        <w:rPr>
          <w:lang w:val="fr-FR"/>
        </w:rPr>
        <w:t>Commission économique pour l’Europe</w:t>
      </w:r>
      <w:r w:rsidR="00DD126A" w:rsidRPr="00C222C0">
        <w:rPr>
          <w:lang w:val="fr-FR"/>
        </w:rPr>
        <w:t xml:space="preserve"> et </w:t>
      </w:r>
      <w:r w:rsidR="005C71D6" w:rsidRPr="00C222C0">
        <w:rPr>
          <w:lang w:val="fr-FR"/>
        </w:rPr>
        <w:t>la modification des textes du RID/ADR/ADN</w:t>
      </w:r>
      <w:r w:rsidRPr="00C222C0">
        <w:rPr>
          <w:lang w:val="fr-FR"/>
        </w:rPr>
        <w:t> ;</w:t>
      </w:r>
    </w:p>
    <w:p w14:paraId="5B44C25B" w14:textId="050366BD" w:rsidR="005C71D6" w:rsidRPr="00C222C0" w:rsidRDefault="00DD126A" w:rsidP="00583924">
      <w:pPr>
        <w:pStyle w:val="Bullet1G"/>
        <w:rPr>
          <w:lang w:val="fr-FR"/>
        </w:rPr>
      </w:pPr>
      <w:r w:rsidRPr="00C222C0">
        <w:rPr>
          <w:lang w:val="fr-FR"/>
        </w:rPr>
        <w:t>Déterminer les critères selon lesquels les références nécessitent l’une ou l’autre action. Pour cela, il faudra p</w:t>
      </w:r>
      <w:r w:rsidR="00DC2B05" w:rsidRPr="00C222C0">
        <w:rPr>
          <w:lang w:val="fr-FR"/>
        </w:rPr>
        <w:t xml:space="preserve">eser les </w:t>
      </w:r>
      <w:r w:rsidR="005C71D6" w:rsidRPr="00C222C0">
        <w:rPr>
          <w:lang w:val="fr-FR"/>
        </w:rPr>
        <w:t>avantages et les désavantages de ces deux types d’actions</w:t>
      </w:r>
      <w:r w:rsidRPr="00C222C0">
        <w:rPr>
          <w:lang w:val="fr-FR"/>
        </w:rPr>
        <w:t xml:space="preserve"> et prendre en </w:t>
      </w:r>
      <w:r w:rsidR="00C13EB8" w:rsidRPr="00C222C0">
        <w:rPr>
          <w:lang w:val="fr-FR"/>
        </w:rPr>
        <w:t xml:space="preserve">compte que certaines références </w:t>
      </w:r>
      <w:r w:rsidR="00925BFD" w:rsidRPr="00C222C0">
        <w:rPr>
          <w:lang w:val="fr-FR"/>
        </w:rPr>
        <w:t xml:space="preserve">proviennent du Règlement type de l’ONU </w:t>
      </w:r>
      <w:r w:rsidR="00DC2B05" w:rsidRPr="00C222C0">
        <w:rPr>
          <w:lang w:val="fr-FR"/>
        </w:rPr>
        <w:t>;</w:t>
      </w:r>
    </w:p>
    <w:p w14:paraId="0D0C589E" w14:textId="20DD5678" w:rsidR="006B2BD1" w:rsidRPr="00C222C0" w:rsidRDefault="006B2BD1" w:rsidP="00583924">
      <w:pPr>
        <w:pStyle w:val="Bullet1G"/>
        <w:rPr>
          <w:lang w:val="fr-FR"/>
        </w:rPr>
      </w:pPr>
      <w:r w:rsidRPr="00C222C0">
        <w:rPr>
          <w:lang w:val="fr-FR"/>
        </w:rPr>
        <w:t>Faire valider ces principes par la Réunion commune</w:t>
      </w:r>
      <w:r w:rsidR="00DC2B05" w:rsidRPr="00C222C0">
        <w:rPr>
          <w:lang w:val="fr-FR"/>
        </w:rPr>
        <w:t> ;</w:t>
      </w:r>
    </w:p>
    <w:p w14:paraId="1E6933A0" w14:textId="72F8F871" w:rsidR="00192C09" w:rsidRPr="00C222C0" w:rsidRDefault="00192C09" w:rsidP="001D4663">
      <w:pPr>
        <w:pStyle w:val="SingleTxtG"/>
        <w:numPr>
          <w:ilvl w:val="0"/>
          <w:numId w:val="18"/>
        </w:numPr>
        <w:rPr>
          <w:lang w:val="fr-FR"/>
        </w:rPr>
      </w:pPr>
      <w:r w:rsidRPr="00C222C0">
        <w:rPr>
          <w:lang w:val="fr-FR"/>
        </w:rPr>
        <w:t xml:space="preserve">Révision </w:t>
      </w:r>
      <w:r w:rsidR="00F40A2C" w:rsidRPr="00C222C0">
        <w:rPr>
          <w:lang w:val="fr-FR"/>
        </w:rPr>
        <w:t xml:space="preserve">et clarification </w:t>
      </w:r>
      <w:r w:rsidRPr="00C222C0">
        <w:rPr>
          <w:lang w:val="fr-FR"/>
        </w:rPr>
        <w:t>des références</w:t>
      </w:r>
    </w:p>
    <w:p w14:paraId="6C77CA97" w14:textId="6AD6CF08" w:rsidR="003C30A7" w:rsidRPr="00C222C0" w:rsidRDefault="006B2BD1" w:rsidP="00583924">
      <w:pPr>
        <w:pStyle w:val="Bullet1G"/>
        <w:rPr>
          <w:lang w:val="fr-FR"/>
        </w:rPr>
      </w:pPr>
      <w:r w:rsidRPr="00C222C0">
        <w:rPr>
          <w:lang w:val="fr-FR"/>
        </w:rPr>
        <w:t>Passer en revue</w:t>
      </w:r>
      <w:r w:rsidR="00DB36A3" w:rsidRPr="00C222C0">
        <w:rPr>
          <w:lang w:val="fr-FR"/>
        </w:rPr>
        <w:t xml:space="preserve"> les références conformément </w:t>
      </w:r>
      <w:r w:rsidRPr="00C222C0">
        <w:rPr>
          <w:lang w:val="fr-FR"/>
        </w:rPr>
        <w:t>aux principes énoncés</w:t>
      </w:r>
      <w:r w:rsidR="00DC2B05" w:rsidRPr="00C222C0">
        <w:rPr>
          <w:lang w:val="fr-FR"/>
        </w:rPr>
        <w:t> ;</w:t>
      </w:r>
    </w:p>
    <w:p w14:paraId="15AC8081" w14:textId="2BE39B3D" w:rsidR="00382DAC" w:rsidRDefault="00382DAC" w:rsidP="00583924">
      <w:pPr>
        <w:pStyle w:val="Bullet1G"/>
        <w:rPr>
          <w:lang w:val="fr-FR"/>
        </w:rPr>
      </w:pPr>
      <w:r w:rsidRPr="00C222C0">
        <w:rPr>
          <w:lang w:val="fr-FR"/>
        </w:rPr>
        <w:t xml:space="preserve">Rédiger une liste d’interprétations pour </w:t>
      </w:r>
      <w:r w:rsidR="00917DD2" w:rsidRPr="00C222C0">
        <w:rPr>
          <w:lang w:val="fr-FR"/>
        </w:rPr>
        <w:t xml:space="preserve">adoption par la Réunion commune et </w:t>
      </w:r>
      <w:r w:rsidRPr="00C222C0">
        <w:rPr>
          <w:lang w:val="fr-FR"/>
        </w:rPr>
        <w:t xml:space="preserve">publication sur les </w:t>
      </w:r>
      <w:r w:rsidR="00C222C0" w:rsidRPr="00C222C0">
        <w:rPr>
          <w:lang w:val="fr-FR"/>
        </w:rPr>
        <w:t xml:space="preserve">sites de l’OTIF et de la </w:t>
      </w:r>
      <w:r w:rsidR="00595582" w:rsidRPr="00595582">
        <w:rPr>
          <w:lang w:val="fr-FR"/>
        </w:rPr>
        <w:t>Commission économique pour l’Europe</w:t>
      </w:r>
      <w:r w:rsidR="008C1491" w:rsidRPr="00C222C0">
        <w:rPr>
          <w:lang w:val="fr-FR"/>
        </w:rPr>
        <w:t>.</w:t>
      </w:r>
    </w:p>
    <w:p w14:paraId="7A8F9E79" w14:textId="7CD4E48B" w:rsidR="006B2BD1" w:rsidRPr="00C13EB8" w:rsidRDefault="00F40A2C" w:rsidP="00583924">
      <w:pPr>
        <w:pStyle w:val="Bullet1G"/>
        <w:rPr>
          <w:lang w:val="fr-FR"/>
        </w:rPr>
      </w:pPr>
      <w:r w:rsidRPr="00C13EB8">
        <w:rPr>
          <w:lang w:val="fr-FR"/>
        </w:rPr>
        <w:t xml:space="preserve">Rédiger </w:t>
      </w:r>
      <w:r w:rsidR="008C1491">
        <w:rPr>
          <w:lang w:val="fr-FR"/>
        </w:rPr>
        <w:t>des</w:t>
      </w:r>
      <w:r w:rsidR="003C30A7" w:rsidRPr="00C13EB8">
        <w:rPr>
          <w:lang w:val="fr-FR"/>
        </w:rPr>
        <w:t xml:space="preserve"> proposition</w:t>
      </w:r>
      <w:r w:rsidR="008C1491">
        <w:rPr>
          <w:lang w:val="fr-FR"/>
        </w:rPr>
        <w:t>s</w:t>
      </w:r>
      <w:r w:rsidR="003C30A7" w:rsidRPr="00C13EB8">
        <w:rPr>
          <w:lang w:val="fr-FR"/>
        </w:rPr>
        <w:t xml:space="preserve"> </w:t>
      </w:r>
      <w:r w:rsidR="008C1491">
        <w:rPr>
          <w:lang w:val="fr-FR"/>
        </w:rPr>
        <w:t>d’amendements</w:t>
      </w:r>
      <w:r w:rsidR="003C30A7" w:rsidRPr="00C13EB8">
        <w:rPr>
          <w:lang w:val="fr-FR"/>
        </w:rPr>
        <w:t xml:space="preserve"> </w:t>
      </w:r>
      <w:r w:rsidRPr="00C13EB8">
        <w:rPr>
          <w:lang w:val="fr-FR"/>
        </w:rPr>
        <w:t>au</w:t>
      </w:r>
      <w:r w:rsidR="003C30A7" w:rsidRPr="00C13EB8">
        <w:rPr>
          <w:lang w:val="fr-FR"/>
        </w:rPr>
        <w:t xml:space="preserve"> RID/ADR/ADN</w:t>
      </w:r>
      <w:r w:rsidRPr="00C13EB8">
        <w:rPr>
          <w:lang w:val="fr-FR"/>
        </w:rPr>
        <w:t> </w:t>
      </w:r>
      <w:r w:rsidR="00DC2B05" w:rsidRPr="00C13EB8">
        <w:rPr>
          <w:lang w:val="fr-FR"/>
        </w:rPr>
        <w:t>;</w:t>
      </w:r>
    </w:p>
    <w:p w14:paraId="372E2C20" w14:textId="3ED74AF2" w:rsidR="00DC2B05" w:rsidRPr="00065024" w:rsidRDefault="00382DAC" w:rsidP="00583924">
      <w:pPr>
        <w:pStyle w:val="Bullet1G"/>
        <w:rPr>
          <w:lang w:val="fr-FR"/>
        </w:rPr>
      </w:pPr>
      <w:r w:rsidRPr="00065024">
        <w:rPr>
          <w:lang w:val="fr-FR"/>
        </w:rPr>
        <w:t xml:space="preserve">Le cas échéant, transmettre </w:t>
      </w:r>
      <w:r w:rsidR="008C1491" w:rsidRPr="00065024">
        <w:rPr>
          <w:lang w:val="fr-FR"/>
        </w:rPr>
        <w:t xml:space="preserve">au Sous-comité </w:t>
      </w:r>
      <w:r w:rsidR="00065024" w:rsidRPr="00065024">
        <w:rPr>
          <w:lang w:val="fr-FR"/>
        </w:rPr>
        <w:t xml:space="preserve">d’experts </w:t>
      </w:r>
      <w:r w:rsidR="00065024">
        <w:rPr>
          <w:lang w:val="fr-FR"/>
        </w:rPr>
        <w:t>de l’ONU</w:t>
      </w:r>
      <w:r w:rsidR="008C1491" w:rsidRPr="00065024">
        <w:rPr>
          <w:lang w:val="fr-FR"/>
        </w:rPr>
        <w:t xml:space="preserve"> des propositions d’amendements aux </w:t>
      </w:r>
      <w:r w:rsidR="00065024" w:rsidRPr="00065024">
        <w:rPr>
          <w:lang w:val="fr-FR"/>
        </w:rPr>
        <w:t>Recommandations relatives au transport des marchandises dangereuses</w:t>
      </w:r>
      <w:r w:rsidR="008C1491" w:rsidRPr="00065024">
        <w:rPr>
          <w:lang w:val="fr-FR"/>
        </w:rPr>
        <w:t>.</w:t>
      </w:r>
    </w:p>
    <w:p w14:paraId="17725E9C" w14:textId="3D7CE2E5" w:rsidR="00C80D5F" w:rsidRPr="00FF4BA2" w:rsidRDefault="00C80D5F" w:rsidP="00C80D5F">
      <w:pPr>
        <w:pStyle w:val="HChG"/>
      </w:pPr>
      <w:r w:rsidRPr="00FF4BA2">
        <w:tab/>
      </w:r>
      <w:r w:rsidRPr="00FF4BA2">
        <w:tab/>
      </w:r>
      <w:r>
        <w:tab/>
      </w:r>
      <w:r w:rsidR="006A02E6">
        <w:t>Fonctionnement</w:t>
      </w:r>
      <w:r w:rsidR="002131DF">
        <w:t xml:space="preserve"> du</w:t>
      </w:r>
      <w:r w:rsidRPr="00FF4BA2">
        <w:t xml:space="preserve"> groupe de travail informel </w:t>
      </w:r>
    </w:p>
    <w:p w14:paraId="6C004B97" w14:textId="2C0FF508" w:rsidR="00F40A2C" w:rsidRDefault="008C1491" w:rsidP="00C80D5F">
      <w:pPr>
        <w:pStyle w:val="SingleTxtG"/>
        <w:rPr>
          <w:lang w:val="fr-FR"/>
        </w:rPr>
      </w:pPr>
      <w:r>
        <w:rPr>
          <w:lang w:val="fr-FR"/>
        </w:rPr>
        <w:t>11</w:t>
      </w:r>
      <w:r w:rsidR="000305AE">
        <w:rPr>
          <w:lang w:val="fr-FR"/>
        </w:rPr>
        <w:t>.</w:t>
      </w:r>
      <w:r w:rsidR="000305AE">
        <w:rPr>
          <w:lang w:val="fr-FR"/>
        </w:rPr>
        <w:tab/>
      </w:r>
      <w:r w:rsidR="00F40A2C">
        <w:rPr>
          <w:lang w:val="fr-FR"/>
        </w:rPr>
        <w:t xml:space="preserve">La Suisse pense que le groupe de travail informel pourrait se réunir une première fois en ligne </w:t>
      </w:r>
      <w:r w:rsidR="0040345B">
        <w:rPr>
          <w:lang w:val="fr-FR"/>
        </w:rPr>
        <w:t xml:space="preserve">au printemps 2023 </w:t>
      </w:r>
      <w:r w:rsidR="00941E66">
        <w:rPr>
          <w:lang w:val="fr-FR"/>
        </w:rPr>
        <w:t xml:space="preserve">puis </w:t>
      </w:r>
      <w:r w:rsidR="00941E66" w:rsidRPr="00941E66">
        <w:rPr>
          <w:lang w:val="fr-FR"/>
        </w:rPr>
        <w:t xml:space="preserve">une deuxième fois </w:t>
      </w:r>
      <w:r w:rsidR="00D3287C">
        <w:rPr>
          <w:lang w:val="fr-FR"/>
        </w:rPr>
        <w:t>lors</w:t>
      </w:r>
      <w:r w:rsidR="00941E66" w:rsidRPr="00941E66">
        <w:rPr>
          <w:lang w:val="fr-FR"/>
        </w:rPr>
        <w:t xml:space="preserve"> </w:t>
      </w:r>
      <w:r w:rsidR="0040345B">
        <w:rPr>
          <w:lang w:val="fr-FR"/>
        </w:rPr>
        <w:t>de la</w:t>
      </w:r>
      <w:r w:rsidR="00941E66" w:rsidRPr="00941E66">
        <w:rPr>
          <w:lang w:val="fr-FR"/>
        </w:rPr>
        <w:t xml:space="preserve"> Réunion commune </w:t>
      </w:r>
      <w:r w:rsidR="0040345B">
        <w:rPr>
          <w:lang w:val="fr-FR"/>
        </w:rPr>
        <w:t>d’automne 2023</w:t>
      </w:r>
      <w:r w:rsidR="00D3287C">
        <w:rPr>
          <w:lang w:val="fr-FR"/>
        </w:rPr>
        <w:t xml:space="preserve"> à Genève. Ces deux premières réunions devraient permettre d’</w:t>
      </w:r>
      <w:r w:rsidR="00941E66">
        <w:rPr>
          <w:lang w:val="fr-FR"/>
        </w:rPr>
        <w:t>établir</w:t>
      </w:r>
      <w:r w:rsidR="007C5FE9">
        <w:rPr>
          <w:lang w:val="fr-FR"/>
        </w:rPr>
        <w:t xml:space="preserve"> </w:t>
      </w:r>
      <w:r w:rsidR="00D3287C">
        <w:rPr>
          <w:lang w:val="fr-FR"/>
        </w:rPr>
        <w:t>l</w:t>
      </w:r>
      <w:r w:rsidR="007C5FE9">
        <w:rPr>
          <w:lang w:val="fr-FR"/>
        </w:rPr>
        <w:t>es</w:t>
      </w:r>
      <w:r w:rsidR="00F40A2C">
        <w:rPr>
          <w:lang w:val="fr-FR"/>
        </w:rPr>
        <w:t xml:space="preserve"> principes directeurs. Par la suite, des réunions en présence </w:t>
      </w:r>
      <w:r>
        <w:rPr>
          <w:lang w:val="fr-FR"/>
        </w:rPr>
        <w:t xml:space="preserve">seraient préférables pour </w:t>
      </w:r>
      <w:r w:rsidR="00D3287C">
        <w:rPr>
          <w:lang w:val="fr-FR"/>
        </w:rPr>
        <w:t>permettr</w:t>
      </w:r>
      <w:r>
        <w:rPr>
          <w:lang w:val="fr-FR"/>
        </w:rPr>
        <w:t>e</w:t>
      </w:r>
      <w:r w:rsidR="007C5FE9">
        <w:rPr>
          <w:lang w:val="fr-FR"/>
        </w:rPr>
        <w:t xml:space="preserve"> un meilleur échange de vues et </w:t>
      </w:r>
      <w:r w:rsidR="00D3287C">
        <w:rPr>
          <w:lang w:val="fr-FR"/>
        </w:rPr>
        <w:t xml:space="preserve">un travail </w:t>
      </w:r>
      <w:r w:rsidR="00F40A2C">
        <w:rPr>
          <w:lang w:val="fr-FR"/>
        </w:rPr>
        <w:t>plus efficace.</w:t>
      </w:r>
      <w:r w:rsidR="00941E66">
        <w:rPr>
          <w:lang w:val="fr-FR"/>
        </w:rPr>
        <w:t xml:space="preserve"> </w:t>
      </w:r>
    </w:p>
    <w:p w14:paraId="3A6D6BF8" w14:textId="675C05D9" w:rsidR="00E2305D" w:rsidRPr="00E60FDB" w:rsidRDefault="008C1491" w:rsidP="00C80D5F">
      <w:pPr>
        <w:pStyle w:val="SingleTxtG"/>
        <w:rPr>
          <w:lang w:val="fr-FR"/>
        </w:rPr>
      </w:pPr>
      <w:r>
        <w:rPr>
          <w:lang w:val="fr-FR"/>
        </w:rPr>
        <w:t>12</w:t>
      </w:r>
      <w:r w:rsidR="007C5FE9">
        <w:rPr>
          <w:lang w:val="fr-FR"/>
        </w:rPr>
        <w:t>.</w:t>
      </w:r>
      <w:r w:rsidR="007C5FE9">
        <w:rPr>
          <w:lang w:val="fr-FR"/>
        </w:rPr>
        <w:tab/>
      </w:r>
      <w:r w:rsidR="00E2305D">
        <w:rPr>
          <w:lang w:val="fr-FR"/>
        </w:rPr>
        <w:t xml:space="preserve">Le groupe devra </w:t>
      </w:r>
      <w:r w:rsidR="00E2305D" w:rsidRPr="00E60FDB">
        <w:rPr>
          <w:lang w:val="fr-FR"/>
        </w:rPr>
        <w:t xml:space="preserve">disposer d’une personne </w:t>
      </w:r>
      <w:r w:rsidR="00D3287C" w:rsidRPr="00E60FDB">
        <w:rPr>
          <w:lang w:val="fr-FR"/>
        </w:rPr>
        <w:t xml:space="preserve">pour diriger les travaux </w:t>
      </w:r>
      <w:r w:rsidR="00E2305D" w:rsidRPr="00E60FDB">
        <w:rPr>
          <w:lang w:val="fr-FR"/>
        </w:rPr>
        <w:t xml:space="preserve">mais aussi d’une personne </w:t>
      </w:r>
      <w:r w:rsidR="00D3287C" w:rsidRPr="00E60FDB">
        <w:rPr>
          <w:lang w:val="fr-FR"/>
        </w:rPr>
        <w:t>pour</w:t>
      </w:r>
      <w:r w:rsidR="00E2305D" w:rsidRPr="00E60FDB">
        <w:rPr>
          <w:lang w:val="fr-FR"/>
        </w:rPr>
        <w:t xml:space="preserve"> </w:t>
      </w:r>
      <w:r w:rsidR="00D3287C" w:rsidRPr="00E60FDB">
        <w:rPr>
          <w:lang w:val="fr-FR"/>
        </w:rPr>
        <w:t>assurer les services de secrétariat. Il s’agira</w:t>
      </w:r>
      <w:r w:rsidR="00E2305D" w:rsidRPr="00E60FDB">
        <w:rPr>
          <w:lang w:val="fr-FR"/>
        </w:rPr>
        <w:t xml:space="preserve"> </w:t>
      </w:r>
      <w:r w:rsidR="00D3287C" w:rsidRPr="00E60FDB">
        <w:rPr>
          <w:lang w:val="fr-FR"/>
        </w:rPr>
        <w:t>notamment de tenir</w:t>
      </w:r>
      <w:r w:rsidR="00E2305D" w:rsidRPr="00E60FDB">
        <w:rPr>
          <w:lang w:val="fr-FR"/>
        </w:rPr>
        <w:t xml:space="preserve"> à jour</w:t>
      </w:r>
      <w:r>
        <w:rPr>
          <w:lang w:val="fr-FR"/>
        </w:rPr>
        <w:t xml:space="preserve"> une</w:t>
      </w:r>
      <w:r w:rsidR="00E2305D" w:rsidRPr="00E60FDB">
        <w:rPr>
          <w:lang w:val="fr-FR"/>
        </w:rPr>
        <w:t xml:space="preserve"> liste des références</w:t>
      </w:r>
      <w:r w:rsidR="00382DAC">
        <w:rPr>
          <w:lang w:val="fr-FR"/>
        </w:rPr>
        <w:t xml:space="preserve">, </w:t>
      </w:r>
      <w:r w:rsidR="00D3287C" w:rsidRPr="00E60FDB">
        <w:rPr>
          <w:lang w:val="fr-FR"/>
        </w:rPr>
        <w:t>d</w:t>
      </w:r>
      <w:r w:rsidR="00E2305D" w:rsidRPr="00E60FDB">
        <w:rPr>
          <w:lang w:val="fr-FR"/>
        </w:rPr>
        <w:t>es interprétations</w:t>
      </w:r>
      <w:r w:rsidR="00382DAC">
        <w:rPr>
          <w:lang w:val="fr-FR"/>
        </w:rPr>
        <w:t xml:space="preserve"> et des propositions de modifications</w:t>
      </w:r>
      <w:r w:rsidR="00E2305D" w:rsidRPr="00E60FDB">
        <w:rPr>
          <w:lang w:val="fr-FR"/>
        </w:rPr>
        <w:t>.</w:t>
      </w:r>
      <w:r w:rsidR="00382DAC">
        <w:rPr>
          <w:lang w:val="fr-FR"/>
        </w:rPr>
        <w:t xml:space="preserve"> En outre, la liste </w:t>
      </w:r>
      <w:r>
        <w:rPr>
          <w:lang w:val="fr-FR"/>
        </w:rPr>
        <w:t xml:space="preserve">devra </w:t>
      </w:r>
      <w:r w:rsidR="00DD126A">
        <w:rPr>
          <w:lang w:val="fr-FR"/>
        </w:rPr>
        <w:t>être complétée</w:t>
      </w:r>
      <w:r>
        <w:rPr>
          <w:lang w:val="fr-FR"/>
        </w:rPr>
        <w:t xml:space="preserve"> </w:t>
      </w:r>
      <w:r w:rsidR="00917DD2">
        <w:rPr>
          <w:lang w:val="fr-FR"/>
        </w:rPr>
        <w:t xml:space="preserve">avec </w:t>
      </w:r>
      <w:r>
        <w:rPr>
          <w:lang w:val="fr-FR"/>
        </w:rPr>
        <w:t>les références du RID et de l’ADN</w:t>
      </w:r>
      <w:r w:rsidR="00224C72">
        <w:rPr>
          <w:lang w:val="fr-FR"/>
        </w:rPr>
        <w:t xml:space="preserve"> qui diffèrent des</w:t>
      </w:r>
      <w:r w:rsidR="00917DD2">
        <w:rPr>
          <w:lang w:val="fr-FR"/>
        </w:rPr>
        <w:t xml:space="preserve"> références</w:t>
      </w:r>
      <w:r w:rsidR="00DD126A">
        <w:rPr>
          <w:lang w:val="fr-FR"/>
        </w:rPr>
        <w:t xml:space="preserve"> </w:t>
      </w:r>
      <w:r w:rsidR="00917DD2">
        <w:rPr>
          <w:lang w:val="fr-FR"/>
        </w:rPr>
        <w:t xml:space="preserve">de l’ADR </w:t>
      </w:r>
      <w:r w:rsidR="00DD126A">
        <w:rPr>
          <w:lang w:val="fr-FR"/>
        </w:rPr>
        <w:t>déjà listées.</w:t>
      </w:r>
    </w:p>
    <w:p w14:paraId="76FE58A3" w14:textId="6CCA8ACC" w:rsidR="000305AE" w:rsidRDefault="008C1491" w:rsidP="00C80D5F">
      <w:pPr>
        <w:pStyle w:val="SingleTxtG"/>
        <w:rPr>
          <w:lang w:val="fr-FR"/>
        </w:rPr>
      </w:pPr>
      <w:r>
        <w:rPr>
          <w:lang w:val="fr-FR"/>
        </w:rPr>
        <w:t>13</w:t>
      </w:r>
      <w:r w:rsidR="00D3287C" w:rsidRPr="00E60FDB">
        <w:rPr>
          <w:lang w:val="fr-FR"/>
        </w:rPr>
        <w:t>.</w:t>
      </w:r>
      <w:r w:rsidR="00D3287C" w:rsidRPr="00E60FDB">
        <w:rPr>
          <w:lang w:val="fr-FR"/>
        </w:rPr>
        <w:tab/>
        <w:t>À sa session d’automne 2018, la Réunion commune a estimé</w:t>
      </w:r>
      <w:r w:rsidR="00D3287C" w:rsidRPr="007C5FE9">
        <w:rPr>
          <w:lang w:val="fr-FR"/>
        </w:rPr>
        <w:t xml:space="preserve"> que la participation du secrétariat aux réunions du groupe de travail informel était souhaitable en fonction du temps et des ressources disponibles. </w:t>
      </w:r>
      <w:r w:rsidR="00D3287C">
        <w:rPr>
          <w:lang w:val="fr-FR"/>
        </w:rPr>
        <w:t xml:space="preserve">Les secrétariats de l’OTIF et de la </w:t>
      </w:r>
      <w:r w:rsidR="00595582" w:rsidRPr="00595582">
        <w:rPr>
          <w:lang w:val="fr-FR"/>
        </w:rPr>
        <w:t>Commission économique pour l’Europe</w:t>
      </w:r>
      <w:r w:rsidR="00D3287C">
        <w:rPr>
          <w:lang w:val="fr-FR"/>
        </w:rPr>
        <w:t xml:space="preserve"> sont invités à informer </w:t>
      </w:r>
      <w:r>
        <w:rPr>
          <w:lang w:val="fr-FR"/>
        </w:rPr>
        <w:t xml:space="preserve">la Réunion commune </w:t>
      </w:r>
      <w:r w:rsidR="00D3287C">
        <w:rPr>
          <w:lang w:val="fr-FR"/>
        </w:rPr>
        <w:t xml:space="preserve">sur </w:t>
      </w:r>
      <w:r>
        <w:rPr>
          <w:lang w:val="fr-FR"/>
        </w:rPr>
        <w:t>les</w:t>
      </w:r>
      <w:r w:rsidR="00D3287C">
        <w:rPr>
          <w:lang w:val="fr-FR"/>
        </w:rPr>
        <w:t xml:space="preserve"> ressources disponibles.</w:t>
      </w:r>
    </w:p>
    <w:p w14:paraId="4633A297" w14:textId="4D09BCDF" w:rsidR="008362B9" w:rsidRDefault="008C1491" w:rsidP="006256AF">
      <w:pPr>
        <w:pStyle w:val="SingleTxtG"/>
        <w:rPr>
          <w:lang w:val="fr-FR"/>
        </w:rPr>
      </w:pPr>
      <w:r>
        <w:rPr>
          <w:lang w:val="fr-FR"/>
        </w:rPr>
        <w:t>14</w:t>
      </w:r>
      <w:r w:rsidR="00D3287C">
        <w:rPr>
          <w:lang w:val="fr-FR"/>
        </w:rPr>
        <w:t>.</w:t>
      </w:r>
      <w:r w:rsidR="00D3287C">
        <w:rPr>
          <w:lang w:val="fr-FR"/>
        </w:rPr>
        <w:tab/>
      </w:r>
      <w:r w:rsidR="00D92405">
        <w:rPr>
          <w:lang w:val="fr-FR"/>
        </w:rPr>
        <w:t xml:space="preserve">La délégation suisse </w:t>
      </w:r>
      <w:r w:rsidR="00DF679B">
        <w:rPr>
          <w:lang w:val="fr-FR"/>
        </w:rPr>
        <w:t xml:space="preserve">peut </w:t>
      </w:r>
      <w:r w:rsidR="00D3287C">
        <w:rPr>
          <w:lang w:val="fr-FR"/>
        </w:rPr>
        <w:t xml:space="preserve">se charger de l’organisation </w:t>
      </w:r>
      <w:r w:rsidR="002D3B99">
        <w:rPr>
          <w:lang w:val="fr-FR"/>
        </w:rPr>
        <w:t>des</w:t>
      </w:r>
      <w:r w:rsidR="00DF679B">
        <w:rPr>
          <w:lang w:val="fr-FR"/>
        </w:rPr>
        <w:t xml:space="preserve"> réunions</w:t>
      </w:r>
      <w:r w:rsidR="00917DD2">
        <w:rPr>
          <w:lang w:val="fr-FR"/>
        </w:rPr>
        <w:t xml:space="preserve">, </w:t>
      </w:r>
      <w:r w:rsidR="00D92405">
        <w:rPr>
          <w:lang w:val="fr-FR"/>
        </w:rPr>
        <w:t xml:space="preserve">et, si nécessaire, </w:t>
      </w:r>
      <w:r w:rsidR="002D3B99">
        <w:rPr>
          <w:lang w:val="fr-FR"/>
        </w:rPr>
        <w:t>assurer le secrétariat du groupe.</w:t>
      </w:r>
      <w:r w:rsidR="00D92405">
        <w:rPr>
          <w:lang w:val="fr-FR"/>
        </w:rPr>
        <w:t xml:space="preserve"> </w:t>
      </w:r>
      <w:r w:rsidR="009B52F1">
        <w:rPr>
          <w:lang w:val="fr-FR"/>
        </w:rPr>
        <w:t xml:space="preserve">Afin de disposer d’une liste de références </w:t>
      </w:r>
      <w:r w:rsidR="00ED6206">
        <w:rPr>
          <w:lang w:val="fr-FR"/>
        </w:rPr>
        <w:t xml:space="preserve">à jour, </w:t>
      </w:r>
      <w:r w:rsidR="00D92405">
        <w:rPr>
          <w:lang w:val="fr-FR"/>
        </w:rPr>
        <w:t>elle</w:t>
      </w:r>
      <w:r w:rsidR="008A7FA9">
        <w:rPr>
          <w:lang w:val="fr-FR"/>
        </w:rPr>
        <w:t xml:space="preserve"> a </w:t>
      </w:r>
      <w:r w:rsidR="009B52F1">
        <w:rPr>
          <w:lang w:val="fr-FR"/>
        </w:rPr>
        <w:t>actualisé</w:t>
      </w:r>
      <w:r w:rsidR="008A7FA9">
        <w:rPr>
          <w:lang w:val="fr-FR"/>
        </w:rPr>
        <w:t xml:space="preserve"> </w:t>
      </w:r>
      <w:r w:rsidR="00F95DDB">
        <w:rPr>
          <w:lang w:val="fr-FR"/>
        </w:rPr>
        <w:t xml:space="preserve">le document informel INF.21 de la session d’automne 2018 </w:t>
      </w:r>
      <w:r w:rsidR="009B52F1">
        <w:rPr>
          <w:lang w:val="fr-FR"/>
        </w:rPr>
        <w:t>pour</w:t>
      </w:r>
      <w:r w:rsidR="00ED6206" w:rsidRPr="00ED6206">
        <w:rPr>
          <w:lang w:val="fr-FR"/>
        </w:rPr>
        <w:t xml:space="preserve"> </w:t>
      </w:r>
      <w:r w:rsidR="00ED6206">
        <w:rPr>
          <w:lang w:val="fr-FR"/>
        </w:rPr>
        <w:t xml:space="preserve">y inclure les textes de </w:t>
      </w:r>
      <w:r w:rsidR="00ED6206" w:rsidRPr="003C30A7">
        <w:rPr>
          <w:lang w:val="fr-FR"/>
        </w:rPr>
        <w:t>l’ADR 2023</w:t>
      </w:r>
      <w:r w:rsidR="009B52F1">
        <w:rPr>
          <w:lang w:val="fr-FR"/>
        </w:rPr>
        <w:t>.</w:t>
      </w:r>
      <w:r w:rsidR="00D672E1">
        <w:rPr>
          <w:lang w:val="fr-FR"/>
        </w:rPr>
        <w:t xml:space="preserve"> </w:t>
      </w:r>
      <w:r w:rsidR="00224C72">
        <w:rPr>
          <w:lang w:val="fr-FR"/>
        </w:rPr>
        <w:t xml:space="preserve">Y figurent notamment les </w:t>
      </w:r>
      <w:r w:rsidR="00224C72" w:rsidRPr="00224C72">
        <w:rPr>
          <w:lang w:val="fr-FR"/>
        </w:rPr>
        <w:t xml:space="preserve">nouveaux textes relatifs au </w:t>
      </w:r>
      <w:r w:rsidR="00224C72" w:rsidRPr="00224C72">
        <w:rPr>
          <w:rFonts w:ascii="TimesNewRomanPSMT" w:eastAsia="Times New Roman" w:hAnsi="TimesNewRomanPSMT" w:cs="TimesNewRomanPSMT"/>
          <w:lang w:eastAsia="zh-CN"/>
        </w:rPr>
        <w:t>contrôle et à l’agrément des citernes, lorsqu’une référence à l’autorité compétente est faite</w:t>
      </w:r>
      <w:r w:rsidR="00D672E1">
        <w:rPr>
          <w:lang w:val="fr-FR"/>
        </w:rPr>
        <w:t xml:space="preserve"> </w:t>
      </w:r>
      <w:r w:rsidR="00F83461" w:rsidRPr="00046520">
        <w:rPr>
          <w:lang w:val="fr-FR"/>
        </w:rPr>
        <w:t>(voir</w:t>
      </w:r>
      <w:r w:rsidR="00D672E1" w:rsidRPr="00046520">
        <w:rPr>
          <w:lang w:val="fr-FR"/>
        </w:rPr>
        <w:t xml:space="preserve"> document informel INF.</w:t>
      </w:r>
      <w:r w:rsidR="00046520">
        <w:rPr>
          <w:lang w:val="fr-FR"/>
        </w:rPr>
        <w:t>3</w:t>
      </w:r>
      <w:r w:rsidR="00F83461" w:rsidRPr="00046520">
        <w:rPr>
          <w:lang w:val="fr-FR"/>
        </w:rPr>
        <w:t>)</w:t>
      </w:r>
      <w:r w:rsidR="00D672E1" w:rsidRPr="00046520">
        <w:rPr>
          <w:lang w:val="fr-FR"/>
        </w:rPr>
        <w:t>.</w:t>
      </w:r>
      <w:r w:rsidR="00224C72">
        <w:rPr>
          <w:lang w:val="fr-FR"/>
        </w:rPr>
        <w:t xml:space="preserve"> </w:t>
      </w:r>
    </w:p>
    <w:p w14:paraId="01F64246" w14:textId="0170058A" w:rsidR="00DC2B05" w:rsidRDefault="00224C72" w:rsidP="00DC2B05">
      <w:pPr>
        <w:pStyle w:val="SingleTxtG"/>
        <w:rPr>
          <w:lang w:val="fr-FR"/>
        </w:rPr>
      </w:pPr>
      <w:r>
        <w:rPr>
          <w:lang w:val="fr-FR"/>
        </w:rPr>
        <w:t>1</w:t>
      </w:r>
      <w:r w:rsidR="00D92405">
        <w:rPr>
          <w:lang w:val="fr-FR"/>
        </w:rPr>
        <w:t>5</w:t>
      </w:r>
      <w:r w:rsidR="00D719E3">
        <w:rPr>
          <w:lang w:val="fr-FR"/>
        </w:rPr>
        <w:t xml:space="preserve">. </w:t>
      </w:r>
      <w:r w:rsidR="00D719E3">
        <w:rPr>
          <w:lang w:val="fr-FR"/>
        </w:rPr>
        <w:tab/>
        <w:t xml:space="preserve">La Réunion commune est invitée à se prononcer sur le </w:t>
      </w:r>
      <w:r w:rsidR="007C5FE9">
        <w:rPr>
          <w:lang w:val="fr-FR"/>
        </w:rPr>
        <w:t xml:space="preserve">projet de mandat présenté et sur le </w:t>
      </w:r>
      <w:r w:rsidR="00D719E3">
        <w:rPr>
          <w:lang w:val="fr-FR"/>
        </w:rPr>
        <w:t>mode de fonctionnement du groupe de travail informel.</w:t>
      </w:r>
      <w:r w:rsidR="00941E66">
        <w:rPr>
          <w:lang w:val="fr-FR"/>
        </w:rPr>
        <w:t xml:space="preserve"> Les délégations</w:t>
      </w:r>
      <w:r w:rsidR="00D065A8">
        <w:rPr>
          <w:lang w:val="fr-FR"/>
        </w:rPr>
        <w:t xml:space="preserve"> </w:t>
      </w:r>
      <w:r w:rsidR="00941E66">
        <w:rPr>
          <w:lang w:val="fr-FR"/>
        </w:rPr>
        <w:t xml:space="preserve">intéressées à participer à ce groupe peuvent </w:t>
      </w:r>
      <w:r w:rsidR="00D672E1">
        <w:rPr>
          <w:lang w:val="fr-FR"/>
        </w:rPr>
        <w:t xml:space="preserve">d’ores et déjà </w:t>
      </w:r>
      <w:r w:rsidR="00D065A8">
        <w:rPr>
          <w:lang w:val="fr-FR"/>
        </w:rPr>
        <w:t>le faire savoir</w:t>
      </w:r>
      <w:r w:rsidR="00941E66">
        <w:rPr>
          <w:lang w:val="fr-FR"/>
        </w:rPr>
        <w:t>.</w:t>
      </w:r>
    </w:p>
    <w:p w14:paraId="2DF9FEA7" w14:textId="37E0C23F" w:rsidR="00C06FF4" w:rsidRPr="00C06FF4" w:rsidRDefault="00C06FF4" w:rsidP="00C06FF4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6FF4" w:rsidRPr="00C06FF4" w:rsidSect="00C56970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Fmt w:val="chicago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A61E" w14:textId="77777777" w:rsidR="00514CB8" w:rsidRDefault="00514CB8" w:rsidP="00F95C08">
      <w:pPr>
        <w:spacing w:line="240" w:lineRule="auto"/>
      </w:pPr>
    </w:p>
  </w:endnote>
  <w:endnote w:type="continuationSeparator" w:id="0">
    <w:p w14:paraId="6104A3FE" w14:textId="77777777" w:rsidR="00514CB8" w:rsidRPr="00AC3823" w:rsidRDefault="00514CB8" w:rsidP="00AC3823">
      <w:pPr>
        <w:pStyle w:val="Footer"/>
      </w:pPr>
    </w:p>
  </w:endnote>
  <w:endnote w:type="continuationNotice" w:id="1">
    <w:p w14:paraId="42AB972C" w14:textId="77777777" w:rsidR="00514CB8" w:rsidRDefault="00514C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149D" w14:textId="5FBF4234" w:rsidR="00C56970" w:rsidRPr="00C56970" w:rsidRDefault="00C56970" w:rsidP="00C56970">
    <w:pPr>
      <w:pStyle w:val="Footer"/>
      <w:tabs>
        <w:tab w:val="right" w:pos="9638"/>
      </w:tabs>
    </w:pPr>
    <w:r w:rsidRPr="00C56970">
      <w:rPr>
        <w:b/>
        <w:sz w:val="18"/>
      </w:rPr>
      <w:fldChar w:fldCharType="begin"/>
    </w:r>
    <w:r w:rsidRPr="00C56970">
      <w:rPr>
        <w:b/>
        <w:sz w:val="18"/>
      </w:rPr>
      <w:instrText xml:space="preserve"> PAGE  \* MERGEFORMAT </w:instrText>
    </w:r>
    <w:r w:rsidRPr="00C56970">
      <w:rPr>
        <w:b/>
        <w:sz w:val="18"/>
      </w:rPr>
      <w:fldChar w:fldCharType="separate"/>
    </w:r>
    <w:r w:rsidRPr="00C56970">
      <w:rPr>
        <w:b/>
        <w:noProof/>
        <w:sz w:val="18"/>
      </w:rPr>
      <w:t>2</w:t>
    </w:r>
    <w:r w:rsidRPr="00C56970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45B4" w14:textId="475B9C1B" w:rsidR="00C56970" w:rsidRPr="00C56970" w:rsidRDefault="00C56970" w:rsidP="00C56970">
    <w:pPr>
      <w:pStyle w:val="Footer"/>
      <w:tabs>
        <w:tab w:val="right" w:pos="9638"/>
      </w:tabs>
      <w:rPr>
        <w:b/>
        <w:sz w:val="18"/>
      </w:rPr>
    </w:pPr>
    <w:r>
      <w:tab/>
    </w:r>
    <w:r w:rsidRPr="00C56970">
      <w:rPr>
        <w:b/>
        <w:sz w:val="18"/>
      </w:rPr>
      <w:fldChar w:fldCharType="begin"/>
    </w:r>
    <w:r w:rsidRPr="00C56970">
      <w:rPr>
        <w:b/>
        <w:sz w:val="18"/>
      </w:rPr>
      <w:instrText xml:space="preserve"> PAGE  \* MERGEFORMAT </w:instrText>
    </w:r>
    <w:r w:rsidRPr="00C56970">
      <w:rPr>
        <w:b/>
        <w:sz w:val="18"/>
      </w:rPr>
      <w:fldChar w:fldCharType="separate"/>
    </w:r>
    <w:r w:rsidRPr="00C56970">
      <w:rPr>
        <w:b/>
        <w:noProof/>
        <w:sz w:val="18"/>
      </w:rPr>
      <w:t>3</w:t>
    </w:r>
    <w:r w:rsidRPr="00C569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1886" w14:textId="52B4E903" w:rsidR="007F20FA" w:rsidRPr="00C56970" w:rsidRDefault="007F20FA" w:rsidP="00C56970">
    <w:pPr>
      <w:pStyle w:val="Footer"/>
      <w:spacing w:before="120"/>
      <w:rPr>
        <w:sz w:val="20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3253307" wp14:editId="47E75A2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4507" w14:textId="77777777" w:rsidR="00514CB8" w:rsidRPr="00AC3823" w:rsidRDefault="00514C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6FCC6C" w14:textId="77777777" w:rsidR="00514CB8" w:rsidRPr="00AC3823" w:rsidRDefault="00514C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B98B8A" w14:textId="77777777" w:rsidR="00514CB8" w:rsidRPr="00AC3823" w:rsidRDefault="00514CB8">
      <w:pPr>
        <w:spacing w:line="240" w:lineRule="auto"/>
        <w:rPr>
          <w:sz w:val="2"/>
          <w:szCs w:val="2"/>
        </w:rPr>
      </w:pPr>
    </w:p>
  </w:footnote>
  <w:footnote w:id="2">
    <w:p w14:paraId="21271DF9" w14:textId="3CAC52C9" w:rsidR="00A96D00" w:rsidRDefault="00A96D00" w:rsidP="00FF5B01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="00FF5B01" w:rsidRPr="007054A5">
        <w:t>A/7</w:t>
      </w:r>
      <w:r w:rsidR="00FF5B01">
        <w:t>7</w:t>
      </w:r>
      <w:r w:rsidR="00FF5B01" w:rsidRPr="007054A5">
        <w:t>/6 (Sect.20), para. 20.76</w:t>
      </w:r>
    </w:p>
  </w:footnote>
  <w:footnote w:id="3">
    <w:p w14:paraId="7B7265D9" w14:textId="433C4010" w:rsidR="008337E8" w:rsidRDefault="008337E8" w:rsidP="008337E8">
      <w:pPr>
        <w:pStyle w:val="FootnoteText"/>
        <w:ind w:firstLine="0"/>
      </w:pPr>
      <w:r>
        <w:rPr>
          <w:rStyle w:val="FootnoteReference"/>
        </w:rPr>
        <w:t>**</w:t>
      </w:r>
      <w:r>
        <w:t xml:space="preserve"> </w:t>
      </w:r>
      <w:r>
        <w:rPr>
          <w:lang w:val="fr-FR"/>
        </w:rPr>
        <w:t>Diffusée par l’Organisation intergouvernementale pour les transports internationaux ferroviaires (OTIF) sous la cote OTIF/RID/RC/2023/17</w:t>
      </w:r>
      <w:r w:rsidR="005A1E76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640E" w14:textId="76C58CB5" w:rsidR="00C56970" w:rsidRPr="00C56970" w:rsidRDefault="00595582">
    <w:pPr>
      <w:pStyle w:val="Header"/>
    </w:pPr>
    <w:fldSimple w:instr=" TITLE  \* MERGEFORMAT ">
      <w:r w:rsidR="00313FB6">
        <w:t>ECE/TRANS/WP.15/AC.1/2023/</w:t>
      </w:r>
    </w:fldSimple>
    <w:r w:rsidR="00E163ED"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410B" w14:textId="7B4B925F" w:rsidR="00C56970" w:rsidRPr="00C56970" w:rsidRDefault="00595582" w:rsidP="00C56970">
    <w:pPr>
      <w:pStyle w:val="Header"/>
      <w:jc w:val="right"/>
    </w:pPr>
    <w:fldSimple w:instr=" TITLE  \* MERGEFORMAT ">
      <w:r w:rsidR="00313FB6">
        <w:t>ECE/TRANS/WP.15/AC.1/2023/</w:t>
      </w:r>
    </w:fldSimple>
    <w:r w:rsidR="00046520"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37A38"/>
    <w:multiLevelType w:val="hybridMultilevel"/>
    <w:tmpl w:val="2C3AF442"/>
    <w:lvl w:ilvl="0" w:tplc="10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ED15AF2"/>
    <w:multiLevelType w:val="hybridMultilevel"/>
    <w:tmpl w:val="1BA27958"/>
    <w:lvl w:ilvl="0" w:tplc="22962B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0B82442"/>
    <w:multiLevelType w:val="hybridMultilevel"/>
    <w:tmpl w:val="6746615C"/>
    <w:lvl w:ilvl="0" w:tplc="5492E994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90"/>
    <w:rsid w:val="00001C8E"/>
    <w:rsid w:val="00006D8D"/>
    <w:rsid w:val="00017F94"/>
    <w:rsid w:val="00023842"/>
    <w:rsid w:val="000305AE"/>
    <w:rsid w:val="000334F9"/>
    <w:rsid w:val="00037AFB"/>
    <w:rsid w:val="00045FEB"/>
    <w:rsid w:val="00046296"/>
    <w:rsid w:val="00046520"/>
    <w:rsid w:val="00065024"/>
    <w:rsid w:val="0007796D"/>
    <w:rsid w:val="00094050"/>
    <w:rsid w:val="000B7790"/>
    <w:rsid w:val="00111F2F"/>
    <w:rsid w:val="00130F4F"/>
    <w:rsid w:val="0014365E"/>
    <w:rsid w:val="00143C66"/>
    <w:rsid w:val="00176178"/>
    <w:rsid w:val="00192C09"/>
    <w:rsid w:val="001A55D6"/>
    <w:rsid w:val="001A5DB0"/>
    <w:rsid w:val="001D24B3"/>
    <w:rsid w:val="001D4663"/>
    <w:rsid w:val="001D4C28"/>
    <w:rsid w:val="001F525A"/>
    <w:rsid w:val="00201148"/>
    <w:rsid w:val="0020153B"/>
    <w:rsid w:val="002131DF"/>
    <w:rsid w:val="00223272"/>
    <w:rsid w:val="00224C72"/>
    <w:rsid w:val="00245234"/>
    <w:rsid w:val="0024779E"/>
    <w:rsid w:val="00257168"/>
    <w:rsid w:val="002744B8"/>
    <w:rsid w:val="002832AC"/>
    <w:rsid w:val="002D3B99"/>
    <w:rsid w:val="002D7C93"/>
    <w:rsid w:val="00305801"/>
    <w:rsid w:val="00313FB6"/>
    <w:rsid w:val="00314BD9"/>
    <w:rsid w:val="0037149E"/>
    <w:rsid w:val="0037556C"/>
    <w:rsid w:val="00382DAC"/>
    <w:rsid w:val="00387A89"/>
    <w:rsid w:val="003916DE"/>
    <w:rsid w:val="00396A9D"/>
    <w:rsid w:val="00397C99"/>
    <w:rsid w:val="003A2C0E"/>
    <w:rsid w:val="003C30A7"/>
    <w:rsid w:val="003C50E1"/>
    <w:rsid w:val="003D1DE5"/>
    <w:rsid w:val="003E3A22"/>
    <w:rsid w:val="0040345B"/>
    <w:rsid w:val="00421996"/>
    <w:rsid w:val="00441C3B"/>
    <w:rsid w:val="00446FE5"/>
    <w:rsid w:val="00452396"/>
    <w:rsid w:val="00471F51"/>
    <w:rsid w:val="00477A91"/>
    <w:rsid w:val="00477EB2"/>
    <w:rsid w:val="004837D8"/>
    <w:rsid w:val="004842A7"/>
    <w:rsid w:val="00493CED"/>
    <w:rsid w:val="004A189D"/>
    <w:rsid w:val="004B52FB"/>
    <w:rsid w:val="004D3E57"/>
    <w:rsid w:val="004E2EED"/>
    <w:rsid w:val="004E468C"/>
    <w:rsid w:val="00513BD3"/>
    <w:rsid w:val="00514CB8"/>
    <w:rsid w:val="005165CB"/>
    <w:rsid w:val="00541148"/>
    <w:rsid w:val="005505B7"/>
    <w:rsid w:val="005509A7"/>
    <w:rsid w:val="005534E4"/>
    <w:rsid w:val="00571E4D"/>
    <w:rsid w:val="00573BE5"/>
    <w:rsid w:val="00581B80"/>
    <w:rsid w:val="00583924"/>
    <w:rsid w:val="00585D87"/>
    <w:rsid w:val="00586ED3"/>
    <w:rsid w:val="00591E56"/>
    <w:rsid w:val="00595582"/>
    <w:rsid w:val="00596AA9"/>
    <w:rsid w:val="005A1E76"/>
    <w:rsid w:val="005B0DB4"/>
    <w:rsid w:val="005C058C"/>
    <w:rsid w:val="005C71D6"/>
    <w:rsid w:val="00600220"/>
    <w:rsid w:val="006128A4"/>
    <w:rsid w:val="006222F4"/>
    <w:rsid w:val="00623E5A"/>
    <w:rsid w:val="006256AF"/>
    <w:rsid w:val="00626D77"/>
    <w:rsid w:val="00656B38"/>
    <w:rsid w:val="006710F8"/>
    <w:rsid w:val="00684E9D"/>
    <w:rsid w:val="006905AC"/>
    <w:rsid w:val="00690A61"/>
    <w:rsid w:val="006A02E6"/>
    <w:rsid w:val="006A4506"/>
    <w:rsid w:val="006B2BD1"/>
    <w:rsid w:val="006C1F1A"/>
    <w:rsid w:val="006E21E8"/>
    <w:rsid w:val="006E7C78"/>
    <w:rsid w:val="00703498"/>
    <w:rsid w:val="0071601D"/>
    <w:rsid w:val="00734067"/>
    <w:rsid w:val="00760939"/>
    <w:rsid w:val="0078440A"/>
    <w:rsid w:val="007A3BCC"/>
    <w:rsid w:val="007A62E6"/>
    <w:rsid w:val="007B00AA"/>
    <w:rsid w:val="007C1424"/>
    <w:rsid w:val="007C5FE9"/>
    <w:rsid w:val="007D70BE"/>
    <w:rsid w:val="007F20FA"/>
    <w:rsid w:val="0080684C"/>
    <w:rsid w:val="0081108B"/>
    <w:rsid w:val="00813A90"/>
    <w:rsid w:val="00825B43"/>
    <w:rsid w:val="008337E8"/>
    <w:rsid w:val="008362B9"/>
    <w:rsid w:val="00840D38"/>
    <w:rsid w:val="00871C75"/>
    <w:rsid w:val="008776DC"/>
    <w:rsid w:val="008A7FA9"/>
    <w:rsid w:val="008C1491"/>
    <w:rsid w:val="008D5EF9"/>
    <w:rsid w:val="008F5421"/>
    <w:rsid w:val="00913DFC"/>
    <w:rsid w:val="00917DD2"/>
    <w:rsid w:val="00925BFD"/>
    <w:rsid w:val="00941E66"/>
    <w:rsid w:val="00944017"/>
    <w:rsid w:val="009446C0"/>
    <w:rsid w:val="0094753D"/>
    <w:rsid w:val="009705C8"/>
    <w:rsid w:val="00985711"/>
    <w:rsid w:val="009B2F25"/>
    <w:rsid w:val="009B52F1"/>
    <w:rsid w:val="009C1CF4"/>
    <w:rsid w:val="009F4008"/>
    <w:rsid w:val="009F6B74"/>
    <w:rsid w:val="00A07E37"/>
    <w:rsid w:val="00A13FDA"/>
    <w:rsid w:val="00A3029F"/>
    <w:rsid w:val="00A30353"/>
    <w:rsid w:val="00A41F64"/>
    <w:rsid w:val="00A54265"/>
    <w:rsid w:val="00A96D00"/>
    <w:rsid w:val="00AC34C9"/>
    <w:rsid w:val="00AC3823"/>
    <w:rsid w:val="00AE323C"/>
    <w:rsid w:val="00AE47DF"/>
    <w:rsid w:val="00AE6EAD"/>
    <w:rsid w:val="00AE7579"/>
    <w:rsid w:val="00AF0CB5"/>
    <w:rsid w:val="00AF3463"/>
    <w:rsid w:val="00B00181"/>
    <w:rsid w:val="00B00B0D"/>
    <w:rsid w:val="00B04669"/>
    <w:rsid w:val="00B05E31"/>
    <w:rsid w:val="00B45F2E"/>
    <w:rsid w:val="00B525D4"/>
    <w:rsid w:val="00B55011"/>
    <w:rsid w:val="00B765F7"/>
    <w:rsid w:val="00B77993"/>
    <w:rsid w:val="00B96725"/>
    <w:rsid w:val="00BA0CA9"/>
    <w:rsid w:val="00BC259C"/>
    <w:rsid w:val="00C02897"/>
    <w:rsid w:val="00C06FF4"/>
    <w:rsid w:val="00C13EB8"/>
    <w:rsid w:val="00C144DD"/>
    <w:rsid w:val="00C222C0"/>
    <w:rsid w:val="00C231FC"/>
    <w:rsid w:val="00C30FEF"/>
    <w:rsid w:val="00C4008A"/>
    <w:rsid w:val="00C56970"/>
    <w:rsid w:val="00C75F78"/>
    <w:rsid w:val="00C80D5F"/>
    <w:rsid w:val="00C84BF3"/>
    <w:rsid w:val="00C97039"/>
    <w:rsid w:val="00CC25E9"/>
    <w:rsid w:val="00CF1159"/>
    <w:rsid w:val="00D065A8"/>
    <w:rsid w:val="00D16121"/>
    <w:rsid w:val="00D3287C"/>
    <w:rsid w:val="00D3439C"/>
    <w:rsid w:val="00D54349"/>
    <w:rsid w:val="00D672E1"/>
    <w:rsid w:val="00D719E3"/>
    <w:rsid w:val="00D7622E"/>
    <w:rsid w:val="00D92405"/>
    <w:rsid w:val="00DA4B01"/>
    <w:rsid w:val="00DA5119"/>
    <w:rsid w:val="00DB00CB"/>
    <w:rsid w:val="00DB1831"/>
    <w:rsid w:val="00DB36A3"/>
    <w:rsid w:val="00DC2B05"/>
    <w:rsid w:val="00DD126A"/>
    <w:rsid w:val="00DD3BFD"/>
    <w:rsid w:val="00DF1250"/>
    <w:rsid w:val="00DF6678"/>
    <w:rsid w:val="00DF679B"/>
    <w:rsid w:val="00E0299A"/>
    <w:rsid w:val="00E163ED"/>
    <w:rsid w:val="00E2305D"/>
    <w:rsid w:val="00E2384D"/>
    <w:rsid w:val="00E36BFB"/>
    <w:rsid w:val="00E46545"/>
    <w:rsid w:val="00E56392"/>
    <w:rsid w:val="00E60FDB"/>
    <w:rsid w:val="00E71AC4"/>
    <w:rsid w:val="00E84B14"/>
    <w:rsid w:val="00E85C74"/>
    <w:rsid w:val="00EA6547"/>
    <w:rsid w:val="00EA73F6"/>
    <w:rsid w:val="00EB2804"/>
    <w:rsid w:val="00EC44DC"/>
    <w:rsid w:val="00ED6206"/>
    <w:rsid w:val="00ED7237"/>
    <w:rsid w:val="00EE5C14"/>
    <w:rsid w:val="00EF2E22"/>
    <w:rsid w:val="00F03EE0"/>
    <w:rsid w:val="00F35BAF"/>
    <w:rsid w:val="00F40A2C"/>
    <w:rsid w:val="00F56FF4"/>
    <w:rsid w:val="00F660DF"/>
    <w:rsid w:val="00F81FEF"/>
    <w:rsid w:val="00F83461"/>
    <w:rsid w:val="00F94664"/>
    <w:rsid w:val="00F9573C"/>
    <w:rsid w:val="00F95C08"/>
    <w:rsid w:val="00F95DDB"/>
    <w:rsid w:val="00FB32AB"/>
    <w:rsid w:val="00FF1E94"/>
    <w:rsid w:val="00FF4BA2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FCD72"/>
  <w15:docId w15:val="{C0E0EA6B-AE79-4518-8E02-5A73DA31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locked/>
    <w:rsid w:val="00C06FF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119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qFormat/>
    <w:locked/>
    <w:rsid w:val="00DF12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qFormat/>
    <w:locked/>
    <w:rsid w:val="00DF1250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dangerous-goods/adr-interpretation-list?accordion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FD2C6-37B9-4EA0-BFC2-E79E7F078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2D4A5-1E31-44B9-91A5-75A6AFC2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5E851-F664-4C3A-8AFC-AD89B19C2DE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20986555-80CA-4EC3-992A-91C9C34A9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ECE/TRANS/WP.15/AC.1/2023/</vt:lpstr>
    </vt:vector>
  </TitlesOfParts>
  <Company>DCM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</dc:title>
  <dc:subject/>
  <dc:creator>Laurence Berthet</dc:creator>
  <cp:keywords/>
  <cp:lastModifiedBy>Laurence Berthet</cp:lastModifiedBy>
  <cp:revision>14</cp:revision>
  <cp:lastPrinted>2022-12-28T11:54:00Z</cp:lastPrinted>
  <dcterms:created xsi:type="dcterms:W3CDTF">2022-12-26T15:11:00Z</dcterms:created>
  <dcterms:modified xsi:type="dcterms:W3CDTF">2022-12-28T11:55:00Z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