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7835433" w14:textId="77777777" w:rsidTr="00C97039">
        <w:trPr>
          <w:trHeight w:hRule="exact" w:val="851"/>
        </w:trPr>
        <w:tc>
          <w:tcPr>
            <w:tcW w:w="1276" w:type="dxa"/>
            <w:tcBorders>
              <w:bottom w:val="single" w:sz="4" w:space="0" w:color="auto"/>
            </w:tcBorders>
          </w:tcPr>
          <w:p w14:paraId="122BF39E" w14:textId="77777777" w:rsidR="00F35BAF" w:rsidRPr="00DB58B5" w:rsidRDefault="00F35BAF" w:rsidP="00AB319C"/>
        </w:tc>
        <w:tc>
          <w:tcPr>
            <w:tcW w:w="2268" w:type="dxa"/>
            <w:tcBorders>
              <w:bottom w:val="single" w:sz="4" w:space="0" w:color="auto"/>
            </w:tcBorders>
            <w:vAlign w:val="bottom"/>
          </w:tcPr>
          <w:p w14:paraId="3B2DA37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0E475AD" w14:textId="14164EB6" w:rsidR="00F35BAF" w:rsidRPr="00DB58B5" w:rsidRDefault="00AB319C" w:rsidP="00AB319C">
            <w:pPr>
              <w:jc w:val="right"/>
            </w:pPr>
            <w:r w:rsidRPr="00AB319C">
              <w:rPr>
                <w:sz w:val="40"/>
              </w:rPr>
              <w:t>ECE</w:t>
            </w:r>
            <w:r>
              <w:t>/TRANS/WP.15/AC.1/2023/11</w:t>
            </w:r>
          </w:p>
        </w:tc>
      </w:tr>
      <w:tr w:rsidR="00F35BAF" w:rsidRPr="00DB58B5" w14:paraId="65462401" w14:textId="77777777" w:rsidTr="00C97039">
        <w:trPr>
          <w:trHeight w:hRule="exact" w:val="2835"/>
        </w:trPr>
        <w:tc>
          <w:tcPr>
            <w:tcW w:w="1276" w:type="dxa"/>
            <w:tcBorders>
              <w:top w:val="single" w:sz="4" w:space="0" w:color="auto"/>
              <w:bottom w:val="single" w:sz="12" w:space="0" w:color="auto"/>
            </w:tcBorders>
          </w:tcPr>
          <w:p w14:paraId="44420703" w14:textId="77777777" w:rsidR="00F35BAF" w:rsidRPr="00DB58B5" w:rsidRDefault="00F35BAF" w:rsidP="00C97039">
            <w:pPr>
              <w:spacing w:before="120"/>
              <w:jc w:val="center"/>
            </w:pPr>
            <w:r>
              <w:rPr>
                <w:noProof/>
                <w:lang w:eastAsia="fr-CH"/>
              </w:rPr>
              <w:drawing>
                <wp:inline distT="0" distB="0" distL="0" distR="0" wp14:anchorId="4379E2C1" wp14:editId="35FCE7B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13D9C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C3E37C7" w14:textId="77777777" w:rsidR="00F35BAF" w:rsidRDefault="00AB319C" w:rsidP="00C97039">
            <w:pPr>
              <w:spacing w:before="240"/>
            </w:pPr>
            <w:r>
              <w:t>Distr. générale</w:t>
            </w:r>
          </w:p>
          <w:p w14:paraId="4478252E" w14:textId="77777777" w:rsidR="00AB319C" w:rsidRDefault="00AB319C" w:rsidP="00AB319C">
            <w:pPr>
              <w:spacing w:line="240" w:lineRule="exact"/>
            </w:pPr>
            <w:r>
              <w:t>15 décembre 2022</w:t>
            </w:r>
          </w:p>
          <w:p w14:paraId="0BC7C4F0" w14:textId="77777777" w:rsidR="00AB319C" w:rsidRDefault="00AB319C" w:rsidP="00AB319C">
            <w:pPr>
              <w:spacing w:line="240" w:lineRule="exact"/>
            </w:pPr>
            <w:r>
              <w:t>Français</w:t>
            </w:r>
          </w:p>
          <w:p w14:paraId="789773E6" w14:textId="2C6EF380" w:rsidR="00AB319C" w:rsidRPr="00DB58B5" w:rsidRDefault="00AB319C" w:rsidP="00AB319C">
            <w:pPr>
              <w:spacing w:line="240" w:lineRule="exact"/>
            </w:pPr>
            <w:r>
              <w:t>Original : anglais</w:t>
            </w:r>
          </w:p>
        </w:tc>
      </w:tr>
    </w:tbl>
    <w:p w14:paraId="4EE03878" w14:textId="77777777" w:rsidR="007F20FA" w:rsidRPr="000312C0" w:rsidRDefault="007F20FA" w:rsidP="007F20FA">
      <w:pPr>
        <w:spacing w:before="120"/>
        <w:rPr>
          <w:b/>
          <w:sz w:val="28"/>
          <w:szCs w:val="28"/>
        </w:rPr>
      </w:pPr>
      <w:r w:rsidRPr="000312C0">
        <w:rPr>
          <w:b/>
          <w:sz w:val="28"/>
          <w:szCs w:val="28"/>
        </w:rPr>
        <w:t>Commission économique pour l’Europe</w:t>
      </w:r>
    </w:p>
    <w:p w14:paraId="0AE321F9" w14:textId="77777777" w:rsidR="007F20FA" w:rsidRDefault="007F20FA" w:rsidP="007F20FA">
      <w:pPr>
        <w:spacing w:before="120"/>
        <w:rPr>
          <w:sz w:val="28"/>
          <w:szCs w:val="28"/>
        </w:rPr>
      </w:pPr>
      <w:r w:rsidRPr="00685843">
        <w:rPr>
          <w:sz w:val="28"/>
          <w:szCs w:val="28"/>
        </w:rPr>
        <w:t>Comité des transports intérieurs</w:t>
      </w:r>
    </w:p>
    <w:p w14:paraId="18EB856C" w14:textId="3499E7EC" w:rsidR="00AB319C" w:rsidRPr="00AB319C" w:rsidRDefault="00AB319C" w:rsidP="00AB319C">
      <w:pPr>
        <w:spacing w:before="120"/>
        <w:rPr>
          <w:b/>
          <w:sz w:val="32"/>
          <w:szCs w:val="32"/>
        </w:rPr>
      </w:pPr>
      <w:r w:rsidRPr="00AB319C">
        <w:rPr>
          <w:b/>
          <w:bCs/>
          <w:sz w:val="24"/>
          <w:szCs w:val="24"/>
          <w:lang w:val="fr-FR"/>
        </w:rPr>
        <w:t xml:space="preserve">Groupe de travail des transports </w:t>
      </w:r>
      <w:r>
        <w:rPr>
          <w:b/>
          <w:bCs/>
          <w:sz w:val="24"/>
          <w:szCs w:val="24"/>
          <w:lang w:val="fr-FR"/>
        </w:rPr>
        <w:br/>
      </w:r>
      <w:r w:rsidRPr="00AB319C">
        <w:rPr>
          <w:b/>
          <w:bCs/>
          <w:sz w:val="24"/>
          <w:szCs w:val="24"/>
          <w:lang w:val="fr-FR"/>
        </w:rPr>
        <w:t>de marchandises dangereuses</w:t>
      </w:r>
    </w:p>
    <w:p w14:paraId="1E6A2E2B" w14:textId="480C0DE7" w:rsidR="00AB319C" w:rsidRPr="00AB319C" w:rsidRDefault="00AB319C" w:rsidP="00AB319C">
      <w:pPr>
        <w:spacing w:before="120"/>
        <w:rPr>
          <w:b/>
        </w:rPr>
      </w:pPr>
      <w:r w:rsidRPr="00AB319C">
        <w:rPr>
          <w:b/>
          <w:bCs/>
          <w:lang w:val="fr-FR"/>
        </w:rPr>
        <w:t xml:space="preserve">Réunion commune de la Commission d’experts du RID et du Groupe </w:t>
      </w:r>
      <w:r>
        <w:rPr>
          <w:b/>
          <w:bCs/>
          <w:lang w:val="fr-FR"/>
        </w:rPr>
        <w:br/>
      </w:r>
      <w:r w:rsidRPr="00AB319C">
        <w:rPr>
          <w:b/>
          <w:bCs/>
          <w:lang w:val="fr-FR"/>
        </w:rPr>
        <w:t>de travail des transports de marchandises dangereuses</w:t>
      </w:r>
    </w:p>
    <w:p w14:paraId="6A79E85B" w14:textId="77777777" w:rsidR="00AB319C" w:rsidRPr="00AB319C" w:rsidRDefault="00AB319C" w:rsidP="00AB319C">
      <w:r w:rsidRPr="00AB319C">
        <w:rPr>
          <w:lang w:val="fr-FR"/>
        </w:rPr>
        <w:t>Berne, 20-24 mars 2023</w:t>
      </w:r>
    </w:p>
    <w:p w14:paraId="6B65133A" w14:textId="77777777" w:rsidR="00AB319C" w:rsidRDefault="00AB319C" w:rsidP="00AB319C">
      <w:pPr>
        <w:rPr>
          <w:b/>
          <w:bCs/>
          <w:lang w:val="fr-FR"/>
        </w:rPr>
      </w:pPr>
      <w:r w:rsidRPr="00AB319C">
        <w:rPr>
          <w:lang w:val="fr-FR"/>
        </w:rPr>
        <w:t xml:space="preserve">Point 5 b) de l’ordre du jour provisoire </w:t>
      </w:r>
      <w:r w:rsidRPr="00AB319C">
        <w:rPr>
          <w:lang w:val="fr-FR"/>
        </w:rPr>
        <w:br/>
      </w:r>
      <w:r w:rsidRPr="00AB319C">
        <w:rPr>
          <w:b/>
          <w:bCs/>
          <w:lang w:val="fr-FR"/>
        </w:rPr>
        <w:t>Propositions d’amendements au RID, à l’ADR et à l’ADN</w:t>
      </w:r>
      <w:r>
        <w:rPr>
          <w:b/>
          <w:bCs/>
          <w:lang w:val="fr-FR"/>
        </w:rPr>
        <w:t> </w:t>
      </w:r>
      <w:r w:rsidRPr="00AB319C">
        <w:rPr>
          <w:b/>
          <w:bCs/>
          <w:lang w:val="fr-FR"/>
        </w:rPr>
        <w:t>:</w:t>
      </w:r>
    </w:p>
    <w:p w14:paraId="61D3E8DD" w14:textId="3F34E5EA" w:rsidR="00AB319C" w:rsidRPr="00AB319C" w:rsidRDefault="00AB319C" w:rsidP="00AB319C">
      <w:pPr>
        <w:rPr>
          <w:b/>
          <w:bCs/>
        </w:rPr>
      </w:pPr>
      <w:r w:rsidRPr="00AB319C">
        <w:rPr>
          <w:b/>
          <w:bCs/>
          <w:lang w:val="fr-FR"/>
        </w:rPr>
        <w:t>Nouvelles propositions</w:t>
      </w:r>
    </w:p>
    <w:p w14:paraId="19993F27" w14:textId="0A4F0F6F" w:rsidR="00AB319C" w:rsidRDefault="00AB319C" w:rsidP="00AB319C">
      <w:pPr>
        <w:pStyle w:val="HChG"/>
        <w:rPr>
          <w:lang w:val="fr-FR"/>
        </w:rPr>
      </w:pPr>
      <w:r>
        <w:rPr>
          <w:lang w:val="fr-FR"/>
        </w:rPr>
        <w:tab/>
      </w:r>
      <w:r>
        <w:rPr>
          <w:lang w:val="fr-FR"/>
        </w:rPr>
        <w:tab/>
        <w:t>Modification de l’instruction d’emballage P 200 au 4.1.4.1 : dispositifs de décompression interdits pour les bouteilles d’acétylène « non UN »</w:t>
      </w:r>
    </w:p>
    <w:p w14:paraId="1BE4F776" w14:textId="0D5443D1" w:rsidR="00AB319C" w:rsidRDefault="00AB319C" w:rsidP="00AB319C">
      <w:pPr>
        <w:pStyle w:val="H1G"/>
        <w:rPr>
          <w:b w:val="0"/>
          <w:bCs/>
          <w:sz w:val="20"/>
        </w:rPr>
      </w:pPr>
      <w:r>
        <w:rPr>
          <w:lang w:val="fr-FR"/>
        </w:rPr>
        <w:tab/>
      </w:r>
      <w:r>
        <w:rPr>
          <w:lang w:val="fr-FR"/>
        </w:rPr>
        <w:tab/>
        <w:t>Communication du Gouvernement allemand</w:t>
      </w:r>
      <w:r w:rsidRPr="00AB319C">
        <w:rPr>
          <w:rStyle w:val="FootnoteReference"/>
          <w:b w:val="0"/>
          <w:bCs/>
          <w:sz w:val="20"/>
          <w:vertAlign w:val="baseline"/>
        </w:rPr>
        <w:footnoteReference w:customMarkFollows="1" w:id="2"/>
        <w:t>*</w:t>
      </w:r>
      <w:r w:rsidRPr="00AB319C">
        <w:rPr>
          <w:b w:val="0"/>
          <w:bCs/>
          <w:sz w:val="20"/>
          <w:vertAlign w:val="superscript"/>
        </w:rPr>
        <w:t xml:space="preserve">, </w:t>
      </w:r>
      <w:r w:rsidRPr="00AB319C">
        <w:rPr>
          <w:rStyle w:val="FootnoteReference"/>
          <w:b w:val="0"/>
          <w:bCs/>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AB319C" w14:paraId="13E7F983" w14:textId="77777777">
        <w:trPr>
          <w:jc w:val="center"/>
        </w:trPr>
        <w:tc>
          <w:tcPr>
            <w:tcW w:w="9637" w:type="dxa"/>
            <w:shd w:val="clear" w:color="auto" w:fill="auto"/>
          </w:tcPr>
          <w:p w14:paraId="6771CD90" w14:textId="77777777" w:rsidR="00AB319C" w:rsidRDefault="00AB319C">
            <w:pPr>
              <w:spacing w:before="240" w:after="120"/>
              <w:ind w:left="255"/>
              <w:rPr>
                <w:i/>
                <w:sz w:val="24"/>
              </w:rPr>
            </w:pPr>
            <w:r>
              <w:rPr>
                <w:i/>
                <w:sz w:val="24"/>
              </w:rPr>
              <w:t>Résumé</w:t>
            </w:r>
          </w:p>
        </w:tc>
      </w:tr>
      <w:tr w:rsidR="00AB319C" w14:paraId="6F0D2CB4" w14:textId="77777777">
        <w:trPr>
          <w:jc w:val="center"/>
        </w:trPr>
        <w:tc>
          <w:tcPr>
            <w:tcW w:w="9637" w:type="dxa"/>
            <w:shd w:val="clear" w:color="auto" w:fill="auto"/>
          </w:tcPr>
          <w:p w14:paraId="455BD528" w14:textId="30AED5C4" w:rsidR="00AB319C" w:rsidRDefault="00AB319C" w:rsidP="00AB319C">
            <w:pPr>
              <w:pStyle w:val="SingleTxtG"/>
              <w:tabs>
                <w:tab w:val="left" w:pos="3273"/>
              </w:tabs>
              <w:ind w:left="3273" w:hanging="2139"/>
            </w:pPr>
            <w:r>
              <w:rPr>
                <w:b/>
                <w:bCs/>
                <w:i/>
                <w:iCs/>
                <w:lang w:val="fr-FR"/>
              </w:rPr>
              <w:t>Résumé analytique :</w:t>
            </w:r>
            <w:r>
              <w:rPr>
                <w:b/>
                <w:bCs/>
                <w:i/>
                <w:iCs/>
                <w:lang w:val="fr-FR"/>
              </w:rPr>
              <w:tab/>
            </w:r>
            <w:r>
              <w:rPr>
                <w:lang w:val="fr-FR"/>
              </w:rPr>
              <w:t>Il est proposé de modifier l’instruction d’emballage P 200 en vue d’harmoniser les règles relatives à l’interdiction des dispositifs de décompression pour les bouteilles d’acétylène « non UN » dans le RID et l’ADR.</w:t>
            </w:r>
          </w:p>
        </w:tc>
      </w:tr>
      <w:tr w:rsidR="00AB319C" w14:paraId="3B8BCBCE" w14:textId="77777777">
        <w:trPr>
          <w:jc w:val="center"/>
        </w:trPr>
        <w:tc>
          <w:tcPr>
            <w:tcW w:w="9637" w:type="dxa"/>
            <w:shd w:val="clear" w:color="auto" w:fill="auto"/>
          </w:tcPr>
          <w:p w14:paraId="0046EA01" w14:textId="636004B9" w:rsidR="00AB319C" w:rsidRDefault="00AB319C" w:rsidP="00AB319C">
            <w:pPr>
              <w:pStyle w:val="SingleTxtG"/>
              <w:tabs>
                <w:tab w:val="left" w:pos="3273"/>
              </w:tabs>
              <w:ind w:left="3273" w:hanging="2139"/>
            </w:pPr>
            <w:r>
              <w:rPr>
                <w:b/>
                <w:bCs/>
                <w:i/>
                <w:iCs/>
                <w:lang w:val="fr-FR"/>
              </w:rPr>
              <w:t>Mesure à prendre :</w:t>
            </w:r>
            <w:r>
              <w:rPr>
                <w:b/>
                <w:bCs/>
                <w:i/>
                <w:iCs/>
                <w:lang w:val="fr-FR"/>
              </w:rPr>
              <w:tab/>
            </w:r>
            <w:r>
              <w:rPr>
                <w:lang w:val="fr-FR"/>
              </w:rPr>
              <w:t>Modification de l’instruction d’emballage P 200</w:t>
            </w:r>
          </w:p>
        </w:tc>
      </w:tr>
      <w:tr w:rsidR="00AB319C" w14:paraId="1BD25C6A" w14:textId="77777777">
        <w:trPr>
          <w:jc w:val="center"/>
        </w:trPr>
        <w:tc>
          <w:tcPr>
            <w:tcW w:w="9637" w:type="dxa"/>
            <w:shd w:val="clear" w:color="auto" w:fill="auto"/>
          </w:tcPr>
          <w:p w14:paraId="07DF47CE" w14:textId="1CE5A31A" w:rsidR="00AB319C" w:rsidRDefault="00AB319C" w:rsidP="00AB319C">
            <w:pPr>
              <w:pStyle w:val="SingleTxtG"/>
              <w:tabs>
                <w:tab w:val="left" w:pos="3273"/>
              </w:tabs>
              <w:ind w:left="3273" w:hanging="2139"/>
            </w:pPr>
            <w:r>
              <w:rPr>
                <w:b/>
                <w:bCs/>
                <w:i/>
                <w:iCs/>
                <w:lang w:val="fr-FR"/>
              </w:rPr>
              <w:t>Documents connexes :</w:t>
            </w:r>
            <w:r>
              <w:rPr>
                <w:b/>
                <w:bCs/>
                <w:i/>
                <w:iCs/>
                <w:lang w:val="fr-FR"/>
              </w:rPr>
              <w:tab/>
            </w:r>
            <w:r>
              <w:rPr>
                <w:lang w:val="fr-FR"/>
              </w:rPr>
              <w:t>ECE/TRANS/WP.15/AC.1/2021/20</w:t>
            </w:r>
            <w:r>
              <w:rPr>
                <w:lang w:val="fr-FR"/>
              </w:rPr>
              <w:br/>
              <w:t>Document informel INF.8 de la session de mars 2021 de la Réunion commune.</w:t>
            </w:r>
          </w:p>
        </w:tc>
      </w:tr>
      <w:tr w:rsidR="00AB319C" w14:paraId="26F6D405" w14:textId="77777777">
        <w:trPr>
          <w:jc w:val="center"/>
        </w:trPr>
        <w:tc>
          <w:tcPr>
            <w:tcW w:w="9637" w:type="dxa"/>
            <w:shd w:val="clear" w:color="auto" w:fill="auto"/>
          </w:tcPr>
          <w:p w14:paraId="6778F90A" w14:textId="77777777" w:rsidR="00AB319C" w:rsidRDefault="00AB319C"/>
        </w:tc>
      </w:tr>
    </w:tbl>
    <w:p w14:paraId="793D4996" w14:textId="77777777" w:rsidR="00AB319C" w:rsidRPr="009A4FCB" w:rsidRDefault="00AB319C" w:rsidP="00AB319C">
      <w:pPr>
        <w:pStyle w:val="HChG"/>
      </w:pPr>
      <w:r>
        <w:rPr>
          <w:lang w:val="fr-FR"/>
        </w:rPr>
        <w:tab/>
      </w:r>
      <w:r>
        <w:rPr>
          <w:lang w:val="fr-FR"/>
        </w:rPr>
        <w:tab/>
        <w:t>Introduction</w:t>
      </w:r>
    </w:p>
    <w:p w14:paraId="3F3CE578" w14:textId="77777777" w:rsidR="00AB319C" w:rsidRPr="009A4FCB" w:rsidRDefault="00AB319C" w:rsidP="00AB319C">
      <w:pPr>
        <w:pStyle w:val="SingleTxtG"/>
      </w:pPr>
      <w:r>
        <w:rPr>
          <w:lang w:val="fr-FR"/>
        </w:rPr>
        <w:t>1.</w:t>
      </w:r>
      <w:r>
        <w:rPr>
          <w:lang w:val="fr-FR"/>
        </w:rPr>
        <w:tab/>
        <w:t>À sa session du printemps 2021, la Réunion commune a approuvé une proposition de l’Allemagne visant à modifier le 6.2.3.1.5 du RID et de l’ADR pour y préciser que ni les bouchons fusibles ni les dispositifs de décompression ne peuvent être utilisés pour les bouteilles d’acétylène « non UN ».</w:t>
      </w:r>
    </w:p>
    <w:p w14:paraId="1E3C0EAD" w14:textId="440B02CB" w:rsidR="00AB319C" w:rsidRPr="009A4FCB" w:rsidRDefault="00AB319C" w:rsidP="00AB319C">
      <w:pPr>
        <w:pStyle w:val="SingleTxtG"/>
      </w:pPr>
      <w:r>
        <w:rPr>
          <w:lang w:val="fr-FR"/>
        </w:rPr>
        <w:lastRenderedPageBreak/>
        <w:t>2.</w:t>
      </w:r>
      <w:r>
        <w:rPr>
          <w:lang w:val="fr-FR"/>
        </w:rPr>
        <w:tab/>
        <w:t>Lorsque les amendements au RID et à l’ADR devant entrer en vigueur le 1</w:t>
      </w:r>
      <w:r w:rsidRPr="00D27C57">
        <w:rPr>
          <w:vertAlign w:val="superscript"/>
          <w:lang w:val="fr-FR"/>
        </w:rPr>
        <w:t>er</w:t>
      </w:r>
      <w:r>
        <w:rPr>
          <w:lang w:val="fr-FR"/>
        </w:rPr>
        <w:t> janvier 2023 ont été vérifiés, il a été constaté qu’un amendement de conséquence à opérer dans l’instruction d’emballage P 200, au 4.1.4.1, avait été omis ; en effet, au paragraphe 10 de l’instruction d’emballage P 200, la disposition spéciale d’emballage p prévoit une règle applicable au transport des bouteilles d’acétylène « non UN » munies d’un dispositif de décompression.</w:t>
      </w:r>
    </w:p>
    <w:p w14:paraId="010BD3C6" w14:textId="427CDB67" w:rsidR="00AB319C" w:rsidRPr="009A4FCB" w:rsidRDefault="00AB319C" w:rsidP="00AB319C">
      <w:pPr>
        <w:pStyle w:val="SingleTxtG"/>
      </w:pPr>
      <w:r>
        <w:rPr>
          <w:lang w:val="fr-FR"/>
        </w:rPr>
        <w:t>3.</w:t>
      </w:r>
      <w:r>
        <w:rPr>
          <w:lang w:val="fr-FR"/>
        </w:rPr>
        <w:tab/>
        <w:t>La proposition ci-dessous vise à adapter l’instruction d’emballage P 200 pour tenir compte de la modification apportée au 6.2.3.1.5 du RID et de l’ADR. Grâce à cet amendement de conséquence, cette instruction sera, elle aussi, claire quant au fait qu’aucun dispositif de décompression ne peut être utilisé pour les bouteilles d’acétylène « non UN ».</w:t>
      </w:r>
    </w:p>
    <w:p w14:paraId="3DC80D00" w14:textId="77777777" w:rsidR="00AB319C" w:rsidRPr="009A4FCB" w:rsidRDefault="00AB319C" w:rsidP="00AB319C">
      <w:pPr>
        <w:pStyle w:val="HChG"/>
      </w:pPr>
      <w:r>
        <w:rPr>
          <w:lang w:val="fr-FR"/>
        </w:rPr>
        <w:tab/>
      </w:r>
      <w:r>
        <w:rPr>
          <w:lang w:val="fr-FR"/>
        </w:rPr>
        <w:tab/>
        <w:t>Proposition</w:t>
      </w:r>
    </w:p>
    <w:p w14:paraId="3EA78A13" w14:textId="5E4DB460" w:rsidR="00AB319C" w:rsidRPr="009A4FCB" w:rsidRDefault="00AB319C" w:rsidP="00AB319C">
      <w:pPr>
        <w:pStyle w:val="SingleTxtG"/>
      </w:pPr>
      <w:r>
        <w:rPr>
          <w:lang w:val="fr-FR"/>
        </w:rPr>
        <w:t>4.</w:t>
      </w:r>
      <w:r>
        <w:rPr>
          <w:lang w:val="fr-FR"/>
        </w:rPr>
        <w:tab/>
        <w:t>Au 4.1.4.1, dans l’instruction d’emballage P 200, modifier la disposition spéciale d’emballage p comme suit (les modifications qu’il est proposé d’apporter figurent en caractères biffés pour les suppressions) :</w:t>
      </w:r>
    </w:p>
    <w:p w14:paraId="3C68CE5F" w14:textId="63061E1E" w:rsidR="00AB319C" w:rsidRPr="00D46637" w:rsidRDefault="00AB319C" w:rsidP="00AB319C">
      <w:pPr>
        <w:pStyle w:val="SingleTxtG"/>
        <w:ind w:left="1701" w:firstLine="567"/>
      </w:pPr>
      <w:r>
        <w:rPr>
          <w:lang w:val="fr-FR"/>
        </w:rPr>
        <w:t>« Pour le No ONU 1001, acétylène dissous et le No ONU 3374, acétylène sans solvant, les bouteilles doivent être remplies d’une matière poreuse homogène monolithique ; la pression de service et la quantité d’acétylène ne doivent pas dépasser les valeurs prescrites dans le certificat d’agrément ou dans les normes ISO 3807</w:t>
      </w:r>
      <w:r>
        <w:rPr>
          <w:lang w:val="fr-FR"/>
        </w:rPr>
        <w:noBreakHyphen/>
        <w:t>1:2000, 3807-2:2000 ou 3807:2013, selon le cas.</w:t>
      </w:r>
    </w:p>
    <w:p w14:paraId="1BC1F9B1" w14:textId="762F7D60" w:rsidR="00AB319C" w:rsidRPr="00D46637" w:rsidRDefault="00AB319C" w:rsidP="00AB319C">
      <w:pPr>
        <w:pStyle w:val="SingleTxtG"/>
        <w:ind w:left="1701" w:firstLine="567"/>
      </w:pPr>
      <w:r>
        <w:rPr>
          <w:lang w:val="fr-FR"/>
        </w:rPr>
        <w:t xml:space="preserve">Pour le No ONU 1001, acétylène dissous, les bouteilles doivent contenir la quantité d’acétone ou de solvant approprié définie dans l’agrément (voir normes ISO 3807-1:2000, 3807-2:2000 ou 3807:2013, selon le cas) ; les bouteilles </w:t>
      </w:r>
      <w:r>
        <w:rPr>
          <w:strike/>
          <w:lang w:val="fr-FR"/>
        </w:rPr>
        <w:t xml:space="preserve">munies d’un dispositif de décompression ou </w:t>
      </w:r>
      <w:r>
        <w:rPr>
          <w:lang w:val="fr-FR"/>
        </w:rPr>
        <w:t>reliées entre elles au moyen d’un tuyau collecteur doivent être transportées en position verticale.</w:t>
      </w:r>
    </w:p>
    <w:p w14:paraId="7B94B358" w14:textId="35F5C8A7" w:rsidR="00AB319C" w:rsidRPr="00D46637" w:rsidRDefault="00AB319C" w:rsidP="00AB319C">
      <w:pPr>
        <w:pStyle w:val="SingleTxtG"/>
        <w:ind w:left="1701" w:firstLine="567"/>
      </w:pPr>
      <w:r>
        <w:rPr>
          <w:lang w:val="fr-FR"/>
        </w:rPr>
        <w:t>Alternativement, pour le No ONU 1001, acétylène dissous, les bouteilles qui ne sont pas des récipients à pression « UN » peuvent être remplies d’une matière poreuse non monolithique ; la pression de service, la quantité d’acétylène et la quantité de solvant ne doivent pas dépasser les valeurs prescrites dans le certificat d’agrément. La périodicité maximale des épreuves pour les contrôles périodique ne doit pas dépasser cinq ans.</w:t>
      </w:r>
    </w:p>
    <w:p w14:paraId="12B13214" w14:textId="5B6A86F3" w:rsidR="00AB319C" w:rsidRPr="00F35E36" w:rsidRDefault="00AB319C" w:rsidP="00AB319C">
      <w:pPr>
        <w:pStyle w:val="SingleTxtG"/>
        <w:ind w:left="1701" w:firstLine="567"/>
      </w:pPr>
      <w:r>
        <w:rPr>
          <w:lang w:val="fr-FR"/>
        </w:rPr>
        <w:t>L’épreuve de pression de 52 bar s’applique seulement aux bouteilles équipées d’un bouchon fusible. ».</w:t>
      </w:r>
    </w:p>
    <w:p w14:paraId="32DAED87" w14:textId="77777777" w:rsidR="00AB319C" w:rsidRPr="009A4FCB" w:rsidRDefault="00AB319C" w:rsidP="00AB319C">
      <w:pPr>
        <w:pStyle w:val="HChG"/>
      </w:pPr>
      <w:r>
        <w:rPr>
          <w:lang w:val="fr-FR"/>
        </w:rPr>
        <w:tab/>
      </w:r>
      <w:r>
        <w:rPr>
          <w:lang w:val="fr-FR"/>
        </w:rPr>
        <w:tab/>
        <w:t>Justification</w:t>
      </w:r>
    </w:p>
    <w:p w14:paraId="13D719BB" w14:textId="7A28E06E" w:rsidR="00AB319C" w:rsidRDefault="00AB319C" w:rsidP="00AB319C">
      <w:pPr>
        <w:pStyle w:val="SingleTxtG"/>
        <w:rPr>
          <w:lang w:val="fr-FR"/>
        </w:rPr>
      </w:pPr>
      <w:r>
        <w:rPr>
          <w:lang w:val="fr-FR"/>
        </w:rPr>
        <w:t>5.</w:t>
      </w:r>
      <w:r>
        <w:rPr>
          <w:lang w:val="fr-FR"/>
        </w:rPr>
        <w:tab/>
        <w:t>La modification qu’il est proposé d’apporter à l’instruction d’emballage P 200 vise à harmoniser les dispositions interdisant l’installation de dispositifs de décompression sur les bouteilles d’acétylène « non UN » dans le RID et l’ADR et à permettre que ces bouteilles soient transportées de façon plus sûre.</w:t>
      </w:r>
    </w:p>
    <w:p w14:paraId="0D36E17D" w14:textId="38CE725D" w:rsidR="00AB319C" w:rsidRPr="00AB319C" w:rsidRDefault="00AB319C" w:rsidP="00AB319C">
      <w:pPr>
        <w:pStyle w:val="SingleTxtG"/>
        <w:spacing w:before="240" w:after="0"/>
        <w:jc w:val="center"/>
        <w:rPr>
          <w:u w:val="single"/>
        </w:rPr>
      </w:pPr>
      <w:r>
        <w:rPr>
          <w:u w:val="single"/>
        </w:rPr>
        <w:tab/>
      </w:r>
      <w:r>
        <w:rPr>
          <w:u w:val="single"/>
        </w:rPr>
        <w:tab/>
      </w:r>
      <w:r>
        <w:rPr>
          <w:u w:val="single"/>
        </w:rPr>
        <w:tab/>
      </w:r>
      <w:r>
        <w:rPr>
          <w:u w:val="single"/>
        </w:rPr>
        <w:tab/>
      </w:r>
    </w:p>
    <w:sectPr w:rsidR="00AB319C" w:rsidRPr="00AB319C" w:rsidSect="00AB319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D665A" w14:textId="77777777" w:rsidR="009F70D4" w:rsidRDefault="009F70D4" w:rsidP="00F95C08">
      <w:pPr>
        <w:spacing w:line="240" w:lineRule="auto"/>
      </w:pPr>
    </w:p>
  </w:endnote>
  <w:endnote w:type="continuationSeparator" w:id="0">
    <w:p w14:paraId="0A92D3D7" w14:textId="77777777" w:rsidR="009F70D4" w:rsidRPr="00AC3823" w:rsidRDefault="009F70D4" w:rsidP="00AC3823">
      <w:pPr>
        <w:pStyle w:val="Footer"/>
      </w:pPr>
    </w:p>
  </w:endnote>
  <w:endnote w:type="continuationNotice" w:id="1">
    <w:p w14:paraId="43C7426C" w14:textId="77777777" w:rsidR="009F70D4" w:rsidRDefault="009F70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C31F" w14:textId="166EA8A1" w:rsidR="00AB319C" w:rsidRPr="00AB319C" w:rsidRDefault="00AB319C" w:rsidP="00AB319C">
    <w:pPr>
      <w:pStyle w:val="Footer"/>
      <w:tabs>
        <w:tab w:val="right" w:pos="9638"/>
      </w:tabs>
    </w:pPr>
    <w:r w:rsidRPr="00AB319C">
      <w:rPr>
        <w:b/>
        <w:sz w:val="18"/>
      </w:rPr>
      <w:fldChar w:fldCharType="begin"/>
    </w:r>
    <w:r w:rsidRPr="00AB319C">
      <w:rPr>
        <w:b/>
        <w:sz w:val="18"/>
      </w:rPr>
      <w:instrText xml:space="preserve"> PAGE  \* MERGEFORMAT </w:instrText>
    </w:r>
    <w:r w:rsidRPr="00AB319C">
      <w:rPr>
        <w:b/>
        <w:sz w:val="18"/>
      </w:rPr>
      <w:fldChar w:fldCharType="separate"/>
    </w:r>
    <w:r w:rsidRPr="00AB319C">
      <w:rPr>
        <w:b/>
        <w:noProof/>
        <w:sz w:val="18"/>
      </w:rPr>
      <w:t>2</w:t>
    </w:r>
    <w:r w:rsidRPr="00AB319C">
      <w:rPr>
        <w:b/>
        <w:sz w:val="18"/>
      </w:rPr>
      <w:fldChar w:fldCharType="end"/>
    </w:r>
    <w:r>
      <w:rPr>
        <w:b/>
        <w:sz w:val="18"/>
      </w:rPr>
      <w:tab/>
    </w:r>
    <w:r>
      <w:t>GE.22-28226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C3B0" w14:textId="0427B110" w:rsidR="00AB319C" w:rsidRPr="00AB319C" w:rsidRDefault="00AB319C" w:rsidP="00AB319C">
    <w:pPr>
      <w:pStyle w:val="Footer"/>
      <w:tabs>
        <w:tab w:val="right" w:pos="9638"/>
      </w:tabs>
      <w:rPr>
        <w:b/>
        <w:sz w:val="18"/>
      </w:rPr>
    </w:pPr>
    <w:r>
      <w:t>GE.22-28226</w:t>
    </w:r>
    <w:r>
      <w:tab/>
    </w:r>
    <w:r w:rsidRPr="00AB319C">
      <w:rPr>
        <w:b/>
        <w:sz w:val="18"/>
      </w:rPr>
      <w:fldChar w:fldCharType="begin"/>
    </w:r>
    <w:r w:rsidRPr="00AB319C">
      <w:rPr>
        <w:b/>
        <w:sz w:val="18"/>
      </w:rPr>
      <w:instrText xml:space="preserve"> PAGE  \* MERGEFORMAT </w:instrText>
    </w:r>
    <w:r w:rsidRPr="00AB319C">
      <w:rPr>
        <w:b/>
        <w:sz w:val="18"/>
      </w:rPr>
      <w:fldChar w:fldCharType="separate"/>
    </w:r>
    <w:r w:rsidRPr="00AB319C">
      <w:rPr>
        <w:b/>
        <w:noProof/>
        <w:sz w:val="18"/>
      </w:rPr>
      <w:t>3</w:t>
    </w:r>
    <w:r w:rsidRPr="00AB31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7513" w14:textId="7708526A" w:rsidR="007F20FA" w:rsidRPr="00AB319C" w:rsidRDefault="00AB319C" w:rsidP="00AB319C">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92B8806" wp14:editId="5D26E93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22-28226  (F)</w:t>
    </w:r>
    <w:r>
      <w:rPr>
        <w:noProof/>
        <w:sz w:val="20"/>
      </w:rPr>
      <w:drawing>
        <wp:anchor distT="0" distB="0" distL="114300" distR="114300" simplePos="0" relativeHeight="251660288" behindDoc="0" locked="0" layoutInCell="1" allowOverlap="1" wp14:anchorId="232DA053" wp14:editId="5AEE266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300123    300123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04D30" w14:textId="77777777" w:rsidR="009F70D4" w:rsidRPr="00AC3823" w:rsidRDefault="009F70D4" w:rsidP="00AC3823">
      <w:pPr>
        <w:pStyle w:val="Footer"/>
        <w:tabs>
          <w:tab w:val="right" w:pos="2155"/>
        </w:tabs>
        <w:spacing w:after="80" w:line="240" w:lineRule="atLeast"/>
        <w:ind w:left="680"/>
        <w:rPr>
          <w:u w:val="single"/>
        </w:rPr>
      </w:pPr>
      <w:r>
        <w:rPr>
          <w:u w:val="single"/>
        </w:rPr>
        <w:tab/>
      </w:r>
    </w:p>
  </w:footnote>
  <w:footnote w:type="continuationSeparator" w:id="0">
    <w:p w14:paraId="1841B6A9" w14:textId="77777777" w:rsidR="009F70D4" w:rsidRPr="00AC3823" w:rsidRDefault="009F70D4" w:rsidP="00AC3823">
      <w:pPr>
        <w:pStyle w:val="Footer"/>
        <w:tabs>
          <w:tab w:val="right" w:pos="2155"/>
        </w:tabs>
        <w:spacing w:after="80" w:line="240" w:lineRule="atLeast"/>
        <w:ind w:left="680"/>
        <w:rPr>
          <w:u w:val="single"/>
        </w:rPr>
      </w:pPr>
      <w:r>
        <w:rPr>
          <w:u w:val="single"/>
        </w:rPr>
        <w:tab/>
      </w:r>
    </w:p>
  </w:footnote>
  <w:footnote w:type="continuationNotice" w:id="1">
    <w:p w14:paraId="7587D44D" w14:textId="77777777" w:rsidR="009F70D4" w:rsidRPr="00AC3823" w:rsidRDefault="009F70D4">
      <w:pPr>
        <w:spacing w:line="240" w:lineRule="auto"/>
        <w:rPr>
          <w:sz w:val="2"/>
          <w:szCs w:val="2"/>
        </w:rPr>
      </w:pPr>
    </w:p>
  </w:footnote>
  <w:footnote w:id="2">
    <w:p w14:paraId="77354B07" w14:textId="22ACA77A" w:rsidR="00AB319C" w:rsidRPr="00AB319C" w:rsidRDefault="00AB319C">
      <w:pPr>
        <w:pStyle w:val="FootnoteText"/>
      </w:pPr>
      <w:r>
        <w:rPr>
          <w:rStyle w:val="FootnoteReference"/>
        </w:rPr>
        <w:tab/>
      </w:r>
      <w:r w:rsidRPr="00AB319C">
        <w:rPr>
          <w:rStyle w:val="FootnoteReference"/>
          <w:sz w:val="20"/>
          <w:vertAlign w:val="baseline"/>
        </w:rPr>
        <w:t>*</w:t>
      </w:r>
      <w:r>
        <w:rPr>
          <w:rStyle w:val="FootnoteReference"/>
          <w:sz w:val="20"/>
          <w:vertAlign w:val="baseline"/>
        </w:rPr>
        <w:tab/>
      </w:r>
      <w:r>
        <w:rPr>
          <w:lang w:val="fr-FR"/>
        </w:rPr>
        <w:t>A/77/6 (Sect. 20), tableau 20.6.</w:t>
      </w:r>
    </w:p>
  </w:footnote>
  <w:footnote w:id="3">
    <w:p w14:paraId="5CCF4720" w14:textId="6368668B" w:rsidR="00AB319C" w:rsidRPr="00AB319C" w:rsidRDefault="00AB319C">
      <w:pPr>
        <w:pStyle w:val="FootnoteText"/>
      </w:pPr>
      <w:r>
        <w:rPr>
          <w:rStyle w:val="FootnoteReference"/>
        </w:rPr>
        <w:tab/>
      </w:r>
      <w:r w:rsidRPr="00AB319C">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(OTIF) sous la cote OTIF/RID/RC/2023/11.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953C" w14:textId="30F99B17" w:rsidR="00AB319C" w:rsidRPr="00AB319C" w:rsidRDefault="00AB319C">
    <w:pPr>
      <w:pStyle w:val="Header"/>
    </w:pPr>
    <w:fldSimple w:instr=" TITLE  \* MERGEFORMAT ">
      <w:r w:rsidR="008132FB">
        <w:t>ECE/TRANS/WP.15/AC.1/2023/11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DC9B" w14:textId="39953726" w:rsidR="00AB319C" w:rsidRPr="00AB319C" w:rsidRDefault="00AB319C" w:rsidP="00AB319C">
    <w:pPr>
      <w:pStyle w:val="Header"/>
      <w:jc w:val="right"/>
    </w:pPr>
    <w:fldSimple w:instr=" TITLE  \* MERGEFORMAT ">
      <w:r w:rsidR="008132FB">
        <w:t>ECE/TRANS/WP.15/AC.1/2023/11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3A"/>
    <w:rsid w:val="00017F94"/>
    <w:rsid w:val="00023842"/>
    <w:rsid w:val="000334F9"/>
    <w:rsid w:val="00045FEB"/>
    <w:rsid w:val="0007796D"/>
    <w:rsid w:val="000B7790"/>
    <w:rsid w:val="0010751D"/>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132FB"/>
    <w:rsid w:val="00871C75"/>
    <w:rsid w:val="008776DC"/>
    <w:rsid w:val="008C113A"/>
    <w:rsid w:val="008D5EF9"/>
    <w:rsid w:val="009446C0"/>
    <w:rsid w:val="009705C8"/>
    <w:rsid w:val="009A301C"/>
    <w:rsid w:val="009C0A5F"/>
    <w:rsid w:val="009C1CF4"/>
    <w:rsid w:val="009F6B74"/>
    <w:rsid w:val="009F70D4"/>
    <w:rsid w:val="00A3029F"/>
    <w:rsid w:val="00A30353"/>
    <w:rsid w:val="00AB319C"/>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24CDD"/>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0F592"/>
  <w15:docId w15:val="{4B02EA25-A5F6-4BCF-BE1E-BE5B732D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AB319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C5D72EA-D006-48B3-950E-AFB0B337D4C9}"/>
</file>

<file path=customXml/itemProps2.xml><?xml version="1.0" encoding="utf-8"?>
<ds:datastoreItem xmlns:ds="http://schemas.openxmlformats.org/officeDocument/2006/customXml" ds:itemID="{1FBF44A0-C333-4249-907E-1A70F0B3F6F8}"/>
</file>

<file path=customXml/itemProps3.xml><?xml version="1.0" encoding="utf-8"?>
<ds:datastoreItem xmlns:ds="http://schemas.openxmlformats.org/officeDocument/2006/customXml" ds:itemID="{A32F4109-7CFB-487F-9513-F9B84BCE33A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ECE/TRANS/WP.15/AC.1/2023/11</vt:lpstr>
    </vt:vector>
  </TitlesOfParts>
  <Company>DCM</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ECE/TRANS/WP.15/AC.1/2023/11</dc:title>
  <dc:subject/>
  <dc:creator>Christine CHAUTAGNAT</dc:creator>
  <cp:keywords/>
  <cp:lastModifiedBy>Laurence Berthet</cp:lastModifiedBy>
  <cp:revision>3</cp:revision>
  <cp:lastPrinted>2023-01-30T13:50:00Z</cp:lastPrinted>
  <dcterms:created xsi:type="dcterms:W3CDTF">2023-01-30T13:50:00Z</dcterms:created>
  <dcterms:modified xsi:type="dcterms:W3CDTF">2023-01-30T13:50:00Z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