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50" w:rsidRPr="00172450" w:rsidRDefault="00172450" w:rsidP="00172450">
      <w:r w:rsidRPr="0017245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4030980</wp:posOffset>
            </wp:positionH>
            <wp:positionV relativeFrom="paragraph">
              <wp:posOffset>7620</wp:posOffset>
            </wp:positionV>
            <wp:extent cx="2174138" cy="4219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02" cy="43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8"/>
          <w:szCs w:val="28"/>
          <w:lang w:val="en-US"/>
        </w:rPr>
        <w:t>UNECE High-level Group for the</w:t>
      </w:r>
      <w:r>
        <w:rPr>
          <w:rFonts w:ascii="Calibri" w:hAnsi="Calibri"/>
          <w:b/>
          <w:sz w:val="28"/>
          <w:szCs w:val="28"/>
          <w:lang w:val="en-US"/>
        </w:rPr>
        <w:br/>
      </w:r>
      <w:r w:rsidR="00CD1D67">
        <w:rPr>
          <w:rFonts w:ascii="Calibri" w:hAnsi="Calibri"/>
          <w:b/>
          <w:sz w:val="28"/>
          <w:szCs w:val="28"/>
          <w:lang w:val="en-US"/>
        </w:rPr>
        <w:t>Modernis</w:t>
      </w:r>
      <w:r w:rsidR="0093771B">
        <w:rPr>
          <w:rFonts w:ascii="Calibri" w:hAnsi="Calibri"/>
          <w:b/>
          <w:sz w:val="28"/>
          <w:szCs w:val="28"/>
          <w:lang w:val="en-US"/>
        </w:rPr>
        <w:t>ation</w:t>
      </w:r>
      <w:r>
        <w:rPr>
          <w:rFonts w:ascii="Calibri" w:hAnsi="Calibri"/>
          <w:b/>
          <w:sz w:val="28"/>
          <w:szCs w:val="28"/>
          <w:lang w:val="en-US"/>
        </w:rPr>
        <w:t xml:space="preserve"> of Official Statistics</w:t>
      </w:r>
    </w:p>
    <w:p w:rsidR="00172450" w:rsidRDefault="00172450"/>
    <w:p w:rsidR="00172450" w:rsidRDefault="00CD1D67" w:rsidP="00172450">
      <w:pPr>
        <w:tabs>
          <w:tab w:val="left" w:pos="0"/>
          <w:tab w:val="left" w:pos="5940"/>
          <w:tab w:val="left" w:pos="6939"/>
          <w:tab w:val="right" w:pos="9356"/>
        </w:tabs>
        <w:jc w:val="center"/>
        <w:rPr>
          <w:rFonts w:ascii="Calibri" w:hAnsi="Calibri"/>
          <w:b/>
          <w:sz w:val="28"/>
          <w:szCs w:val="28"/>
          <w:lang w:val="en-US" w:eastAsia="zh-CN"/>
        </w:rPr>
      </w:pPr>
      <w:r>
        <w:rPr>
          <w:rFonts w:ascii="Calibri" w:hAnsi="Calibri"/>
          <w:b/>
          <w:sz w:val="28"/>
          <w:szCs w:val="28"/>
          <w:lang w:val="en-US"/>
        </w:rPr>
        <w:t xml:space="preserve">Activity </w:t>
      </w:r>
      <w:r w:rsidR="001C6F24">
        <w:rPr>
          <w:rFonts w:ascii="Calibri" w:hAnsi="Calibri"/>
          <w:b/>
          <w:sz w:val="28"/>
          <w:szCs w:val="28"/>
          <w:lang w:val="en-US"/>
        </w:rPr>
        <w:t>Business case</w:t>
      </w:r>
      <w:r w:rsidR="00172450">
        <w:rPr>
          <w:rFonts w:ascii="Calibri" w:hAnsi="Calibri"/>
          <w:b/>
          <w:sz w:val="28"/>
          <w:szCs w:val="28"/>
          <w:lang w:val="en-US"/>
        </w:rPr>
        <w:t xml:space="preserve"> </w:t>
      </w:r>
      <w:r w:rsidR="00172450" w:rsidRPr="00CD4A5E">
        <w:rPr>
          <w:rFonts w:ascii="Calibri" w:hAnsi="Calibri"/>
          <w:b/>
          <w:sz w:val="28"/>
          <w:szCs w:val="28"/>
          <w:lang w:val="en-US"/>
        </w:rPr>
        <w:t xml:space="preserve">for </w:t>
      </w:r>
      <w:r w:rsidR="00263EB0">
        <w:rPr>
          <w:rFonts w:ascii="Calibri" w:hAnsi="Calibri"/>
          <w:b/>
          <w:sz w:val="28"/>
          <w:szCs w:val="28"/>
          <w:lang w:val="en-US"/>
        </w:rPr>
        <w:t>Organisational Resilience</w:t>
      </w:r>
    </w:p>
    <w:p w:rsidR="00172450" w:rsidRDefault="00172450"/>
    <w:tbl>
      <w:tblPr>
        <w:tblW w:w="9900" w:type="dxa"/>
        <w:tblInd w:w="-77" w:type="dxa"/>
        <w:tblLook w:val="01E0" w:firstRow="1" w:lastRow="1" w:firstColumn="1" w:lastColumn="1" w:noHBand="0" w:noVBand="0"/>
      </w:tblPr>
      <w:tblGrid>
        <w:gridCol w:w="9900"/>
      </w:tblGrid>
      <w:tr w:rsidR="004551B1" w:rsidTr="0017245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0" w:rsidRPr="004E79C1" w:rsidRDefault="004551B1" w:rsidP="00730E48">
            <w:pPr>
              <w:tabs>
                <w:tab w:val="left" w:pos="0"/>
                <w:tab w:val="left" w:pos="850"/>
                <w:tab w:val="left" w:pos="1191"/>
                <w:tab w:val="left" w:pos="1531"/>
                <w:tab w:val="left" w:pos="5940"/>
                <w:tab w:val="left" w:pos="6939"/>
                <w:tab w:val="right" w:pos="9356"/>
              </w:tabs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This business case was prepared by</w:t>
            </w:r>
            <w:r w:rsidR="0093771B">
              <w:rPr>
                <w:rFonts w:cstheme="minorHAnsi"/>
                <w:lang w:val="en-US"/>
              </w:rPr>
              <w:t xml:space="preserve"> </w:t>
            </w:r>
            <w:r w:rsidR="001F501B">
              <w:rPr>
                <w:rFonts w:cstheme="minorHAnsi"/>
                <w:lang w:val="en-US"/>
              </w:rPr>
              <w:t>the Capabilities and Communications Group</w:t>
            </w:r>
            <w:r w:rsidRPr="00CD4A5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and is submitted to the HLG-MOS for their approval.</w:t>
            </w:r>
          </w:p>
        </w:tc>
      </w:tr>
    </w:tbl>
    <w:p w:rsidR="004551B1" w:rsidRPr="00351862" w:rsidRDefault="004551B1">
      <w:pPr>
        <w:rPr>
          <w:sz w:val="16"/>
          <w:szCs w:val="16"/>
        </w:rPr>
      </w:pPr>
    </w:p>
    <w:p w:rsidR="000507F4" w:rsidRPr="00351862" w:rsidRDefault="000507F4">
      <w:pPr>
        <w:rPr>
          <w:sz w:val="16"/>
          <w:szCs w:val="16"/>
        </w:rPr>
      </w:pPr>
    </w:p>
    <w:tbl>
      <w:tblPr>
        <w:tblStyle w:val="TableGrid"/>
        <w:tblW w:w="9975" w:type="dxa"/>
        <w:tblInd w:w="-147" w:type="dxa"/>
        <w:tblLook w:val="04A0" w:firstRow="1" w:lastRow="0" w:firstColumn="1" w:lastColumn="0" w:noHBand="0" w:noVBand="1"/>
      </w:tblPr>
      <w:tblGrid>
        <w:gridCol w:w="456"/>
        <w:gridCol w:w="147"/>
        <w:gridCol w:w="35"/>
        <w:gridCol w:w="436"/>
        <w:gridCol w:w="8901"/>
      </w:tblGrid>
      <w:tr w:rsidR="000507F4" w:rsidRPr="00350F7F" w:rsidTr="00CD1D67">
        <w:tc>
          <w:tcPr>
            <w:tcW w:w="9975" w:type="dxa"/>
            <w:gridSpan w:val="5"/>
            <w:shd w:val="clear" w:color="auto" w:fill="92D050"/>
          </w:tcPr>
          <w:p w:rsidR="000507F4" w:rsidRPr="004E79C1" w:rsidRDefault="00A77F79" w:rsidP="00B37656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1 </w:t>
            </w:r>
            <w:r w:rsidRPr="00A77F79">
              <w:rPr>
                <w:rFonts w:asciiTheme="minorHAnsi" w:hAnsiTheme="minorHAnsi"/>
                <w:b/>
                <w:szCs w:val="24"/>
              </w:rPr>
              <w:t>P</w:t>
            </w:r>
            <w:r w:rsidR="00351862">
              <w:rPr>
                <w:rFonts w:asciiTheme="minorHAnsi" w:hAnsiTheme="minorHAnsi"/>
                <w:b/>
                <w:szCs w:val="24"/>
              </w:rPr>
              <w:t>urpose</w:t>
            </w:r>
          </w:p>
        </w:tc>
      </w:tr>
      <w:tr w:rsidR="000507F4" w:rsidRPr="00350F7F" w:rsidTr="005326AD">
        <w:tc>
          <w:tcPr>
            <w:tcW w:w="997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160A3" w:rsidRDefault="00B160A3" w:rsidP="0093771B">
            <w:pP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</w:p>
          <w:p w:rsidR="001F501B" w:rsidRDefault="001F501B" w:rsidP="0093771B">
            <w:pP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In an increasingly changing environment, statistical offices need to do more than just survive. They need to grow and be sustainable in the long term. </w:t>
            </w:r>
            <w:r w:rsidR="00090161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Many statistical organisations are facing this challenge and recognising the need to be both stable and “</w:t>
            </w:r>
            <w:r w:rsidR="00090161" w:rsidRPr="001F501B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anticipate, prepare for, respond and adapt to incremental change and sudden disruptions </w:t>
            </w:r>
            <w:r w:rsidR="00090161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in order to survive and prosper</w:t>
            </w:r>
            <w:r w:rsidR="00090161" w:rsidRPr="001F501B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” </w:t>
            </w:r>
            <w:r w:rsidR="00090161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– the two main elements of organisational resilience (</w:t>
            </w:r>
            <w:hyperlink r:id="rId7" w:history="1">
              <w:r w:rsidR="00090161" w:rsidRPr="00550E34">
                <w:rPr>
                  <w:rStyle w:val="Hyperlink"/>
                  <w:rFonts w:cstheme="minorHAnsi"/>
                  <w:shd w:val="clear" w:color="auto" w:fill="FFFFFF"/>
                </w:rPr>
                <w:t>https://www.bsigroup.com/en-GB/our-services/Organizational-Resilience/</w:t>
              </w:r>
            </w:hyperlink>
            <w:r w:rsidR="00090161" w:rsidRPr="001F501B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)</w:t>
            </w:r>
            <w:r w:rsidR="00090161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.</w:t>
            </w:r>
          </w:p>
          <w:p w:rsidR="00C91452" w:rsidRDefault="00C91452" w:rsidP="0093771B">
            <w:pP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</w:p>
          <w:p w:rsidR="00C91452" w:rsidRDefault="00090161" w:rsidP="0093771B">
            <w:pP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The concept of organisational resilience represents</w:t>
            </w:r>
            <w:r w:rsidR="00C91452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 </w:t>
            </w:r>
            <w:r w:rsidR="005C56E4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a holistic</w:t>
            </w:r>
            <w:r w:rsidR="00C91452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 view of the statistical offices’ health and success as a business. It will help the offices become more agile – thinking not just to face current risks but to face risks we don’t know are coming.  </w:t>
            </w:r>
          </w:p>
          <w:p w:rsidR="00C91452" w:rsidRDefault="00C91452" w:rsidP="0093771B">
            <w:pP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</w:p>
          <w:p w:rsidR="00C91452" w:rsidRPr="00A83108" w:rsidRDefault="00C91452" w:rsidP="00C91452">
            <w:pP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1F501B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Becoming a more resilient organisation will help instil a culture of discipline around delivery whilst allowing </w:t>
            </w:r>
            <w:r w:rsidR="00263EB0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the ability</w:t>
            </w:r>
            <w:r w:rsidRPr="001F501B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 to flex and change in response to demand and expectation. This resilience will come through: planning effectively to face present and future needs of our customers; anticipating, preparing for, responding to and adapting to incremental change and sudden disruptions, and; driving up product quality and increasing value for money through a culture of continual improvement and innovation.</w:t>
            </w:r>
            <w:r w:rsidR="007466FE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 These concepts follow-on from the previous work of the Capabilities and Communications Group and potentially provide a conceptual framework for improvements to </w:t>
            </w:r>
            <w:r w:rsidR="005C56E4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governance and</w:t>
            </w:r>
            <w:r w:rsidR="007466FE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 decision making.</w:t>
            </w:r>
          </w:p>
          <w:p w:rsidR="00A83108" w:rsidRPr="001F501B" w:rsidRDefault="00A83108" w:rsidP="0093771B">
            <w:pP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</w:p>
        </w:tc>
      </w:tr>
      <w:tr w:rsidR="00CE0BD2" w:rsidRPr="00350F7F" w:rsidTr="00CD1D67">
        <w:tc>
          <w:tcPr>
            <w:tcW w:w="9975" w:type="dxa"/>
            <w:gridSpan w:val="5"/>
            <w:shd w:val="clear" w:color="auto" w:fill="92D050"/>
          </w:tcPr>
          <w:p w:rsidR="00CE0BD2" w:rsidRPr="004E79C1" w:rsidRDefault="00CE0BD2" w:rsidP="00C777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 Description of the activity</w:t>
            </w:r>
          </w:p>
        </w:tc>
      </w:tr>
      <w:tr w:rsidR="00CE0BD2" w:rsidRPr="00350F7F" w:rsidTr="005326AD">
        <w:tc>
          <w:tcPr>
            <w:tcW w:w="9975" w:type="dxa"/>
            <w:gridSpan w:val="5"/>
            <w:shd w:val="clear" w:color="auto" w:fill="auto"/>
          </w:tcPr>
          <w:p w:rsidR="00172450" w:rsidRDefault="00263EB0" w:rsidP="00FF6491">
            <w:pPr>
              <w:rPr>
                <w:szCs w:val="24"/>
              </w:rPr>
            </w:pPr>
            <w:r>
              <w:rPr>
                <w:szCs w:val="24"/>
              </w:rPr>
              <w:t>The activity is intended to discover how organisational resilience applies to statistical offices. The outputs will include:</w:t>
            </w:r>
          </w:p>
          <w:p w:rsidR="00263EB0" w:rsidRDefault="00263EB0" w:rsidP="00FF6491">
            <w:pPr>
              <w:rPr>
                <w:szCs w:val="24"/>
              </w:rPr>
            </w:pPr>
          </w:p>
          <w:p w:rsidR="00263EB0" w:rsidRDefault="00263EB0" w:rsidP="00263EB0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A discovery ‘green’ paper on what organisational resilience means in the context of statistical offices</w:t>
            </w:r>
          </w:p>
          <w:p w:rsidR="00263EB0" w:rsidRPr="00263EB0" w:rsidRDefault="00263EB0" w:rsidP="00263EB0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Collection of case studies on how statistical offices have developed target operating models. </w:t>
            </w:r>
          </w:p>
          <w:p w:rsidR="00814122" w:rsidRDefault="00814122" w:rsidP="00263EB0">
            <w:pPr>
              <w:rPr>
                <w:szCs w:val="24"/>
                <w:lang w:val="en-CA"/>
              </w:rPr>
            </w:pPr>
          </w:p>
          <w:p w:rsidR="00090161" w:rsidRPr="00576F23" w:rsidRDefault="00090161" w:rsidP="00263EB0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Follow-up work may, or may not, be identified through this discovery phase.</w:t>
            </w:r>
          </w:p>
        </w:tc>
      </w:tr>
      <w:tr w:rsidR="00351862" w:rsidRPr="00CE0BD2" w:rsidTr="00CD1D67">
        <w:tc>
          <w:tcPr>
            <w:tcW w:w="9975" w:type="dxa"/>
            <w:gridSpan w:val="5"/>
            <w:shd w:val="clear" w:color="auto" w:fill="92D050"/>
          </w:tcPr>
          <w:p w:rsidR="00351862" w:rsidRPr="001457E5" w:rsidRDefault="00351862" w:rsidP="0035186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 Alternatives considered</w:t>
            </w:r>
          </w:p>
        </w:tc>
      </w:tr>
      <w:tr w:rsidR="00351862" w:rsidTr="005326AD">
        <w:tc>
          <w:tcPr>
            <w:tcW w:w="9975" w:type="dxa"/>
            <w:gridSpan w:val="5"/>
            <w:shd w:val="clear" w:color="auto" w:fill="auto"/>
          </w:tcPr>
          <w:p w:rsidR="00172450" w:rsidRDefault="00172450" w:rsidP="0094085C">
            <w:pPr>
              <w:rPr>
                <w:b/>
                <w:szCs w:val="24"/>
              </w:rPr>
            </w:pPr>
          </w:p>
        </w:tc>
      </w:tr>
      <w:tr w:rsidR="00A77F79" w:rsidRPr="00350F7F" w:rsidTr="00CD1D67">
        <w:tc>
          <w:tcPr>
            <w:tcW w:w="9975" w:type="dxa"/>
            <w:gridSpan w:val="5"/>
            <w:shd w:val="clear" w:color="auto" w:fill="92D050"/>
          </w:tcPr>
          <w:p w:rsidR="00A77F79" w:rsidRPr="001457E5" w:rsidRDefault="00351862" w:rsidP="00BB2C7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</w:t>
            </w:r>
            <w:r w:rsidR="00A77F79">
              <w:rPr>
                <w:rFonts w:asciiTheme="minorHAnsi" w:hAnsiTheme="minorHAnsi"/>
                <w:b/>
                <w:szCs w:val="24"/>
              </w:rPr>
              <w:t xml:space="preserve"> Expected Benefits</w:t>
            </w:r>
          </w:p>
        </w:tc>
      </w:tr>
      <w:tr w:rsidR="00A77F79" w:rsidRPr="00350F7F" w:rsidTr="005326AD">
        <w:sdt>
          <w:sdtPr>
            <w:rPr>
              <w:szCs w:val="24"/>
            </w:rPr>
            <w:id w:val="1000537145"/>
          </w:sdtPr>
          <w:sdtEndPr/>
          <w:sdtContent>
            <w:tc>
              <w:tcPr>
                <w:tcW w:w="638" w:type="dxa"/>
                <w:gridSpan w:val="3"/>
              </w:tcPr>
              <w:p w:rsidR="00A77F79" w:rsidRPr="00350F7F" w:rsidRDefault="00263EB0" w:rsidP="00172450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337" w:type="dxa"/>
            <w:gridSpan w:val="2"/>
          </w:tcPr>
          <w:p w:rsidR="00A77F79" w:rsidRPr="00350F7F" w:rsidRDefault="00A77F79" w:rsidP="00C7778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Reduced costs</w:t>
            </w:r>
          </w:p>
        </w:tc>
      </w:tr>
      <w:tr w:rsidR="00A77F79" w:rsidRPr="00350F7F" w:rsidTr="005326AD">
        <w:sdt>
          <w:sdtPr>
            <w:rPr>
              <w:szCs w:val="24"/>
            </w:rPr>
            <w:id w:val="1968082251"/>
          </w:sdtPr>
          <w:sdtEndPr/>
          <w:sdtContent>
            <w:tc>
              <w:tcPr>
                <w:tcW w:w="638" w:type="dxa"/>
                <w:gridSpan w:val="3"/>
              </w:tcPr>
              <w:p w:rsidR="00A77F79" w:rsidRPr="00350F7F" w:rsidRDefault="00263EB0" w:rsidP="00C7778C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337" w:type="dxa"/>
            <w:gridSpan w:val="2"/>
          </w:tcPr>
          <w:p w:rsidR="00A77F79" w:rsidRPr="00350F7F" w:rsidRDefault="00A77F79" w:rsidP="00C7778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Increased efficiency</w:t>
            </w:r>
          </w:p>
        </w:tc>
      </w:tr>
      <w:tr w:rsidR="00A77F79" w:rsidRPr="00350F7F" w:rsidTr="005326AD">
        <w:sdt>
          <w:sdtPr>
            <w:rPr>
              <w:szCs w:val="24"/>
            </w:rPr>
            <w:id w:val="-729995432"/>
          </w:sdtPr>
          <w:sdtEndPr/>
          <w:sdtContent>
            <w:tc>
              <w:tcPr>
                <w:tcW w:w="638" w:type="dxa"/>
                <w:gridSpan w:val="3"/>
              </w:tcPr>
              <w:p w:rsidR="00A77F79" w:rsidRPr="00350F7F" w:rsidRDefault="00263EB0" w:rsidP="00C7778C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337" w:type="dxa"/>
            <w:gridSpan w:val="2"/>
          </w:tcPr>
          <w:p w:rsidR="00A77F79" w:rsidRPr="00350F7F" w:rsidRDefault="00A77F79" w:rsidP="00A77F7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Reduced risks</w:t>
            </w:r>
          </w:p>
        </w:tc>
      </w:tr>
      <w:tr w:rsidR="00A77F79" w:rsidRPr="00350F7F" w:rsidTr="005326AD">
        <w:sdt>
          <w:sdtPr>
            <w:rPr>
              <w:szCs w:val="24"/>
            </w:rPr>
            <w:id w:val="-1599870518"/>
          </w:sdtPr>
          <w:sdtEndPr/>
          <w:sdtContent>
            <w:tc>
              <w:tcPr>
                <w:tcW w:w="638" w:type="dxa"/>
                <w:gridSpan w:val="3"/>
              </w:tcPr>
              <w:p w:rsidR="00A77F79" w:rsidRPr="00350F7F" w:rsidRDefault="0093771B" w:rsidP="00172450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337" w:type="dxa"/>
            <w:gridSpan w:val="2"/>
          </w:tcPr>
          <w:p w:rsidR="00A77F79" w:rsidRPr="00350F7F" w:rsidRDefault="00A77F79" w:rsidP="00C7778C">
            <w:pPr>
              <w:rPr>
                <w:rFonts w:asciiTheme="minorHAnsi" w:hAnsiTheme="minorHAnsi"/>
                <w:szCs w:val="24"/>
              </w:rPr>
            </w:pPr>
            <w:r w:rsidRPr="00350F7F">
              <w:rPr>
                <w:rFonts w:asciiTheme="minorHAnsi" w:hAnsiTheme="minorHAnsi"/>
                <w:szCs w:val="24"/>
              </w:rPr>
              <w:t xml:space="preserve">New </w:t>
            </w:r>
            <w:r>
              <w:rPr>
                <w:rFonts w:asciiTheme="minorHAnsi" w:hAnsiTheme="minorHAnsi"/>
                <w:szCs w:val="24"/>
              </w:rPr>
              <w:t>capabilities to meet user needs</w:t>
            </w:r>
          </w:p>
        </w:tc>
      </w:tr>
      <w:tr w:rsidR="00A77F79" w:rsidRPr="00350F7F" w:rsidTr="005326AD">
        <w:tc>
          <w:tcPr>
            <w:tcW w:w="9975" w:type="dxa"/>
            <w:gridSpan w:val="5"/>
          </w:tcPr>
          <w:p w:rsidR="002214E1" w:rsidRPr="00350F7F" w:rsidRDefault="002214E1" w:rsidP="00263EB0">
            <w:pPr>
              <w:rPr>
                <w:szCs w:val="24"/>
              </w:rPr>
            </w:pPr>
          </w:p>
        </w:tc>
      </w:tr>
      <w:tr w:rsidR="00FF565D" w:rsidRPr="00350F7F" w:rsidTr="00CD1D67">
        <w:tc>
          <w:tcPr>
            <w:tcW w:w="9975" w:type="dxa"/>
            <w:gridSpan w:val="5"/>
            <w:shd w:val="clear" w:color="auto" w:fill="92D050"/>
          </w:tcPr>
          <w:p w:rsidR="00FF565D" w:rsidRPr="00B37656" w:rsidRDefault="00B37656" w:rsidP="00B37656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5 </w:t>
            </w:r>
            <w:r w:rsidR="00FF565D" w:rsidRPr="00B37656">
              <w:rPr>
                <w:rFonts w:asciiTheme="minorHAnsi" w:hAnsiTheme="minorHAnsi"/>
                <w:b/>
                <w:szCs w:val="24"/>
              </w:rPr>
              <w:t>Type of Activity</w:t>
            </w:r>
          </w:p>
        </w:tc>
      </w:tr>
      <w:tr w:rsidR="002214E1" w:rsidRPr="00350F7F" w:rsidTr="005326AD">
        <w:sdt>
          <w:sdtPr>
            <w:rPr>
              <w:szCs w:val="24"/>
            </w:rPr>
            <w:id w:val="-629861754"/>
          </w:sdtPr>
          <w:sdtEndPr/>
          <w:sdtContent>
            <w:tc>
              <w:tcPr>
                <w:tcW w:w="603" w:type="dxa"/>
                <w:gridSpan w:val="2"/>
              </w:tcPr>
              <w:p w:rsidR="002214E1" w:rsidRPr="00350F7F" w:rsidRDefault="00263EB0" w:rsidP="002214E1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372" w:type="dxa"/>
            <w:gridSpan w:val="3"/>
          </w:tcPr>
          <w:p w:rsidR="002214E1" w:rsidRPr="00350F7F" w:rsidRDefault="002214E1" w:rsidP="002214E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New activity</w:t>
            </w:r>
          </w:p>
        </w:tc>
      </w:tr>
      <w:tr w:rsidR="002214E1" w:rsidRPr="00350F7F" w:rsidTr="005326AD">
        <w:sdt>
          <w:sdtPr>
            <w:rPr>
              <w:szCs w:val="24"/>
            </w:rPr>
            <w:id w:val="-343399927"/>
          </w:sdtPr>
          <w:sdtEndPr/>
          <w:sdtContent>
            <w:tc>
              <w:tcPr>
                <w:tcW w:w="603" w:type="dxa"/>
                <w:gridSpan w:val="2"/>
              </w:tcPr>
              <w:p w:rsidR="002214E1" w:rsidRPr="00350F7F" w:rsidRDefault="0093771B" w:rsidP="002214E1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372" w:type="dxa"/>
            <w:gridSpan w:val="3"/>
          </w:tcPr>
          <w:p w:rsidR="002214E1" w:rsidRDefault="002214E1" w:rsidP="002214E1">
            <w:pPr>
              <w:rPr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Extension of existing activity</w:t>
            </w:r>
          </w:p>
        </w:tc>
      </w:tr>
      <w:tr w:rsidR="002214E1" w:rsidRPr="00350F7F" w:rsidTr="005326AD">
        <w:sdt>
          <w:sdtPr>
            <w:rPr>
              <w:szCs w:val="24"/>
            </w:rPr>
            <w:id w:val="309373416"/>
          </w:sdtPr>
          <w:sdtEndPr/>
          <w:sdtContent>
            <w:tc>
              <w:tcPr>
                <w:tcW w:w="603" w:type="dxa"/>
                <w:gridSpan w:val="2"/>
              </w:tcPr>
              <w:p w:rsidR="002214E1" w:rsidRPr="00350F7F" w:rsidRDefault="002214E1" w:rsidP="002214E1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372" w:type="dxa"/>
            <w:gridSpan w:val="3"/>
          </w:tcPr>
          <w:p w:rsidR="002214E1" w:rsidRDefault="002214E1" w:rsidP="002214E1">
            <w:pPr>
              <w:rPr>
                <w:szCs w:val="24"/>
              </w:rPr>
            </w:pPr>
            <w:r w:rsidRPr="00350F7F">
              <w:rPr>
                <w:rFonts w:asciiTheme="minorHAnsi" w:hAnsiTheme="minorHAnsi"/>
                <w:szCs w:val="24"/>
              </w:rPr>
              <w:t xml:space="preserve">Other </w:t>
            </w:r>
            <w:r w:rsidRPr="00350F7F">
              <w:rPr>
                <w:rFonts w:asciiTheme="minorHAnsi" w:hAnsiTheme="minorHAnsi"/>
                <w:i/>
                <w:szCs w:val="24"/>
              </w:rPr>
              <w:t>(specify below)</w:t>
            </w:r>
          </w:p>
        </w:tc>
      </w:tr>
      <w:tr w:rsidR="00FF565D" w:rsidRPr="00350F7F" w:rsidTr="005326AD">
        <w:tc>
          <w:tcPr>
            <w:tcW w:w="9975" w:type="dxa"/>
            <w:gridSpan w:val="5"/>
          </w:tcPr>
          <w:p w:rsidR="002214E1" w:rsidRPr="00350F7F" w:rsidRDefault="002214E1" w:rsidP="0093771B">
            <w:pPr>
              <w:rPr>
                <w:rFonts w:asciiTheme="minorHAnsi" w:hAnsiTheme="minorHAnsi"/>
                <w:szCs w:val="24"/>
              </w:rPr>
            </w:pPr>
          </w:p>
        </w:tc>
      </w:tr>
      <w:tr w:rsidR="00A31019" w:rsidRPr="00BB2C7C" w:rsidTr="00CD1D67">
        <w:tc>
          <w:tcPr>
            <w:tcW w:w="9975" w:type="dxa"/>
            <w:gridSpan w:val="5"/>
            <w:shd w:val="clear" w:color="auto" w:fill="92D050"/>
          </w:tcPr>
          <w:p w:rsidR="00A31019" w:rsidRPr="00BB2C7C" w:rsidRDefault="00A31019" w:rsidP="00D366D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Cs w:val="24"/>
                <w:lang w:val="en-GB"/>
              </w:rPr>
              <w:t>6</w:t>
            </w:r>
            <w:r>
              <w:rPr>
                <w:rFonts w:asciiTheme="minorHAnsi" w:hAnsiTheme="minorHAnsi"/>
                <w:b/>
                <w:szCs w:val="24"/>
              </w:rPr>
              <w:t xml:space="preserve"> Which key priorities in the</w:t>
            </w:r>
            <w:r w:rsidRPr="00BB2C7C">
              <w:rPr>
                <w:rFonts w:asciiTheme="minorHAnsi" w:hAnsiTheme="minorHAnsi"/>
                <w:b/>
                <w:szCs w:val="24"/>
              </w:rPr>
              <w:t xml:space="preserve"> HLG-MOS Strateg</w:t>
            </w:r>
            <w:r>
              <w:rPr>
                <w:rFonts w:asciiTheme="minorHAnsi" w:hAnsiTheme="minorHAnsi"/>
                <w:b/>
                <w:szCs w:val="24"/>
              </w:rPr>
              <w:t xml:space="preserve">ic Framework </w:t>
            </w:r>
            <w:r w:rsidRPr="00BB2C7C">
              <w:rPr>
                <w:rFonts w:asciiTheme="minorHAnsi" w:hAnsiTheme="minorHAnsi"/>
                <w:b/>
                <w:szCs w:val="24"/>
              </w:rPr>
              <w:t>does th</w:t>
            </w:r>
            <w:r>
              <w:rPr>
                <w:rFonts w:asciiTheme="minorHAnsi" w:hAnsiTheme="minorHAnsi"/>
                <w:b/>
                <w:szCs w:val="24"/>
              </w:rPr>
              <w:t>e</w:t>
            </w:r>
            <w:r w:rsidRPr="00BB2C7C">
              <w:rPr>
                <w:rFonts w:asciiTheme="minorHAnsi" w:hAnsiTheme="minorHAnsi"/>
                <w:b/>
                <w:szCs w:val="24"/>
              </w:rPr>
              <w:t xml:space="preserve"> proposed </w:t>
            </w:r>
            <w:r>
              <w:rPr>
                <w:rFonts w:asciiTheme="minorHAnsi" w:hAnsiTheme="minorHAnsi"/>
                <w:b/>
                <w:szCs w:val="24"/>
              </w:rPr>
              <w:t>project</w:t>
            </w:r>
            <w:r w:rsidRPr="00BB2C7C">
              <w:rPr>
                <w:rFonts w:asciiTheme="minorHAnsi" w:hAnsiTheme="minorHAnsi"/>
                <w:b/>
                <w:szCs w:val="24"/>
              </w:rPr>
              <w:t xml:space="preserve"> relate to</w:t>
            </w:r>
            <w:r>
              <w:rPr>
                <w:rFonts w:asciiTheme="minorHAnsi" w:hAnsiTheme="minorHAnsi"/>
                <w:b/>
                <w:szCs w:val="24"/>
              </w:rPr>
              <w:t>?</w:t>
            </w:r>
          </w:p>
        </w:tc>
      </w:tr>
      <w:tr w:rsidR="00A31019" w:rsidRPr="00350F7F" w:rsidTr="00A31019">
        <w:sdt>
          <w:sdtPr>
            <w:rPr>
              <w:szCs w:val="24"/>
            </w:rPr>
            <w:id w:val="456375328"/>
          </w:sdtPr>
          <w:sdtEndPr/>
          <w:sdtContent>
            <w:tc>
              <w:tcPr>
                <w:tcW w:w="456" w:type="dxa"/>
              </w:tcPr>
              <w:p w:rsidR="00A31019" w:rsidRPr="00350F7F" w:rsidRDefault="00A31019" w:rsidP="00D366DA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519" w:type="dxa"/>
            <w:gridSpan w:val="4"/>
          </w:tcPr>
          <w:p w:rsidR="00A31019" w:rsidRPr="00350F7F" w:rsidRDefault="00A31019" w:rsidP="00D366DA">
            <w:pPr>
              <w:rPr>
                <w:rFonts w:asciiTheme="minorHAnsi" w:hAnsiTheme="minorHAnsi"/>
                <w:szCs w:val="24"/>
              </w:rPr>
            </w:pPr>
            <w:r w:rsidRPr="007A224D">
              <w:rPr>
                <w:rFonts w:asciiTheme="minorHAnsi" w:hAnsiTheme="minorHAnsi"/>
                <w:szCs w:val="24"/>
              </w:rPr>
              <w:t>Take cost out of our organisations to rei</w:t>
            </w:r>
            <w:r>
              <w:rPr>
                <w:rFonts w:asciiTheme="minorHAnsi" w:hAnsiTheme="minorHAnsi"/>
                <w:szCs w:val="24"/>
              </w:rPr>
              <w:t>nvest in more value added areas</w:t>
            </w:r>
          </w:p>
        </w:tc>
      </w:tr>
      <w:tr w:rsidR="00A31019" w:rsidRPr="00350F7F" w:rsidTr="00A31019">
        <w:sdt>
          <w:sdtPr>
            <w:rPr>
              <w:szCs w:val="24"/>
            </w:rPr>
            <w:id w:val="-2011664176"/>
          </w:sdtPr>
          <w:sdtEndPr/>
          <w:sdtContent>
            <w:tc>
              <w:tcPr>
                <w:tcW w:w="456" w:type="dxa"/>
              </w:tcPr>
              <w:p w:rsidR="00A31019" w:rsidRPr="00350F7F" w:rsidRDefault="00263EB0" w:rsidP="00D366DA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519" w:type="dxa"/>
            <w:gridSpan w:val="4"/>
          </w:tcPr>
          <w:p w:rsidR="00A31019" w:rsidRPr="00350F7F" w:rsidRDefault="00A31019" w:rsidP="00D366DA">
            <w:pPr>
              <w:rPr>
                <w:rFonts w:asciiTheme="minorHAnsi" w:hAnsiTheme="minorHAnsi"/>
                <w:szCs w:val="24"/>
              </w:rPr>
            </w:pPr>
            <w:r w:rsidRPr="007A224D">
              <w:rPr>
                <w:rFonts w:asciiTheme="minorHAnsi" w:hAnsiTheme="minorHAnsi"/>
                <w:szCs w:val="24"/>
              </w:rPr>
              <w:t>Explore new areas collectively and leverage each other’s' research investments in specific areas</w:t>
            </w:r>
          </w:p>
        </w:tc>
      </w:tr>
      <w:tr w:rsidR="00A31019" w:rsidRPr="00350F7F" w:rsidTr="00A31019">
        <w:sdt>
          <w:sdtPr>
            <w:rPr>
              <w:szCs w:val="24"/>
            </w:rPr>
            <w:id w:val="646861261"/>
          </w:sdtPr>
          <w:sdtEndPr/>
          <w:sdtContent>
            <w:tc>
              <w:tcPr>
                <w:tcW w:w="456" w:type="dxa"/>
              </w:tcPr>
              <w:p w:rsidR="00A31019" w:rsidRPr="00350F7F" w:rsidRDefault="0093771B" w:rsidP="00D366DA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519" w:type="dxa"/>
            <w:gridSpan w:val="4"/>
          </w:tcPr>
          <w:p w:rsidR="00A31019" w:rsidRPr="00350F7F" w:rsidRDefault="00A31019" w:rsidP="00D366DA">
            <w:pPr>
              <w:rPr>
                <w:rFonts w:asciiTheme="minorHAnsi" w:hAnsiTheme="minorHAnsi"/>
                <w:szCs w:val="24"/>
              </w:rPr>
            </w:pPr>
            <w:r w:rsidRPr="007A224D">
              <w:rPr>
                <w:rFonts w:asciiTheme="minorHAnsi" w:hAnsiTheme="minorHAnsi"/>
                <w:szCs w:val="24"/>
              </w:rPr>
              <w:t>Provide whole of government data ecosystems based on international standards, for better estimates in key policy areas</w:t>
            </w:r>
          </w:p>
        </w:tc>
      </w:tr>
      <w:tr w:rsidR="00A31019" w:rsidRPr="00350F7F" w:rsidTr="00A31019">
        <w:sdt>
          <w:sdtPr>
            <w:rPr>
              <w:szCs w:val="24"/>
            </w:rPr>
            <w:id w:val="1908180055"/>
          </w:sdtPr>
          <w:sdtEndPr/>
          <w:sdtContent>
            <w:tc>
              <w:tcPr>
                <w:tcW w:w="456" w:type="dxa"/>
              </w:tcPr>
              <w:p w:rsidR="00A31019" w:rsidRPr="00350F7F" w:rsidRDefault="00263EB0" w:rsidP="00D366DA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519" w:type="dxa"/>
            <w:gridSpan w:val="4"/>
          </w:tcPr>
          <w:p w:rsidR="00A31019" w:rsidRPr="00350F7F" w:rsidRDefault="00A31019" w:rsidP="00D366DA">
            <w:pPr>
              <w:rPr>
                <w:rFonts w:asciiTheme="minorHAnsi" w:hAnsiTheme="minorHAnsi"/>
                <w:szCs w:val="24"/>
              </w:rPr>
            </w:pPr>
            <w:r w:rsidRPr="007A224D">
              <w:rPr>
                <w:rFonts w:asciiTheme="minorHAnsi" w:hAnsiTheme="minorHAnsi"/>
                <w:szCs w:val="24"/>
              </w:rPr>
              <w:t>Renew our governance and operating processes</w:t>
            </w:r>
          </w:p>
        </w:tc>
      </w:tr>
      <w:tr w:rsidR="00A31019" w:rsidRPr="00350F7F" w:rsidTr="00D366DA">
        <w:tc>
          <w:tcPr>
            <w:tcW w:w="9975" w:type="dxa"/>
            <w:gridSpan w:val="5"/>
          </w:tcPr>
          <w:p w:rsidR="00A31019" w:rsidRPr="00350F7F" w:rsidRDefault="00A31019" w:rsidP="00263EB0">
            <w:pPr>
              <w:rPr>
                <w:szCs w:val="24"/>
              </w:rPr>
            </w:pPr>
          </w:p>
        </w:tc>
      </w:tr>
      <w:tr w:rsidR="00FF565D" w:rsidRPr="00007BD9" w:rsidTr="00CD1D67">
        <w:tc>
          <w:tcPr>
            <w:tcW w:w="9975" w:type="dxa"/>
            <w:gridSpan w:val="5"/>
            <w:shd w:val="clear" w:color="auto" w:fill="92D050"/>
          </w:tcPr>
          <w:p w:rsidR="00FF565D" w:rsidRPr="00007BD9" w:rsidRDefault="00B37656" w:rsidP="00B37656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7</w:t>
            </w:r>
            <w:r w:rsidR="00BB2C7C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FF565D" w:rsidRPr="00BB2C7C">
              <w:rPr>
                <w:rFonts w:asciiTheme="minorHAnsi" w:hAnsiTheme="minorHAnsi"/>
                <w:b/>
                <w:szCs w:val="24"/>
              </w:rPr>
              <w:t>How does th</w:t>
            </w:r>
            <w:r w:rsidR="005326AD">
              <w:rPr>
                <w:rFonts w:asciiTheme="minorHAnsi" w:hAnsiTheme="minorHAnsi"/>
                <w:b/>
                <w:szCs w:val="24"/>
              </w:rPr>
              <w:t>e</w:t>
            </w:r>
            <w:r w:rsidR="00FF565D" w:rsidRPr="00BB2C7C">
              <w:rPr>
                <w:rFonts w:asciiTheme="minorHAnsi" w:hAnsiTheme="minorHAnsi"/>
                <w:b/>
                <w:szCs w:val="24"/>
              </w:rPr>
              <w:t xml:space="preserve"> proposed activity relate to </w:t>
            </w:r>
            <w:r w:rsidR="0049550D">
              <w:rPr>
                <w:rFonts w:asciiTheme="minorHAnsi" w:hAnsiTheme="minorHAnsi"/>
                <w:b/>
                <w:szCs w:val="24"/>
              </w:rPr>
              <w:t>other</w:t>
            </w:r>
            <w:r w:rsidR="00A77F79" w:rsidRPr="00BB2C7C">
              <w:rPr>
                <w:rFonts w:asciiTheme="minorHAnsi" w:hAnsiTheme="minorHAnsi"/>
                <w:b/>
                <w:szCs w:val="24"/>
              </w:rPr>
              <w:t xml:space="preserve"> activities under the HLG-MOS?</w:t>
            </w:r>
          </w:p>
        </w:tc>
      </w:tr>
      <w:tr w:rsidR="00A77F79" w:rsidRPr="00843355" w:rsidTr="005326AD">
        <w:trPr>
          <w:trHeight w:val="391"/>
        </w:trPr>
        <w:tc>
          <w:tcPr>
            <w:tcW w:w="9975" w:type="dxa"/>
            <w:gridSpan w:val="5"/>
          </w:tcPr>
          <w:p w:rsidR="00F514E1" w:rsidRPr="007D22F1" w:rsidRDefault="00F514E1" w:rsidP="00F514E1">
            <w:pPr>
              <w:rPr>
                <w:rFonts w:asciiTheme="minorHAnsi" w:hAnsiTheme="minorHAnsi"/>
                <w:szCs w:val="24"/>
              </w:rPr>
            </w:pPr>
            <w:r w:rsidRPr="007D22F1">
              <w:rPr>
                <w:rFonts w:asciiTheme="minorHAnsi" w:hAnsiTheme="minorHAnsi"/>
                <w:szCs w:val="24"/>
              </w:rPr>
              <w:t>This work undertaken by the Capabilities and Communication Group is targeted at building organisation resilience, which would, among other things, support the priority identified in the HLG-MOS strategic framework of "how to approach real world problems quickly and effectively." This proposed activity will provide a framework for organisations to implement this work.    </w:t>
            </w:r>
          </w:p>
          <w:p w:rsidR="0045568D" w:rsidRPr="00397639" w:rsidRDefault="0045568D" w:rsidP="00092FD4"/>
        </w:tc>
      </w:tr>
      <w:tr w:rsidR="00BB2C7C" w:rsidRPr="002058F2" w:rsidTr="00CD1D67">
        <w:tc>
          <w:tcPr>
            <w:tcW w:w="9975" w:type="dxa"/>
            <w:gridSpan w:val="5"/>
            <w:shd w:val="clear" w:color="auto" w:fill="92D050"/>
          </w:tcPr>
          <w:p w:rsidR="00BB2C7C" w:rsidRPr="005326AD" w:rsidRDefault="00B37656" w:rsidP="00B37656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  <w:lang w:val="en-GB"/>
              </w:rPr>
              <w:t>8</w:t>
            </w:r>
            <w:r w:rsidR="00BB2C7C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CE0BD2">
              <w:rPr>
                <w:rFonts w:asciiTheme="minorHAnsi" w:hAnsiTheme="minorHAnsi"/>
                <w:b/>
                <w:szCs w:val="24"/>
              </w:rPr>
              <w:t>Proposed s</w:t>
            </w:r>
            <w:r w:rsidR="00BB2C7C" w:rsidRPr="00BB2C7C">
              <w:rPr>
                <w:rFonts w:asciiTheme="minorHAnsi" w:hAnsiTheme="minorHAnsi"/>
                <w:b/>
                <w:szCs w:val="24"/>
              </w:rPr>
              <w:t xml:space="preserve">tart </w:t>
            </w:r>
            <w:r w:rsidR="00CE0BD2">
              <w:rPr>
                <w:rFonts w:asciiTheme="minorHAnsi" w:hAnsiTheme="minorHAnsi"/>
                <w:b/>
                <w:szCs w:val="24"/>
              </w:rPr>
              <w:t>and</w:t>
            </w:r>
            <w:r w:rsidR="00EA50EF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CE0BD2">
              <w:rPr>
                <w:rFonts w:asciiTheme="minorHAnsi" w:hAnsiTheme="minorHAnsi"/>
                <w:b/>
                <w:szCs w:val="24"/>
              </w:rPr>
              <w:t>e</w:t>
            </w:r>
            <w:r w:rsidR="00BB2C7C" w:rsidRPr="00BB2C7C">
              <w:rPr>
                <w:rFonts w:asciiTheme="minorHAnsi" w:hAnsiTheme="minorHAnsi"/>
                <w:b/>
                <w:szCs w:val="24"/>
              </w:rPr>
              <w:t xml:space="preserve">nd </w:t>
            </w:r>
            <w:r w:rsidR="00CE0BD2">
              <w:rPr>
                <w:rFonts w:asciiTheme="minorHAnsi" w:hAnsiTheme="minorHAnsi"/>
                <w:b/>
                <w:szCs w:val="24"/>
              </w:rPr>
              <w:t>d</w:t>
            </w:r>
            <w:r w:rsidR="00BB2C7C" w:rsidRPr="00BB2C7C">
              <w:rPr>
                <w:rFonts w:asciiTheme="minorHAnsi" w:hAnsiTheme="minorHAnsi"/>
                <w:b/>
                <w:szCs w:val="24"/>
              </w:rPr>
              <w:t>ate</w:t>
            </w:r>
            <w:r w:rsidR="005326AD">
              <w:rPr>
                <w:rFonts w:asciiTheme="minorHAnsi" w:hAnsiTheme="minorHAnsi"/>
                <w:b/>
                <w:szCs w:val="24"/>
              </w:rPr>
              <w:t>s</w:t>
            </w:r>
          </w:p>
        </w:tc>
      </w:tr>
      <w:tr w:rsidR="00BB2C7C" w:rsidTr="005326AD">
        <w:tc>
          <w:tcPr>
            <w:tcW w:w="1074" w:type="dxa"/>
            <w:gridSpan w:val="4"/>
            <w:tcBorders>
              <w:right w:val="nil"/>
            </w:tcBorders>
          </w:tcPr>
          <w:p w:rsidR="00BB2C7C" w:rsidRPr="00263EB0" w:rsidRDefault="00BB2C7C" w:rsidP="00C7778C">
            <w:pPr>
              <w:rPr>
                <w:rFonts w:asciiTheme="minorHAnsi" w:hAnsiTheme="minorHAnsi"/>
                <w:szCs w:val="24"/>
              </w:rPr>
            </w:pPr>
            <w:r w:rsidRPr="004F77CE">
              <w:rPr>
                <w:rFonts w:asciiTheme="minorHAnsi" w:hAnsiTheme="minorHAnsi"/>
                <w:b/>
                <w:szCs w:val="24"/>
              </w:rPr>
              <w:t>Start:</w:t>
            </w:r>
            <w:r w:rsidR="00263EB0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BB2C7C" w:rsidRPr="00CE0BD2" w:rsidRDefault="00BB2C7C" w:rsidP="00C7778C">
            <w:pPr>
              <w:rPr>
                <w:rFonts w:asciiTheme="minorHAnsi" w:hAnsiTheme="minorHAnsi"/>
                <w:b/>
                <w:szCs w:val="24"/>
              </w:rPr>
            </w:pPr>
            <w:r w:rsidRPr="004F77CE">
              <w:rPr>
                <w:rFonts w:asciiTheme="minorHAnsi" w:hAnsiTheme="minorHAnsi"/>
                <w:b/>
                <w:szCs w:val="24"/>
              </w:rPr>
              <w:t>End:</w:t>
            </w:r>
          </w:p>
        </w:tc>
        <w:tc>
          <w:tcPr>
            <w:tcW w:w="8901" w:type="dxa"/>
            <w:tcBorders>
              <w:left w:val="nil"/>
            </w:tcBorders>
          </w:tcPr>
          <w:p w:rsidR="0045568D" w:rsidRDefault="00263EB0" w:rsidP="009D3DB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January 2018</w:t>
            </w:r>
          </w:p>
          <w:p w:rsidR="00263EB0" w:rsidRDefault="00263EB0" w:rsidP="009D3DB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December 2018</w:t>
            </w:r>
          </w:p>
        </w:tc>
      </w:tr>
      <w:tr w:rsidR="00BB2C7C" w:rsidRPr="0047234A" w:rsidTr="00CD1D67">
        <w:tc>
          <w:tcPr>
            <w:tcW w:w="9975" w:type="dxa"/>
            <w:gridSpan w:val="5"/>
            <w:shd w:val="clear" w:color="auto" w:fill="92D050"/>
          </w:tcPr>
          <w:p w:rsidR="00BB2C7C" w:rsidRPr="00B37656" w:rsidRDefault="00B37656" w:rsidP="00B37656">
            <w:pPr>
              <w:tabs>
                <w:tab w:val="left" w:pos="-142"/>
                <w:tab w:val="left" w:pos="284"/>
              </w:tabs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9 </w:t>
            </w:r>
            <w:r w:rsidR="00BB2C7C" w:rsidRPr="00B37656">
              <w:rPr>
                <w:b/>
              </w:rPr>
              <w:t>Expected costs</w:t>
            </w:r>
          </w:p>
        </w:tc>
      </w:tr>
      <w:tr w:rsidR="00BB2C7C" w:rsidRPr="00CB0FC1" w:rsidTr="005326AD">
        <w:tc>
          <w:tcPr>
            <w:tcW w:w="9975" w:type="dxa"/>
            <w:gridSpan w:val="5"/>
          </w:tcPr>
          <w:p w:rsidR="00263EB0" w:rsidRPr="00CB0FC1" w:rsidRDefault="00D943ED" w:rsidP="0093771B">
            <w:r>
              <w:t>A small task team of experts working virtually</w:t>
            </w:r>
          </w:p>
        </w:tc>
      </w:tr>
    </w:tbl>
    <w:p w:rsidR="005326AD" w:rsidRPr="005326AD" w:rsidRDefault="005326AD" w:rsidP="0093771B">
      <w:pPr>
        <w:rPr>
          <w:sz w:val="24"/>
          <w:szCs w:val="24"/>
        </w:rPr>
      </w:pPr>
      <w:bookmarkStart w:id="0" w:name="_GoBack"/>
      <w:bookmarkEnd w:id="0"/>
    </w:p>
    <w:sectPr w:rsidR="005326AD" w:rsidRPr="005326AD" w:rsidSect="00351862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653"/>
    <w:multiLevelType w:val="hybridMultilevel"/>
    <w:tmpl w:val="3FE6A5A0"/>
    <w:lvl w:ilvl="0" w:tplc="B14C5B6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F150B"/>
    <w:multiLevelType w:val="multilevel"/>
    <w:tmpl w:val="E1FC2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B32070"/>
    <w:multiLevelType w:val="hybridMultilevel"/>
    <w:tmpl w:val="960CB2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236"/>
    <w:multiLevelType w:val="hybridMultilevel"/>
    <w:tmpl w:val="A3FEE974"/>
    <w:lvl w:ilvl="0" w:tplc="F85C78FA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D16226"/>
    <w:multiLevelType w:val="hybridMultilevel"/>
    <w:tmpl w:val="2152C92C"/>
    <w:lvl w:ilvl="0" w:tplc="F23ED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3F9A"/>
    <w:multiLevelType w:val="hybridMultilevel"/>
    <w:tmpl w:val="6AA4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AB32BF"/>
    <w:multiLevelType w:val="hybridMultilevel"/>
    <w:tmpl w:val="2AC41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F84190"/>
    <w:multiLevelType w:val="hybridMultilevel"/>
    <w:tmpl w:val="97C4DB2E"/>
    <w:lvl w:ilvl="0" w:tplc="E6784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ED4"/>
    <w:multiLevelType w:val="hybridMultilevel"/>
    <w:tmpl w:val="AD6A6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8053B"/>
    <w:multiLevelType w:val="multilevel"/>
    <w:tmpl w:val="DDB03D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B854602"/>
    <w:multiLevelType w:val="hybridMultilevel"/>
    <w:tmpl w:val="21E80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E30F6"/>
    <w:multiLevelType w:val="multilevel"/>
    <w:tmpl w:val="98709B6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4EE317E"/>
    <w:multiLevelType w:val="hybridMultilevel"/>
    <w:tmpl w:val="B726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C0077"/>
    <w:multiLevelType w:val="multilevel"/>
    <w:tmpl w:val="15EE8A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rowska Anna">
    <w15:presenceInfo w15:providerId="AD" w15:userId="S-1-5-21-3419930908-1354286565-637230989-13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B1"/>
    <w:rsid w:val="000507F4"/>
    <w:rsid w:val="000736C7"/>
    <w:rsid w:val="00090161"/>
    <w:rsid w:val="00091E36"/>
    <w:rsid w:val="00092FD4"/>
    <w:rsid w:val="000957FE"/>
    <w:rsid w:val="000E2CBC"/>
    <w:rsid w:val="00126176"/>
    <w:rsid w:val="001457E5"/>
    <w:rsid w:val="00162040"/>
    <w:rsid w:val="00172450"/>
    <w:rsid w:val="001911E3"/>
    <w:rsid w:val="00191A37"/>
    <w:rsid w:val="001B57E8"/>
    <w:rsid w:val="001C6F24"/>
    <w:rsid w:val="001D131C"/>
    <w:rsid w:val="001D2187"/>
    <w:rsid w:val="001F501B"/>
    <w:rsid w:val="00204A5B"/>
    <w:rsid w:val="00212999"/>
    <w:rsid w:val="002214E1"/>
    <w:rsid w:val="00230B3C"/>
    <w:rsid w:val="002600F7"/>
    <w:rsid w:val="00263EB0"/>
    <w:rsid w:val="00284B48"/>
    <w:rsid w:val="00351862"/>
    <w:rsid w:val="00375C43"/>
    <w:rsid w:val="00397639"/>
    <w:rsid w:val="0042690E"/>
    <w:rsid w:val="004551B1"/>
    <w:rsid w:val="0045568D"/>
    <w:rsid w:val="0049550D"/>
    <w:rsid w:val="004E79C1"/>
    <w:rsid w:val="00527819"/>
    <w:rsid w:val="005326AD"/>
    <w:rsid w:val="005679A2"/>
    <w:rsid w:val="00576F23"/>
    <w:rsid w:val="0057785A"/>
    <w:rsid w:val="005A2F4B"/>
    <w:rsid w:val="005C56E4"/>
    <w:rsid w:val="006305D5"/>
    <w:rsid w:val="006530E5"/>
    <w:rsid w:val="006E4E15"/>
    <w:rsid w:val="00730E48"/>
    <w:rsid w:val="007466FE"/>
    <w:rsid w:val="007B3A7C"/>
    <w:rsid w:val="007B60FE"/>
    <w:rsid w:val="007D22F1"/>
    <w:rsid w:val="007F20D3"/>
    <w:rsid w:val="007F6C72"/>
    <w:rsid w:val="00814122"/>
    <w:rsid w:val="00843355"/>
    <w:rsid w:val="0089169C"/>
    <w:rsid w:val="00893A42"/>
    <w:rsid w:val="008F79CB"/>
    <w:rsid w:val="0093771B"/>
    <w:rsid w:val="0094085C"/>
    <w:rsid w:val="0097630F"/>
    <w:rsid w:val="009D3DBA"/>
    <w:rsid w:val="00A31019"/>
    <w:rsid w:val="00A77F79"/>
    <w:rsid w:val="00A83108"/>
    <w:rsid w:val="00AC662B"/>
    <w:rsid w:val="00B1095F"/>
    <w:rsid w:val="00B160A3"/>
    <w:rsid w:val="00B37656"/>
    <w:rsid w:val="00B76A51"/>
    <w:rsid w:val="00BB2C7C"/>
    <w:rsid w:val="00C109A2"/>
    <w:rsid w:val="00C86B88"/>
    <w:rsid w:val="00C91452"/>
    <w:rsid w:val="00CD1D67"/>
    <w:rsid w:val="00CD4A5E"/>
    <w:rsid w:val="00CE0BD2"/>
    <w:rsid w:val="00CE2F8B"/>
    <w:rsid w:val="00D26B9E"/>
    <w:rsid w:val="00D455E4"/>
    <w:rsid w:val="00D943ED"/>
    <w:rsid w:val="00DA0521"/>
    <w:rsid w:val="00DA0AFB"/>
    <w:rsid w:val="00E172E4"/>
    <w:rsid w:val="00EA50EF"/>
    <w:rsid w:val="00EB57B6"/>
    <w:rsid w:val="00F12E8C"/>
    <w:rsid w:val="00F24557"/>
    <w:rsid w:val="00F514E1"/>
    <w:rsid w:val="00F716F0"/>
    <w:rsid w:val="00FD3B04"/>
    <w:rsid w:val="00FF565D"/>
    <w:rsid w:val="00FF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7F4"/>
    <w:pPr>
      <w:ind w:left="720"/>
      <w:contextualSpacing/>
    </w:pPr>
    <w:rPr>
      <w:rFonts w:ascii="Calibri" w:hAnsi="Calibri"/>
      <w:sz w:val="24"/>
      <w:lang w:val="en-AU"/>
    </w:rPr>
  </w:style>
  <w:style w:type="table" w:styleId="TableGrid">
    <w:name w:val="Table Grid"/>
    <w:basedOn w:val="TableNormal"/>
    <w:uiPriority w:val="59"/>
    <w:rsid w:val="000507F4"/>
    <w:rPr>
      <w:rFonts w:ascii="Calibri" w:hAnsi="Calibri"/>
      <w:sz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97639"/>
  </w:style>
  <w:style w:type="character" w:styleId="CommentReference">
    <w:name w:val="annotation reference"/>
    <w:basedOn w:val="DefaultParagraphFont"/>
    <w:uiPriority w:val="99"/>
    <w:semiHidden/>
    <w:unhideWhenUsed/>
    <w:rsid w:val="00426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9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2F4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45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7F4"/>
    <w:pPr>
      <w:ind w:left="720"/>
      <w:contextualSpacing/>
    </w:pPr>
    <w:rPr>
      <w:rFonts w:ascii="Calibri" w:hAnsi="Calibri"/>
      <w:sz w:val="24"/>
      <w:lang w:val="en-AU"/>
    </w:rPr>
  </w:style>
  <w:style w:type="table" w:styleId="TableGrid">
    <w:name w:val="Table Grid"/>
    <w:basedOn w:val="TableNormal"/>
    <w:uiPriority w:val="59"/>
    <w:rsid w:val="000507F4"/>
    <w:rPr>
      <w:rFonts w:ascii="Calibri" w:hAnsi="Calibri"/>
      <w:sz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97639"/>
  </w:style>
  <w:style w:type="character" w:styleId="CommentReference">
    <w:name w:val="annotation reference"/>
    <w:basedOn w:val="DefaultParagraphFont"/>
    <w:uiPriority w:val="99"/>
    <w:semiHidden/>
    <w:unhideWhenUsed/>
    <w:rsid w:val="00426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9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2F4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4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sigroup.com/en-GB/our-services/Organizational-Resili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</dc:creator>
  <cp:lastModifiedBy>Tetyana Kolomiyets</cp:lastModifiedBy>
  <cp:revision>4</cp:revision>
  <dcterms:created xsi:type="dcterms:W3CDTF">2017-11-16T10:39:00Z</dcterms:created>
  <dcterms:modified xsi:type="dcterms:W3CDTF">2017-11-21T09:16:00Z</dcterms:modified>
</cp:coreProperties>
</file>