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2835"/>
        <w:gridCol w:w="709"/>
        <w:gridCol w:w="3969"/>
        <w:gridCol w:w="2126"/>
      </w:tblGrid>
      <w:tr w:rsidR="00B56E9C" w14:paraId="74D9CA96" w14:textId="77777777" w:rsidTr="004C1432">
        <w:trPr>
          <w:cantSplit/>
          <w:trHeight w:hRule="exact" w:val="851"/>
        </w:trPr>
        <w:tc>
          <w:tcPr>
            <w:tcW w:w="2835" w:type="dxa"/>
            <w:tcBorders>
              <w:bottom w:val="single" w:sz="4" w:space="0" w:color="auto"/>
            </w:tcBorders>
            <w:shd w:val="clear" w:color="auto" w:fill="auto"/>
            <w:vAlign w:val="bottom"/>
          </w:tcPr>
          <w:p w14:paraId="74D9CA93" w14:textId="77777777" w:rsidR="00B56E9C" w:rsidRDefault="00B56E9C" w:rsidP="00B8064E">
            <w:pPr>
              <w:spacing w:after="80"/>
            </w:pPr>
          </w:p>
        </w:tc>
        <w:tc>
          <w:tcPr>
            <w:tcW w:w="709" w:type="dxa"/>
            <w:tcBorders>
              <w:bottom w:val="single" w:sz="4" w:space="0" w:color="auto"/>
            </w:tcBorders>
            <w:shd w:val="clear" w:color="auto" w:fill="auto"/>
            <w:vAlign w:val="bottom"/>
          </w:tcPr>
          <w:p w14:paraId="74D9CA94" w14:textId="6116B38B" w:rsidR="00B56E9C" w:rsidRPr="00B8064E" w:rsidRDefault="00B56E9C" w:rsidP="00B8064E">
            <w:pPr>
              <w:spacing w:after="80" w:line="300" w:lineRule="exact"/>
              <w:rPr>
                <w:b/>
                <w:sz w:val="24"/>
                <w:szCs w:val="24"/>
              </w:rPr>
            </w:pPr>
          </w:p>
        </w:tc>
        <w:tc>
          <w:tcPr>
            <w:tcW w:w="6095" w:type="dxa"/>
            <w:gridSpan w:val="2"/>
            <w:tcBorders>
              <w:bottom w:val="single" w:sz="4" w:space="0" w:color="auto"/>
            </w:tcBorders>
            <w:shd w:val="clear" w:color="auto" w:fill="auto"/>
            <w:vAlign w:val="bottom"/>
          </w:tcPr>
          <w:p w14:paraId="74D9CA95" w14:textId="374EC5C0" w:rsidR="00B56E9C" w:rsidRPr="007C36C6" w:rsidRDefault="00154561" w:rsidP="00EC6CC6">
            <w:pPr>
              <w:jc w:val="right"/>
              <w:rPr>
                <w:b/>
                <w:bCs/>
                <w:sz w:val="40"/>
                <w:szCs w:val="40"/>
              </w:rPr>
            </w:pPr>
            <w:r w:rsidRPr="007C36C6">
              <w:rPr>
                <w:b/>
                <w:bCs/>
                <w:sz w:val="40"/>
                <w:szCs w:val="40"/>
              </w:rPr>
              <w:t>INF.</w:t>
            </w:r>
            <w:r w:rsidR="0087286F">
              <w:rPr>
                <w:b/>
                <w:bCs/>
                <w:sz w:val="40"/>
                <w:szCs w:val="40"/>
              </w:rPr>
              <w:t>7</w:t>
            </w:r>
          </w:p>
        </w:tc>
      </w:tr>
      <w:tr w:rsidR="00133318" w14:paraId="74D9CA9D" w14:textId="77777777" w:rsidTr="009124A3">
        <w:trPr>
          <w:cantSplit/>
          <w:trHeight w:hRule="exact" w:val="3980"/>
        </w:trPr>
        <w:tc>
          <w:tcPr>
            <w:tcW w:w="7513" w:type="dxa"/>
            <w:gridSpan w:val="3"/>
            <w:tcBorders>
              <w:top w:val="single" w:sz="4" w:space="0" w:color="auto"/>
              <w:bottom w:val="single" w:sz="12" w:space="0" w:color="auto"/>
            </w:tcBorders>
            <w:shd w:val="clear" w:color="auto" w:fill="auto"/>
          </w:tcPr>
          <w:p w14:paraId="4F4A0609" w14:textId="77777777" w:rsidR="005D3A50" w:rsidRDefault="005D3A50" w:rsidP="005D3A50">
            <w:pPr>
              <w:spacing w:before="120"/>
              <w:rPr>
                <w:b/>
                <w:sz w:val="28"/>
                <w:szCs w:val="28"/>
              </w:rPr>
            </w:pPr>
            <w:r w:rsidRPr="00832334">
              <w:rPr>
                <w:b/>
                <w:sz w:val="28"/>
                <w:szCs w:val="28"/>
              </w:rPr>
              <w:t>Economic Commission for Europe</w:t>
            </w:r>
          </w:p>
          <w:p w14:paraId="65D6600F" w14:textId="77777777" w:rsidR="005D3A50" w:rsidRPr="008F31D2" w:rsidRDefault="005D3A50" w:rsidP="005D3A50">
            <w:pPr>
              <w:spacing w:before="120"/>
              <w:rPr>
                <w:sz w:val="28"/>
                <w:szCs w:val="28"/>
              </w:rPr>
            </w:pPr>
            <w:r>
              <w:rPr>
                <w:sz w:val="28"/>
                <w:szCs w:val="28"/>
              </w:rPr>
              <w:t>Inland Transport Committee</w:t>
            </w:r>
          </w:p>
          <w:p w14:paraId="6C3002A7" w14:textId="77777777" w:rsidR="005D3A50" w:rsidRDefault="005D3A50" w:rsidP="005D3A50">
            <w:pPr>
              <w:spacing w:before="120"/>
              <w:rPr>
                <w:b/>
                <w:sz w:val="24"/>
                <w:szCs w:val="24"/>
              </w:rPr>
            </w:pPr>
            <w:r>
              <w:rPr>
                <w:b/>
                <w:sz w:val="24"/>
                <w:szCs w:val="24"/>
              </w:rPr>
              <w:t>Working Party on the Transport of Dangerous Goods</w:t>
            </w:r>
          </w:p>
          <w:p w14:paraId="08E2AD65" w14:textId="77777777" w:rsidR="005D3A50" w:rsidRPr="008F31D2" w:rsidRDefault="005D3A50" w:rsidP="005D3A50">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7B229E61" w14:textId="3AD52AFE" w:rsidR="005D3A50" w:rsidRPr="008D7010" w:rsidRDefault="00057307" w:rsidP="005D3A50">
            <w:pPr>
              <w:spacing w:before="120"/>
              <w:rPr>
                <w:b/>
              </w:rPr>
            </w:pPr>
            <w:r>
              <w:rPr>
                <w:b/>
              </w:rPr>
              <w:t>Fort</w:t>
            </w:r>
            <w:r w:rsidR="0058371B">
              <w:rPr>
                <w:b/>
              </w:rPr>
              <w:t>y-first</w:t>
            </w:r>
            <w:r w:rsidR="005D3A50">
              <w:rPr>
                <w:b/>
              </w:rPr>
              <w:t xml:space="preserve"> </w:t>
            </w:r>
            <w:r w:rsidR="005D3A50" w:rsidRPr="008D7010">
              <w:rPr>
                <w:b/>
              </w:rPr>
              <w:t>session</w:t>
            </w:r>
          </w:p>
          <w:p w14:paraId="3D4DDE79" w14:textId="47911A95" w:rsidR="00712AA7" w:rsidRPr="00402337" w:rsidRDefault="00712AA7" w:rsidP="00712AA7">
            <w:pPr>
              <w:rPr>
                <w:bCs/>
              </w:rPr>
            </w:pPr>
            <w:r w:rsidRPr="00402337">
              <w:rPr>
                <w:bCs/>
              </w:rPr>
              <w:t>Geneva, 2</w:t>
            </w:r>
            <w:r w:rsidR="003E1645">
              <w:rPr>
                <w:bCs/>
              </w:rPr>
              <w:t>3</w:t>
            </w:r>
            <w:r w:rsidRPr="00402337">
              <w:rPr>
                <w:bCs/>
              </w:rPr>
              <w:t>-2</w:t>
            </w:r>
            <w:r w:rsidR="003E1645">
              <w:rPr>
                <w:bCs/>
              </w:rPr>
              <w:t>7</w:t>
            </w:r>
            <w:r w:rsidRPr="00402337">
              <w:rPr>
                <w:bCs/>
              </w:rPr>
              <w:t xml:space="preserve"> </w:t>
            </w:r>
            <w:r w:rsidR="003E1645">
              <w:rPr>
                <w:bCs/>
              </w:rPr>
              <w:t>January</w:t>
            </w:r>
            <w:r w:rsidRPr="00402337">
              <w:rPr>
                <w:bCs/>
              </w:rPr>
              <w:t xml:space="preserve"> 202</w:t>
            </w:r>
            <w:r w:rsidR="003E1645">
              <w:rPr>
                <w:bCs/>
              </w:rPr>
              <w:t>3</w:t>
            </w:r>
          </w:p>
          <w:p w14:paraId="6F5CA311" w14:textId="6A06273F" w:rsidR="00712AA7" w:rsidRPr="007A24E7" w:rsidRDefault="00712AA7" w:rsidP="00712AA7">
            <w:r w:rsidRPr="007A24E7">
              <w:t xml:space="preserve">Item </w:t>
            </w:r>
            <w:r w:rsidR="001964BE" w:rsidRPr="007A24E7">
              <w:t>4</w:t>
            </w:r>
            <w:r w:rsidRPr="007A24E7">
              <w:t xml:space="preserve"> (</w:t>
            </w:r>
            <w:r w:rsidR="001964BE" w:rsidRPr="007A24E7">
              <w:t>c</w:t>
            </w:r>
            <w:r w:rsidRPr="007A24E7">
              <w:t>) of the provisional agenda</w:t>
            </w:r>
          </w:p>
          <w:p w14:paraId="03EE87F1" w14:textId="77777777" w:rsidR="009124A3" w:rsidRPr="009124A3" w:rsidRDefault="009124A3" w:rsidP="006718D0">
            <w:pPr>
              <w:rPr>
                <w:b/>
                <w:bCs/>
              </w:rPr>
            </w:pPr>
            <w:r w:rsidRPr="009124A3">
              <w:rPr>
                <w:b/>
                <w:bCs/>
              </w:rPr>
              <w:t>Implementation of the European Agreement concerning the International Carriage of Dangerous Goods by Inland Waterways (ADN):</w:t>
            </w:r>
          </w:p>
          <w:p w14:paraId="07C0CFFB" w14:textId="14AE4296" w:rsidR="00725CEA" w:rsidRPr="007A24E7" w:rsidRDefault="007A24E7" w:rsidP="006718D0">
            <w:pPr>
              <w:rPr>
                <w:b/>
                <w:bCs/>
              </w:rPr>
            </w:pPr>
            <w:r>
              <w:rPr>
                <w:b/>
                <w:bCs/>
              </w:rPr>
              <w:t>i</w:t>
            </w:r>
            <w:r w:rsidRPr="007A24E7">
              <w:rPr>
                <w:b/>
                <w:bCs/>
              </w:rPr>
              <w:t>nterpretation of the Regulations annexed to ADN</w:t>
            </w:r>
          </w:p>
          <w:p w14:paraId="15003A63" w14:textId="77777777" w:rsidR="00CB3C29" w:rsidRDefault="006718D0" w:rsidP="00CB3C29">
            <w:pPr>
              <w:pStyle w:val="HChG"/>
              <w:tabs>
                <w:tab w:val="right" w:pos="0"/>
              </w:tabs>
            </w:pPr>
            <w:r w:rsidRPr="008A2649">
              <w:rPr>
                <w:bCs/>
              </w:rPr>
              <w:t>other proposals</w:t>
            </w:r>
            <w:r w:rsidR="00CB3C29">
              <w:tab/>
            </w:r>
            <w:r w:rsidR="00CB3C29">
              <w:tab/>
              <w:t>Definition of “Inspection body”</w:t>
            </w:r>
          </w:p>
          <w:p w14:paraId="44CCA2C9" w14:textId="77777777" w:rsidR="00CB3C29" w:rsidRDefault="00CB3C29" w:rsidP="00CB3C29">
            <w:pPr>
              <w:pStyle w:val="H1G"/>
            </w:pPr>
            <w:r>
              <w:tab/>
            </w:r>
            <w:r>
              <w:tab/>
              <w:t xml:space="preserve">Transmitted by the Governments of France, </w:t>
            </w:r>
            <w:proofErr w:type="gramStart"/>
            <w:r>
              <w:t>Germany</w:t>
            </w:r>
            <w:proofErr w:type="gramEnd"/>
            <w:r>
              <w:t xml:space="preserve"> and The Netherlands</w:t>
            </w:r>
          </w:p>
          <w:p w14:paraId="798DC30C" w14:textId="77777777" w:rsidR="00CB3C29" w:rsidRDefault="00CB3C29" w:rsidP="00CB3C29"/>
          <w:tbl>
            <w:tblPr>
              <w:tblStyle w:val="Grilledutableau1"/>
              <w:tblW w:w="0" w:type="auto"/>
              <w:jc w:val="center"/>
              <w:tblLayout w:type="fixed"/>
              <w:tblCellMar>
                <w:left w:w="0" w:type="dxa"/>
                <w:right w:w="0" w:type="dxa"/>
              </w:tblCellMar>
              <w:tblLook w:val="05E0" w:firstRow="1" w:lastRow="1" w:firstColumn="1" w:lastColumn="1" w:noHBand="0" w:noVBand="1"/>
            </w:tblPr>
            <w:tblGrid>
              <w:gridCol w:w="2557"/>
              <w:gridCol w:w="7072"/>
            </w:tblGrid>
            <w:tr w:rsidR="00CB3C29" w:rsidRPr="00AB0E14" w14:paraId="661EFEFB" w14:textId="77777777" w:rsidTr="009F4A45">
              <w:trPr>
                <w:jc w:val="center"/>
              </w:trPr>
              <w:tc>
                <w:tcPr>
                  <w:tcW w:w="2557" w:type="dxa"/>
                  <w:tcBorders>
                    <w:bottom w:val="nil"/>
                    <w:right w:val="nil"/>
                  </w:tcBorders>
                </w:tcPr>
                <w:p w14:paraId="4E808EE2" w14:textId="77777777" w:rsidR="00CB3C29" w:rsidRPr="00AB0E14" w:rsidRDefault="00CB3C29" w:rsidP="001964BE">
                  <w:pPr>
                    <w:framePr w:hSpace="142" w:wrap="around" w:vAnchor="page" w:hAnchor="page" w:x="1135" w:y="568"/>
                    <w:tabs>
                      <w:tab w:val="left" w:pos="255"/>
                    </w:tabs>
                    <w:suppressAutoHyphens w:val="0"/>
                    <w:spacing w:before="240" w:after="120" w:line="240" w:lineRule="auto"/>
                    <w:suppressOverlap/>
                    <w:rPr>
                      <w:sz w:val="24"/>
                      <w:lang w:eastAsia="zh-CN"/>
                    </w:rPr>
                  </w:pPr>
                  <w:r w:rsidRPr="00AB0E14">
                    <w:rPr>
                      <w:lang w:eastAsia="zh-CN"/>
                    </w:rPr>
                    <w:tab/>
                  </w:r>
                  <w:r w:rsidRPr="00AB0E14">
                    <w:rPr>
                      <w:i/>
                      <w:sz w:val="24"/>
                      <w:lang w:eastAsia="zh-CN"/>
                    </w:rPr>
                    <w:t>Summary</w:t>
                  </w:r>
                </w:p>
              </w:tc>
              <w:tc>
                <w:tcPr>
                  <w:tcW w:w="7072" w:type="dxa"/>
                  <w:tcBorders>
                    <w:left w:val="nil"/>
                    <w:bottom w:val="nil"/>
                  </w:tcBorders>
                </w:tcPr>
                <w:p w14:paraId="34F640C1" w14:textId="77777777" w:rsidR="00CB3C29" w:rsidRPr="00AB0E14" w:rsidRDefault="00CB3C29" w:rsidP="001964BE">
                  <w:pPr>
                    <w:framePr w:hSpace="142" w:wrap="around" w:vAnchor="page" w:hAnchor="page" w:x="1135" w:y="568"/>
                    <w:tabs>
                      <w:tab w:val="left" w:pos="1701"/>
                      <w:tab w:val="left" w:pos="2268"/>
                    </w:tabs>
                    <w:spacing w:after="120"/>
                    <w:ind w:right="1134"/>
                    <w:suppressOverlap/>
                    <w:jc w:val="both"/>
                    <w:rPr>
                      <w:lang w:eastAsia="zh-CN"/>
                    </w:rPr>
                  </w:pPr>
                  <w:r>
                    <w:rPr>
                      <w:lang w:eastAsia="zh-CN"/>
                    </w:rPr>
                    <w:t xml:space="preserve">The co-sponsors propose amendments to the Annexed Regulations to ADN </w:t>
                  </w:r>
                  <w:proofErr w:type="gramStart"/>
                  <w:r>
                    <w:rPr>
                      <w:lang w:eastAsia="zh-CN"/>
                    </w:rPr>
                    <w:t>in order to</w:t>
                  </w:r>
                  <w:proofErr w:type="gramEnd"/>
                  <w:r>
                    <w:rPr>
                      <w:lang w:eastAsia="zh-CN"/>
                    </w:rPr>
                    <w:t xml:space="preserve"> clarify the definition of “Inspection body”</w:t>
                  </w:r>
                  <w:r w:rsidRPr="00AB0E14">
                    <w:rPr>
                      <w:lang w:eastAsia="zh-CN"/>
                    </w:rPr>
                    <w:t>.</w:t>
                  </w:r>
                </w:p>
              </w:tc>
            </w:tr>
            <w:tr w:rsidR="00CB3C29" w:rsidRPr="00AB0E14" w14:paraId="36D1D682" w14:textId="77777777" w:rsidTr="009F4A45">
              <w:trPr>
                <w:jc w:val="center"/>
              </w:trPr>
              <w:tc>
                <w:tcPr>
                  <w:tcW w:w="2557" w:type="dxa"/>
                  <w:tcBorders>
                    <w:top w:val="nil"/>
                    <w:bottom w:val="nil"/>
                    <w:right w:val="nil"/>
                  </w:tcBorders>
                  <w:shd w:val="clear" w:color="auto" w:fill="auto"/>
                </w:tcPr>
                <w:p w14:paraId="4E28DF57" w14:textId="77777777" w:rsidR="00CB3C29" w:rsidRPr="00AB0E14" w:rsidRDefault="00CB3C29" w:rsidP="001964BE">
                  <w:pPr>
                    <w:framePr w:hSpace="142" w:wrap="around" w:vAnchor="page" w:hAnchor="page" w:x="1135" w:y="568"/>
                    <w:tabs>
                      <w:tab w:val="left" w:pos="1701"/>
                      <w:tab w:val="left" w:pos="2268"/>
                    </w:tabs>
                    <w:spacing w:after="120"/>
                    <w:ind w:left="284"/>
                    <w:suppressOverlap/>
                    <w:jc w:val="both"/>
                    <w:rPr>
                      <w:b/>
                      <w:bCs/>
                      <w:lang w:eastAsia="zh-CN"/>
                    </w:rPr>
                  </w:pPr>
                  <w:r w:rsidRPr="00AB0E14">
                    <w:rPr>
                      <w:b/>
                      <w:bCs/>
                      <w:lang w:eastAsia="zh-CN"/>
                    </w:rPr>
                    <w:t>Executive summary:</w:t>
                  </w:r>
                </w:p>
              </w:tc>
              <w:tc>
                <w:tcPr>
                  <w:tcW w:w="7072" w:type="dxa"/>
                  <w:tcBorders>
                    <w:top w:val="nil"/>
                    <w:left w:val="nil"/>
                    <w:bottom w:val="nil"/>
                  </w:tcBorders>
                  <w:shd w:val="clear" w:color="auto" w:fill="auto"/>
                </w:tcPr>
                <w:p w14:paraId="110CE5A0" w14:textId="77777777" w:rsidR="00CB3C29" w:rsidRPr="00AB0E14" w:rsidRDefault="00CB3C29" w:rsidP="001964BE">
                  <w:pPr>
                    <w:framePr w:hSpace="142" w:wrap="around" w:vAnchor="page" w:hAnchor="page" w:x="1135" w:y="568"/>
                    <w:tabs>
                      <w:tab w:val="left" w:pos="1701"/>
                      <w:tab w:val="left" w:pos="2268"/>
                    </w:tabs>
                    <w:spacing w:after="120"/>
                    <w:ind w:right="1134"/>
                    <w:suppressOverlap/>
                    <w:jc w:val="both"/>
                    <w:rPr>
                      <w:lang w:eastAsia="zh-CN"/>
                    </w:rPr>
                  </w:pPr>
                  <w:r>
                    <w:rPr>
                      <w:lang w:eastAsia="zh-CN"/>
                    </w:rPr>
                    <w:t>The comparison between the different linguistic versions of ADN, and between ADN and RID / ADR shows inconstancies regarding the notion of “Inspection body”. This current document tries to define this notion consistently between the linguistic versions and with RID / ADR.</w:t>
                  </w:r>
                </w:p>
              </w:tc>
            </w:tr>
            <w:tr w:rsidR="00CB3C29" w:rsidRPr="00AB0E14" w14:paraId="2AEB0EB6" w14:textId="77777777" w:rsidTr="009F4A45">
              <w:trPr>
                <w:jc w:val="center"/>
              </w:trPr>
              <w:tc>
                <w:tcPr>
                  <w:tcW w:w="2557" w:type="dxa"/>
                  <w:tcBorders>
                    <w:top w:val="nil"/>
                    <w:bottom w:val="nil"/>
                    <w:right w:val="nil"/>
                  </w:tcBorders>
                  <w:shd w:val="clear" w:color="auto" w:fill="auto"/>
                </w:tcPr>
                <w:p w14:paraId="2B1F1996" w14:textId="77777777" w:rsidR="00CB3C29" w:rsidRPr="00AB0E14" w:rsidRDefault="00CB3C29" w:rsidP="001964BE">
                  <w:pPr>
                    <w:framePr w:hSpace="142" w:wrap="around" w:vAnchor="page" w:hAnchor="page" w:x="1135" w:y="568"/>
                    <w:tabs>
                      <w:tab w:val="left" w:pos="1701"/>
                      <w:tab w:val="left" w:pos="2268"/>
                    </w:tabs>
                    <w:spacing w:after="120"/>
                    <w:ind w:left="284"/>
                    <w:suppressOverlap/>
                    <w:jc w:val="both"/>
                    <w:rPr>
                      <w:b/>
                      <w:bCs/>
                      <w:lang w:eastAsia="zh-CN"/>
                    </w:rPr>
                  </w:pPr>
                  <w:r w:rsidRPr="00AB0E14">
                    <w:rPr>
                      <w:b/>
                      <w:bCs/>
                      <w:lang w:eastAsia="zh-CN"/>
                    </w:rPr>
                    <w:t>Action to be taken:</w:t>
                  </w:r>
                </w:p>
              </w:tc>
              <w:tc>
                <w:tcPr>
                  <w:tcW w:w="7072" w:type="dxa"/>
                  <w:tcBorders>
                    <w:top w:val="nil"/>
                    <w:left w:val="nil"/>
                    <w:bottom w:val="nil"/>
                  </w:tcBorders>
                  <w:shd w:val="clear" w:color="auto" w:fill="auto"/>
                </w:tcPr>
                <w:p w14:paraId="63255998" w14:textId="77777777" w:rsidR="00CB3C29" w:rsidRPr="00AB0E14" w:rsidRDefault="00CB3C29" w:rsidP="001964BE">
                  <w:pPr>
                    <w:framePr w:hSpace="142" w:wrap="around" w:vAnchor="page" w:hAnchor="page" w:x="1135" w:y="568"/>
                    <w:tabs>
                      <w:tab w:val="left" w:pos="1701"/>
                      <w:tab w:val="left" w:pos="2268"/>
                    </w:tabs>
                    <w:spacing w:after="120"/>
                    <w:ind w:right="1134"/>
                    <w:suppressOverlap/>
                    <w:jc w:val="both"/>
                    <w:rPr>
                      <w:lang w:eastAsia="zh-CN"/>
                    </w:rPr>
                  </w:pPr>
                  <w:r w:rsidRPr="00043BAC">
                    <w:rPr>
                      <w:lang w:eastAsia="zh-CN"/>
                    </w:rPr>
                    <w:t>See paragraph 9.</w:t>
                  </w:r>
                </w:p>
              </w:tc>
            </w:tr>
            <w:tr w:rsidR="00CB3C29" w:rsidRPr="00AB0E14" w14:paraId="693C0257" w14:textId="77777777" w:rsidTr="009F4A45">
              <w:trPr>
                <w:jc w:val="center"/>
              </w:trPr>
              <w:tc>
                <w:tcPr>
                  <w:tcW w:w="2557" w:type="dxa"/>
                  <w:tcBorders>
                    <w:top w:val="nil"/>
                    <w:bottom w:val="nil"/>
                    <w:right w:val="nil"/>
                  </w:tcBorders>
                  <w:shd w:val="clear" w:color="auto" w:fill="auto"/>
                </w:tcPr>
                <w:p w14:paraId="16A02493" w14:textId="77777777" w:rsidR="00CB3C29" w:rsidRPr="00AB0E14" w:rsidRDefault="00CB3C29" w:rsidP="001964BE">
                  <w:pPr>
                    <w:framePr w:hSpace="142" w:wrap="around" w:vAnchor="page" w:hAnchor="page" w:x="1135" w:y="568"/>
                    <w:tabs>
                      <w:tab w:val="left" w:pos="1701"/>
                      <w:tab w:val="left" w:pos="2268"/>
                    </w:tabs>
                    <w:spacing w:after="120"/>
                    <w:ind w:left="284"/>
                    <w:suppressOverlap/>
                    <w:jc w:val="both"/>
                    <w:rPr>
                      <w:b/>
                      <w:bCs/>
                      <w:lang w:eastAsia="zh-CN"/>
                    </w:rPr>
                  </w:pPr>
                  <w:r w:rsidRPr="00AB0E14">
                    <w:rPr>
                      <w:b/>
                      <w:bCs/>
                      <w:lang w:eastAsia="zh-CN"/>
                    </w:rPr>
                    <w:t>Related documents:</w:t>
                  </w:r>
                </w:p>
              </w:tc>
              <w:tc>
                <w:tcPr>
                  <w:tcW w:w="7072" w:type="dxa"/>
                  <w:tcBorders>
                    <w:top w:val="nil"/>
                    <w:left w:val="nil"/>
                    <w:bottom w:val="nil"/>
                  </w:tcBorders>
                  <w:shd w:val="clear" w:color="auto" w:fill="auto"/>
                </w:tcPr>
                <w:p w14:paraId="18A7E7AF" w14:textId="77777777" w:rsidR="00CB3C29" w:rsidRPr="00636772" w:rsidRDefault="00CB3C29" w:rsidP="001964BE">
                  <w:pPr>
                    <w:framePr w:hSpace="142" w:wrap="around" w:vAnchor="page" w:hAnchor="page" w:x="1135" w:y="568"/>
                    <w:tabs>
                      <w:tab w:val="left" w:pos="1701"/>
                      <w:tab w:val="left" w:pos="2268"/>
                    </w:tabs>
                    <w:spacing w:after="120"/>
                    <w:ind w:right="1134"/>
                    <w:suppressOverlap/>
                    <w:jc w:val="both"/>
                    <w:rPr>
                      <w:lang w:eastAsia="zh-CN"/>
                    </w:rPr>
                  </w:pPr>
                  <w:r w:rsidRPr="00636772">
                    <w:rPr>
                      <w:lang w:eastAsia="zh-CN"/>
                    </w:rPr>
                    <w:t>ECE/TRANS/WP.15/AC.2/2022/25</w:t>
                  </w:r>
                </w:p>
                <w:p w14:paraId="7C6FD49A" w14:textId="77777777" w:rsidR="00CB3C29" w:rsidRPr="00AB0E14" w:rsidRDefault="00CB3C29" w:rsidP="001964BE">
                  <w:pPr>
                    <w:framePr w:hSpace="142" w:wrap="around" w:vAnchor="page" w:hAnchor="page" w:x="1135" w:y="568"/>
                    <w:tabs>
                      <w:tab w:val="left" w:pos="1701"/>
                      <w:tab w:val="left" w:pos="2268"/>
                    </w:tabs>
                    <w:spacing w:after="120"/>
                    <w:ind w:right="1134"/>
                    <w:suppressOverlap/>
                    <w:jc w:val="both"/>
                    <w:rPr>
                      <w:lang w:eastAsia="zh-CN"/>
                    </w:rPr>
                  </w:pPr>
                  <w:r w:rsidRPr="00636772">
                    <w:rPr>
                      <w:bCs/>
                      <w:lang w:eastAsia="zh-CN"/>
                    </w:rPr>
                    <w:t>ECE/TRANS/WP.15/AC.2/82 (paragraph 34)</w:t>
                  </w:r>
                </w:p>
              </w:tc>
            </w:tr>
            <w:tr w:rsidR="00CB3C29" w:rsidRPr="00AB0E14" w14:paraId="46CA3956" w14:textId="77777777" w:rsidTr="009F4A45">
              <w:trPr>
                <w:jc w:val="center"/>
              </w:trPr>
              <w:tc>
                <w:tcPr>
                  <w:tcW w:w="2557" w:type="dxa"/>
                  <w:tcBorders>
                    <w:top w:val="nil"/>
                    <w:right w:val="nil"/>
                  </w:tcBorders>
                </w:tcPr>
                <w:p w14:paraId="3E32C11C" w14:textId="77777777" w:rsidR="00CB3C29" w:rsidRPr="00AB0E14" w:rsidRDefault="00CB3C29" w:rsidP="001964BE">
                  <w:pPr>
                    <w:framePr w:hSpace="142" w:wrap="around" w:vAnchor="page" w:hAnchor="page" w:x="1135" w:y="568"/>
                    <w:suppressAutoHyphens w:val="0"/>
                    <w:spacing w:line="240" w:lineRule="auto"/>
                    <w:suppressOverlap/>
                    <w:rPr>
                      <w:lang w:eastAsia="zh-CN"/>
                    </w:rPr>
                  </w:pPr>
                </w:p>
              </w:tc>
              <w:tc>
                <w:tcPr>
                  <w:tcW w:w="7072" w:type="dxa"/>
                  <w:tcBorders>
                    <w:top w:val="nil"/>
                    <w:left w:val="nil"/>
                  </w:tcBorders>
                </w:tcPr>
                <w:p w14:paraId="3C273287" w14:textId="77777777" w:rsidR="00CB3C29" w:rsidRPr="00AB0E14" w:rsidRDefault="00CB3C29" w:rsidP="001964BE">
                  <w:pPr>
                    <w:framePr w:hSpace="142" w:wrap="around" w:vAnchor="page" w:hAnchor="page" w:x="1135" w:y="568"/>
                    <w:suppressAutoHyphens w:val="0"/>
                    <w:suppressOverlap/>
                    <w:rPr>
                      <w:lang w:eastAsia="zh-CN"/>
                    </w:rPr>
                  </w:pPr>
                </w:p>
              </w:tc>
            </w:tr>
          </w:tbl>
          <w:p w14:paraId="57067F58" w14:textId="77777777" w:rsidR="00CB3C29" w:rsidRDefault="00CB3C29" w:rsidP="00CB3C29">
            <w:pPr>
              <w:pStyle w:val="HChG"/>
            </w:pPr>
            <w:r>
              <w:tab/>
            </w:r>
            <w:r>
              <w:tab/>
            </w:r>
            <w:r w:rsidRPr="00176B27">
              <w:t>Introduction</w:t>
            </w:r>
          </w:p>
          <w:p w14:paraId="2F502A69" w14:textId="77777777" w:rsidR="00CB3C29" w:rsidRPr="00636772" w:rsidRDefault="00CB3C29" w:rsidP="00CB3C29">
            <w:pPr>
              <w:pStyle w:val="SingleTxtG"/>
            </w:pPr>
            <w:r>
              <w:t>1.</w:t>
            </w:r>
            <w:r>
              <w:tab/>
              <w:t xml:space="preserve">At the fortieth session of the Safety Committee, France, </w:t>
            </w:r>
            <w:proofErr w:type="gramStart"/>
            <w:r>
              <w:t>Germany</w:t>
            </w:r>
            <w:proofErr w:type="gramEnd"/>
            <w:r>
              <w:t xml:space="preserve"> and The Netherlands </w:t>
            </w:r>
            <w:r w:rsidRPr="00636772">
              <w:t>volunteered to p</w:t>
            </w:r>
            <w:r>
              <w:t>repare a comprehensive proposal related the clarification of the definition of “Inspection body”.</w:t>
            </w:r>
          </w:p>
          <w:p w14:paraId="3177D703" w14:textId="77777777" w:rsidR="00CB3C29" w:rsidRDefault="00CB3C29" w:rsidP="00CB3C29">
            <w:pPr>
              <w:pStyle w:val="SingleTxtG"/>
            </w:pPr>
            <w:r>
              <w:t>2.</w:t>
            </w:r>
            <w:r>
              <w:tab/>
              <w:t>The discussions between these three delegations showed that:</w:t>
            </w:r>
          </w:p>
          <w:p w14:paraId="5D8051E6" w14:textId="77777777" w:rsidR="00CB3C29" w:rsidRDefault="00CB3C29" w:rsidP="00CB3C29">
            <w:pPr>
              <w:pStyle w:val="SingleTxtG"/>
              <w:numPr>
                <w:ilvl w:val="0"/>
                <w:numId w:val="21"/>
              </w:numPr>
            </w:pPr>
            <w:r>
              <w:t>Some additional issued raised; and</w:t>
            </w:r>
          </w:p>
          <w:p w14:paraId="1ED2CD28" w14:textId="77777777" w:rsidR="00CB3C29" w:rsidRDefault="00CB3C29" w:rsidP="00CB3C29">
            <w:pPr>
              <w:pStyle w:val="SingleTxtG"/>
              <w:numPr>
                <w:ilvl w:val="0"/>
                <w:numId w:val="21"/>
              </w:numPr>
            </w:pPr>
            <w:r>
              <w:t>It could be helpful to compare these definitions with those included in RID / ADR</w:t>
            </w:r>
          </w:p>
          <w:p w14:paraId="181540E4" w14:textId="77777777" w:rsidR="00CB3C29" w:rsidRDefault="00CB3C29" w:rsidP="00CB3C29">
            <w:pPr>
              <w:pStyle w:val="SingleTxtG"/>
            </w:pPr>
            <w:r>
              <w:t>3.</w:t>
            </w:r>
            <w:r>
              <w:tab/>
              <w:t>This informal document proposes possible solutions to these different issues.</w:t>
            </w:r>
          </w:p>
          <w:p w14:paraId="74D9CA98" w14:textId="026717A4" w:rsidR="00133318" w:rsidRPr="00B8064E" w:rsidRDefault="00133318" w:rsidP="006718D0">
            <w:pPr>
              <w:rPr>
                <w:sz w:val="40"/>
                <w:szCs w:val="40"/>
              </w:rPr>
            </w:pPr>
          </w:p>
        </w:tc>
        <w:tc>
          <w:tcPr>
            <w:tcW w:w="2126" w:type="dxa"/>
            <w:tcBorders>
              <w:top w:val="single" w:sz="4" w:space="0" w:color="auto"/>
              <w:bottom w:val="single" w:sz="12" w:space="0" w:color="auto"/>
            </w:tcBorders>
            <w:shd w:val="clear" w:color="auto" w:fill="auto"/>
          </w:tcPr>
          <w:p w14:paraId="41E238B7" w14:textId="77777777" w:rsidR="00133318" w:rsidRDefault="00133318" w:rsidP="00B8064E">
            <w:pPr>
              <w:spacing w:line="240" w:lineRule="exact"/>
            </w:pPr>
          </w:p>
          <w:p w14:paraId="7B8FC4E0" w14:textId="77777777" w:rsidR="00133318" w:rsidRDefault="00133318" w:rsidP="00B8064E">
            <w:pPr>
              <w:spacing w:line="240" w:lineRule="exact"/>
            </w:pPr>
          </w:p>
          <w:p w14:paraId="59A6B1EA" w14:textId="77777777" w:rsidR="005D3A50" w:rsidRDefault="005D3A50" w:rsidP="00B8064E">
            <w:pPr>
              <w:spacing w:line="240" w:lineRule="exact"/>
            </w:pPr>
          </w:p>
          <w:p w14:paraId="74D9CA9A" w14:textId="0E160876" w:rsidR="00133318" w:rsidRDefault="0087286F" w:rsidP="00B8064E">
            <w:pPr>
              <w:spacing w:line="240" w:lineRule="exact"/>
            </w:pPr>
            <w:r>
              <w:t>12</w:t>
            </w:r>
            <w:r w:rsidR="00133318">
              <w:t xml:space="preserve"> </w:t>
            </w:r>
            <w:r>
              <w:t>Decemb</w:t>
            </w:r>
            <w:r w:rsidR="009D35AA">
              <w:t>er</w:t>
            </w:r>
            <w:r w:rsidR="00133318">
              <w:t xml:space="preserve"> 2022</w:t>
            </w:r>
          </w:p>
          <w:p w14:paraId="74D9CA9B" w14:textId="77777777" w:rsidR="00133318" w:rsidRDefault="00133318" w:rsidP="00B8064E">
            <w:pPr>
              <w:spacing w:line="240" w:lineRule="exact"/>
            </w:pPr>
          </w:p>
          <w:p w14:paraId="74D9CA9C" w14:textId="7BFE1D0D" w:rsidR="00133318" w:rsidRDefault="00133318" w:rsidP="00B8064E">
            <w:pPr>
              <w:spacing w:line="240" w:lineRule="exact"/>
            </w:pPr>
            <w:r>
              <w:t>English</w:t>
            </w:r>
          </w:p>
        </w:tc>
      </w:tr>
    </w:tbl>
    <w:p w14:paraId="3EF48BFE" w14:textId="77777777" w:rsidR="00A41BA1" w:rsidRPr="000A2607" w:rsidRDefault="00CB3C29" w:rsidP="00A41BA1">
      <w:pPr>
        <w:pStyle w:val="HChG"/>
      </w:pPr>
      <w:r>
        <w:tab/>
      </w:r>
      <w:r>
        <w:tab/>
      </w:r>
      <w:r w:rsidR="00A41BA1">
        <w:t xml:space="preserve">Discussion of the impact of </w:t>
      </w:r>
      <w:r w:rsidR="00A41BA1" w:rsidRPr="000A2607">
        <w:t xml:space="preserve">increased collision energies on </w:t>
      </w:r>
      <w:r w:rsidR="00A41BA1">
        <w:t>the rules for construction of tank vessels</w:t>
      </w:r>
    </w:p>
    <w:p w14:paraId="25E21DDA" w14:textId="71C2788B" w:rsidR="00CB3C29" w:rsidRDefault="00CB3C29" w:rsidP="00CB3C29">
      <w:pPr>
        <w:pStyle w:val="H1G"/>
      </w:pPr>
      <w:r>
        <w:tab/>
      </w:r>
      <w:r>
        <w:tab/>
        <w:t xml:space="preserve">Transmitted by the Government of </w:t>
      </w:r>
      <w:r w:rsidR="00A41BA1">
        <w:t>Austria</w:t>
      </w:r>
    </w:p>
    <w:p w14:paraId="6E9FF814" w14:textId="77777777" w:rsidR="00CB3C29" w:rsidRDefault="00CB3C29" w:rsidP="00CB3C29"/>
    <w:tbl>
      <w:tblPr>
        <w:tblStyle w:val="Grilledutableau1"/>
        <w:tblW w:w="0" w:type="auto"/>
        <w:jc w:val="center"/>
        <w:tblCellMar>
          <w:left w:w="0" w:type="dxa"/>
          <w:right w:w="0" w:type="dxa"/>
        </w:tblCellMar>
        <w:tblLook w:val="05E0" w:firstRow="1" w:lastRow="1" w:firstColumn="1" w:lastColumn="1" w:noHBand="0" w:noVBand="1"/>
      </w:tblPr>
      <w:tblGrid>
        <w:gridCol w:w="2557"/>
        <w:gridCol w:w="7072"/>
      </w:tblGrid>
      <w:tr w:rsidR="00CB3C29" w:rsidRPr="00AB0E14" w14:paraId="415A9E3C" w14:textId="77777777" w:rsidTr="009F4A45">
        <w:trPr>
          <w:jc w:val="center"/>
        </w:trPr>
        <w:tc>
          <w:tcPr>
            <w:tcW w:w="2557" w:type="dxa"/>
            <w:tcBorders>
              <w:bottom w:val="nil"/>
              <w:right w:val="nil"/>
            </w:tcBorders>
          </w:tcPr>
          <w:p w14:paraId="09FD06D6" w14:textId="77777777" w:rsidR="00CB3C29" w:rsidRPr="00AB0E14" w:rsidRDefault="00CB3C29" w:rsidP="009F4A45">
            <w:pPr>
              <w:tabs>
                <w:tab w:val="left" w:pos="255"/>
              </w:tabs>
              <w:suppressAutoHyphens w:val="0"/>
              <w:spacing w:before="240" w:after="120" w:line="240" w:lineRule="auto"/>
              <w:rPr>
                <w:sz w:val="24"/>
                <w:lang w:eastAsia="zh-CN"/>
              </w:rPr>
            </w:pPr>
            <w:r w:rsidRPr="00AB0E14">
              <w:rPr>
                <w:lang w:eastAsia="zh-CN"/>
              </w:rPr>
              <w:tab/>
            </w:r>
            <w:r w:rsidRPr="00AB0E14">
              <w:rPr>
                <w:i/>
                <w:sz w:val="24"/>
                <w:lang w:eastAsia="zh-CN"/>
              </w:rPr>
              <w:t>Summary</w:t>
            </w:r>
          </w:p>
        </w:tc>
        <w:tc>
          <w:tcPr>
            <w:tcW w:w="7072" w:type="dxa"/>
            <w:tcBorders>
              <w:left w:val="nil"/>
              <w:bottom w:val="nil"/>
            </w:tcBorders>
          </w:tcPr>
          <w:p w14:paraId="4AFC050D" w14:textId="4C97509A" w:rsidR="00CB3C29" w:rsidRPr="00AB0E14" w:rsidRDefault="00CB3C29" w:rsidP="009F4A45">
            <w:pPr>
              <w:tabs>
                <w:tab w:val="left" w:pos="1701"/>
                <w:tab w:val="left" w:pos="2268"/>
              </w:tabs>
              <w:spacing w:after="120"/>
              <w:ind w:right="1134"/>
              <w:jc w:val="both"/>
              <w:rPr>
                <w:lang w:eastAsia="zh-CN"/>
              </w:rPr>
            </w:pPr>
          </w:p>
        </w:tc>
      </w:tr>
      <w:tr w:rsidR="00CB3C29" w:rsidRPr="00AB0E14" w14:paraId="2369A13D" w14:textId="77777777" w:rsidTr="009F4A45">
        <w:trPr>
          <w:jc w:val="center"/>
        </w:trPr>
        <w:tc>
          <w:tcPr>
            <w:tcW w:w="2557" w:type="dxa"/>
            <w:tcBorders>
              <w:top w:val="nil"/>
              <w:bottom w:val="nil"/>
              <w:right w:val="nil"/>
            </w:tcBorders>
            <w:shd w:val="clear" w:color="auto" w:fill="auto"/>
          </w:tcPr>
          <w:p w14:paraId="4C754DD2" w14:textId="77777777" w:rsidR="00CB3C29" w:rsidRPr="00AB0E14" w:rsidRDefault="00CB3C29" w:rsidP="009F4A45">
            <w:pPr>
              <w:tabs>
                <w:tab w:val="left" w:pos="1701"/>
                <w:tab w:val="left" w:pos="2268"/>
              </w:tabs>
              <w:spacing w:after="120"/>
              <w:ind w:left="284"/>
              <w:jc w:val="both"/>
              <w:rPr>
                <w:b/>
                <w:bCs/>
                <w:lang w:eastAsia="zh-CN"/>
              </w:rPr>
            </w:pPr>
            <w:r w:rsidRPr="00AB0E14">
              <w:rPr>
                <w:b/>
                <w:bCs/>
                <w:lang w:eastAsia="zh-CN"/>
              </w:rPr>
              <w:t>Executive summary:</w:t>
            </w:r>
          </w:p>
        </w:tc>
        <w:tc>
          <w:tcPr>
            <w:tcW w:w="7072" w:type="dxa"/>
            <w:tcBorders>
              <w:top w:val="nil"/>
              <w:left w:val="nil"/>
              <w:bottom w:val="nil"/>
            </w:tcBorders>
            <w:shd w:val="clear" w:color="auto" w:fill="auto"/>
          </w:tcPr>
          <w:p w14:paraId="4B374BF4" w14:textId="1C3E6681" w:rsidR="00CB3C29" w:rsidRPr="00AB0E14" w:rsidRDefault="00D531EC" w:rsidP="009F4A45">
            <w:pPr>
              <w:tabs>
                <w:tab w:val="left" w:pos="1701"/>
                <w:tab w:val="left" w:pos="2268"/>
              </w:tabs>
              <w:spacing w:after="120"/>
              <w:ind w:right="1134"/>
              <w:jc w:val="both"/>
              <w:rPr>
                <w:lang w:eastAsia="zh-CN"/>
              </w:rPr>
            </w:pPr>
            <w:r w:rsidRPr="00D531EC">
              <w:rPr>
                <w:lang w:eastAsia="zh-CN"/>
              </w:rPr>
              <w:t>Since TNO's study for the revision of 9.3.4 has shown that collision energies, and thus the risk of damage to a cargo tank, have increased in recent years, the Safety Committee should consider whether this results in a need for a change in the construction regulations.</w:t>
            </w:r>
          </w:p>
        </w:tc>
      </w:tr>
      <w:tr w:rsidR="00CB3C29" w:rsidRPr="00AB0E14" w14:paraId="1D3C2CB3" w14:textId="77777777" w:rsidTr="009F4A45">
        <w:trPr>
          <w:jc w:val="center"/>
        </w:trPr>
        <w:tc>
          <w:tcPr>
            <w:tcW w:w="2557" w:type="dxa"/>
            <w:tcBorders>
              <w:top w:val="nil"/>
              <w:bottom w:val="nil"/>
              <w:right w:val="nil"/>
            </w:tcBorders>
            <w:shd w:val="clear" w:color="auto" w:fill="auto"/>
          </w:tcPr>
          <w:p w14:paraId="265B7395" w14:textId="77777777" w:rsidR="00CB3C29" w:rsidRPr="00AB0E14" w:rsidRDefault="00CB3C29" w:rsidP="009F4A45">
            <w:pPr>
              <w:tabs>
                <w:tab w:val="left" w:pos="1701"/>
                <w:tab w:val="left" w:pos="2268"/>
              </w:tabs>
              <w:spacing w:after="120"/>
              <w:ind w:left="284"/>
              <w:jc w:val="both"/>
              <w:rPr>
                <w:b/>
                <w:bCs/>
                <w:lang w:eastAsia="zh-CN"/>
              </w:rPr>
            </w:pPr>
            <w:r w:rsidRPr="00AB0E14">
              <w:rPr>
                <w:b/>
                <w:bCs/>
                <w:lang w:eastAsia="zh-CN"/>
              </w:rPr>
              <w:t>Action to be taken:</w:t>
            </w:r>
          </w:p>
        </w:tc>
        <w:tc>
          <w:tcPr>
            <w:tcW w:w="7072" w:type="dxa"/>
            <w:tcBorders>
              <w:top w:val="nil"/>
              <w:left w:val="nil"/>
              <w:bottom w:val="nil"/>
            </w:tcBorders>
            <w:shd w:val="clear" w:color="auto" w:fill="auto"/>
          </w:tcPr>
          <w:p w14:paraId="1D6DED7A" w14:textId="1AAF1779" w:rsidR="00CB3C29" w:rsidRPr="00AB0E14" w:rsidRDefault="0090004C" w:rsidP="009F4A45">
            <w:pPr>
              <w:tabs>
                <w:tab w:val="left" w:pos="1701"/>
                <w:tab w:val="left" w:pos="2268"/>
              </w:tabs>
              <w:spacing w:after="120"/>
              <w:ind w:right="1134"/>
              <w:jc w:val="both"/>
              <w:rPr>
                <w:lang w:eastAsia="zh-CN"/>
              </w:rPr>
            </w:pPr>
            <w:r>
              <w:t>Discussion in the Safety Committee</w:t>
            </w:r>
          </w:p>
        </w:tc>
      </w:tr>
      <w:tr w:rsidR="00CB3C29" w:rsidRPr="00AB0E14" w14:paraId="0CABBBF5" w14:textId="77777777" w:rsidTr="009F4A45">
        <w:trPr>
          <w:jc w:val="center"/>
        </w:trPr>
        <w:tc>
          <w:tcPr>
            <w:tcW w:w="2557" w:type="dxa"/>
            <w:tcBorders>
              <w:top w:val="nil"/>
              <w:bottom w:val="nil"/>
              <w:right w:val="nil"/>
            </w:tcBorders>
            <w:shd w:val="clear" w:color="auto" w:fill="auto"/>
          </w:tcPr>
          <w:p w14:paraId="288B9E87" w14:textId="77777777" w:rsidR="00CB3C29" w:rsidRPr="00AB0E14" w:rsidRDefault="00CB3C29" w:rsidP="009F4A45">
            <w:pPr>
              <w:tabs>
                <w:tab w:val="left" w:pos="1701"/>
                <w:tab w:val="left" w:pos="2268"/>
              </w:tabs>
              <w:spacing w:after="120"/>
              <w:ind w:left="284"/>
              <w:jc w:val="both"/>
              <w:rPr>
                <w:b/>
                <w:bCs/>
                <w:lang w:eastAsia="zh-CN"/>
              </w:rPr>
            </w:pPr>
            <w:r w:rsidRPr="00AB0E14">
              <w:rPr>
                <w:b/>
                <w:bCs/>
                <w:lang w:eastAsia="zh-CN"/>
              </w:rPr>
              <w:t>Related documents:</w:t>
            </w:r>
          </w:p>
        </w:tc>
        <w:tc>
          <w:tcPr>
            <w:tcW w:w="7072" w:type="dxa"/>
            <w:tcBorders>
              <w:top w:val="nil"/>
              <w:left w:val="nil"/>
              <w:bottom w:val="nil"/>
            </w:tcBorders>
            <w:shd w:val="clear" w:color="auto" w:fill="auto"/>
          </w:tcPr>
          <w:p w14:paraId="28D4F445" w14:textId="7C43999F" w:rsidR="00CB3C29" w:rsidRPr="00AB0E14" w:rsidRDefault="00EB60B7" w:rsidP="009F4A45">
            <w:pPr>
              <w:tabs>
                <w:tab w:val="left" w:pos="1701"/>
                <w:tab w:val="left" w:pos="2268"/>
              </w:tabs>
              <w:spacing w:after="120"/>
              <w:ind w:right="1134"/>
              <w:jc w:val="both"/>
              <w:rPr>
                <w:lang w:eastAsia="zh-CN"/>
              </w:rPr>
            </w:pPr>
            <w:r>
              <w:t>Presentation of TNO</w:t>
            </w:r>
          </w:p>
        </w:tc>
      </w:tr>
      <w:tr w:rsidR="00CB3C29" w:rsidRPr="00AB0E14" w14:paraId="64D1509C" w14:textId="77777777" w:rsidTr="009F4A45">
        <w:trPr>
          <w:jc w:val="center"/>
        </w:trPr>
        <w:tc>
          <w:tcPr>
            <w:tcW w:w="2557" w:type="dxa"/>
            <w:tcBorders>
              <w:top w:val="nil"/>
              <w:right w:val="nil"/>
            </w:tcBorders>
          </w:tcPr>
          <w:p w14:paraId="33566505" w14:textId="77777777" w:rsidR="00CB3C29" w:rsidRPr="00AB0E14" w:rsidRDefault="00CB3C29" w:rsidP="009F4A45">
            <w:pPr>
              <w:suppressAutoHyphens w:val="0"/>
              <w:spacing w:line="240" w:lineRule="auto"/>
              <w:rPr>
                <w:lang w:eastAsia="zh-CN"/>
              </w:rPr>
            </w:pPr>
          </w:p>
        </w:tc>
        <w:tc>
          <w:tcPr>
            <w:tcW w:w="7072" w:type="dxa"/>
            <w:tcBorders>
              <w:top w:val="nil"/>
              <w:left w:val="nil"/>
            </w:tcBorders>
          </w:tcPr>
          <w:p w14:paraId="146E4171" w14:textId="77777777" w:rsidR="00CB3C29" w:rsidRPr="00AB0E14" w:rsidRDefault="00CB3C29" w:rsidP="009F4A45">
            <w:pPr>
              <w:suppressAutoHyphens w:val="0"/>
              <w:rPr>
                <w:lang w:eastAsia="zh-CN"/>
              </w:rPr>
            </w:pPr>
          </w:p>
        </w:tc>
      </w:tr>
    </w:tbl>
    <w:p w14:paraId="15664D41" w14:textId="747C42B7" w:rsidR="00F206C2" w:rsidRDefault="0053049A" w:rsidP="0053049A">
      <w:pPr>
        <w:pStyle w:val="HChG"/>
      </w:pPr>
      <w:r>
        <w:tab/>
      </w:r>
      <w:r>
        <w:tab/>
      </w:r>
      <w:r w:rsidR="00EB60B7">
        <w:t>Introduction</w:t>
      </w:r>
    </w:p>
    <w:p w14:paraId="0FCEC53C" w14:textId="0641FD6F" w:rsidR="0053049A" w:rsidRDefault="00E64E4C" w:rsidP="0053049A">
      <w:pPr>
        <w:pStyle w:val="SingleTxtG"/>
      </w:pPr>
      <w:r>
        <w:t>1.</w:t>
      </w:r>
      <w:r>
        <w:tab/>
      </w:r>
      <w:r w:rsidR="0053049A">
        <w:t xml:space="preserve">TNO's study for the revision of section 9.3.4 has shown that the size and mass of vessels on inland waterways has increased significantly in recent years. As a result, much higher energies occur in collisions and the likelihood of a cargo tank rupture and product leakage increases. </w:t>
      </w:r>
    </w:p>
    <w:p w14:paraId="0A714A25" w14:textId="2B8C1B2F" w:rsidR="0053049A" w:rsidRDefault="00E64E4C" w:rsidP="0053049A">
      <w:pPr>
        <w:pStyle w:val="SingleTxtG"/>
      </w:pPr>
      <w:r>
        <w:t>2.</w:t>
      </w:r>
      <w:r w:rsidR="0053049A">
        <w:tab/>
        <w:t>This applies not only to ships with cargo tanks with a volume of more than 380 m</w:t>
      </w:r>
      <w:r w:rsidR="00CE11DE" w:rsidRPr="00CE11DE">
        <w:rPr>
          <w:vertAlign w:val="superscript"/>
        </w:rPr>
        <w:t>3</w:t>
      </w:r>
      <w:r w:rsidR="0053049A">
        <w:t xml:space="preserve">, but also to ships with smaller cargo tanks. </w:t>
      </w:r>
    </w:p>
    <w:p w14:paraId="37361B86" w14:textId="28018E69" w:rsidR="0053049A" w:rsidRDefault="00CE11DE" w:rsidP="0053049A">
      <w:pPr>
        <w:pStyle w:val="SingleTxtG"/>
      </w:pPr>
      <w:r>
        <w:t>3.</w:t>
      </w:r>
      <w:r w:rsidR="0053049A">
        <w:tab/>
        <w:t xml:space="preserve">From an Austrian perspective, however, it should be </w:t>
      </w:r>
      <w:proofErr w:type="gramStart"/>
      <w:r w:rsidR="0053049A">
        <w:t>taken into account</w:t>
      </w:r>
      <w:proofErr w:type="gramEnd"/>
      <w:r w:rsidR="0053049A">
        <w:t xml:space="preserve"> that although the probability of a serious accident involving a cargo spill has increased for ships with smaller cargo tanks, the impact of a cargo spill is much lower compared to ships with large cargo tanks.</w:t>
      </w:r>
    </w:p>
    <w:p w14:paraId="31CAB25B" w14:textId="30DB9596" w:rsidR="0053049A" w:rsidRDefault="00CE11DE" w:rsidP="0053049A">
      <w:pPr>
        <w:pStyle w:val="SingleTxtG"/>
      </w:pPr>
      <w:r>
        <w:t>4.</w:t>
      </w:r>
      <w:r w:rsidR="0053049A">
        <w:tab/>
        <w:t xml:space="preserve">It should also be considered that although the probability of accidents with cargo spillage has increased, no accidents with cargo spillage due to collision have been reported </w:t>
      </w:r>
      <w:r w:rsidR="0053049A">
        <w:lastRenderedPageBreak/>
        <w:t>in recent years. This can be interpreted as an indication that the existing rules for construction for tank vessels in Sections 9.3.1 through 9.3.3 provide adequate safety even with the increased collision energies.</w:t>
      </w:r>
    </w:p>
    <w:p w14:paraId="48291C42" w14:textId="5CBD0F2E" w:rsidR="0053049A" w:rsidRDefault="00CE11DE" w:rsidP="0053049A">
      <w:pPr>
        <w:pStyle w:val="SingleTxtG"/>
      </w:pPr>
      <w:r>
        <w:t>5.</w:t>
      </w:r>
      <w:r w:rsidR="0053049A">
        <w:tab/>
        <w:t xml:space="preserve">Extrapolating the evolution of the fleet in recent years, both the maximum mass of the largest vessels and the average mass of the fleet are expected to continue to increase. There are currently no generally applicable maximum permissible masses of inland vessels on the European waterways and there is no possibility to introduce such general restrictions in the ADN. </w:t>
      </w:r>
    </w:p>
    <w:p w14:paraId="6C2DE997" w14:textId="7727E752" w:rsidR="0053049A" w:rsidRDefault="0053049A" w:rsidP="0053049A">
      <w:pPr>
        <w:pStyle w:val="HChG"/>
      </w:pPr>
      <w:r>
        <w:tab/>
      </w:r>
      <w:r w:rsidR="00CE11DE">
        <w:t>I.</w:t>
      </w:r>
      <w:r>
        <w:tab/>
        <w:t>Proposal</w:t>
      </w:r>
    </w:p>
    <w:p w14:paraId="501349A2" w14:textId="3BD2B698" w:rsidR="00C60CF9" w:rsidRDefault="00CE11DE" w:rsidP="00C60CF9">
      <w:pPr>
        <w:pStyle w:val="SingleTxtG"/>
      </w:pPr>
      <w:r>
        <w:t>6.</w:t>
      </w:r>
      <w:r>
        <w:tab/>
      </w:r>
      <w:r w:rsidR="00C60CF9">
        <w:t>The ADN Safety Committee should discuss the question of whether the increased collision energies on the European waterways result in a need to revise the construction requirements for new</w:t>
      </w:r>
      <w:r>
        <w:t xml:space="preserve"> </w:t>
      </w:r>
      <w:r w:rsidR="00C60CF9">
        <w:t>buildings of tank vessels with cargo tanks up to 380 m</w:t>
      </w:r>
      <w:r w:rsidRPr="00CE11DE">
        <w:rPr>
          <w:vertAlign w:val="superscript"/>
        </w:rPr>
        <w:t>3</w:t>
      </w:r>
      <w:r w:rsidR="00C60CF9">
        <w:t xml:space="preserve"> in sections 9.3.1 to 9.3.3.</w:t>
      </w:r>
    </w:p>
    <w:p w14:paraId="0EFC9F66" w14:textId="54EF02A3" w:rsidR="00C60CF9" w:rsidRDefault="00CE11DE" w:rsidP="00C60CF9">
      <w:pPr>
        <w:pStyle w:val="SingleTxtG"/>
      </w:pPr>
      <w:r>
        <w:t>7.</w:t>
      </w:r>
      <w:r>
        <w:tab/>
      </w:r>
      <w:r w:rsidR="00C60CF9">
        <w:t xml:space="preserve">In doing so, the ADN Safety Committee should also </w:t>
      </w:r>
      <w:proofErr w:type="gramStart"/>
      <w:r w:rsidR="00C60CF9">
        <w:t>take into account</w:t>
      </w:r>
      <w:proofErr w:type="gramEnd"/>
      <w:r w:rsidR="00D540EC">
        <w:t>:</w:t>
      </w:r>
    </w:p>
    <w:p w14:paraId="0C7BD3D7" w14:textId="7537342E" w:rsidR="00C60CF9" w:rsidRDefault="00504DDB" w:rsidP="00C60CF9">
      <w:pPr>
        <w:pStyle w:val="SingleTxtG"/>
      </w:pPr>
      <w:r>
        <w:tab/>
        <w:t>(a)</w:t>
      </w:r>
      <w:r>
        <w:tab/>
      </w:r>
      <w:r w:rsidR="00C60CF9">
        <w:t>that for these vessels, because of the smaller cargo tanks, the effects of a tank rupture and the associated cargo leakage are less than for vessels with cargo tanks of 380</w:t>
      </w:r>
      <w:r w:rsidR="00F24F0C">
        <w:t> </w:t>
      </w:r>
      <w:r w:rsidR="00C60CF9">
        <w:t>m</w:t>
      </w:r>
      <w:r w:rsidR="00F24F0C" w:rsidRPr="00F24F0C">
        <w:rPr>
          <w:vertAlign w:val="superscript"/>
        </w:rPr>
        <w:t>3</w:t>
      </w:r>
      <w:r w:rsidR="00C60CF9">
        <w:t xml:space="preserve"> to 1000 m</w:t>
      </w:r>
      <w:r w:rsidR="00F24F0C" w:rsidRPr="00F24F0C">
        <w:rPr>
          <w:vertAlign w:val="superscript"/>
        </w:rPr>
        <w:t>3</w:t>
      </w:r>
      <w:r w:rsidR="00C60CF9">
        <w:t xml:space="preserve"> in accordance with section 9.3.4</w:t>
      </w:r>
      <w:r>
        <w:t>;</w:t>
      </w:r>
      <w:r w:rsidR="00C60CF9">
        <w:t xml:space="preserve"> and</w:t>
      </w:r>
    </w:p>
    <w:p w14:paraId="057A9309" w14:textId="74C314C1" w:rsidR="00C60CF9" w:rsidRPr="00F55027" w:rsidRDefault="00504DDB" w:rsidP="00C60CF9">
      <w:pPr>
        <w:pStyle w:val="SingleTxtG"/>
      </w:pPr>
      <w:r>
        <w:tab/>
        <w:t>(b)</w:t>
      </w:r>
      <w:r>
        <w:tab/>
      </w:r>
      <w:r w:rsidR="00C60CF9">
        <w:t xml:space="preserve">that despite the increase in collision energy, no accidents involving cargo leakage due to collisions have been reported. </w:t>
      </w:r>
    </w:p>
    <w:p w14:paraId="3FB37F69" w14:textId="328462F3" w:rsidR="00EB60B7" w:rsidRDefault="00C60CF9" w:rsidP="00C60CF9">
      <w:pPr>
        <w:pStyle w:val="HChG"/>
      </w:pPr>
      <w:r>
        <w:tab/>
      </w:r>
      <w:r w:rsidR="00504DDB">
        <w:t>II.</w:t>
      </w:r>
      <w:r>
        <w:tab/>
        <w:t>Justification</w:t>
      </w:r>
    </w:p>
    <w:p w14:paraId="06C3AB34" w14:textId="69EA9ED3" w:rsidR="00C43DBE" w:rsidRDefault="00F24F0C" w:rsidP="00C43DBE">
      <w:pPr>
        <w:pStyle w:val="SingleTxtG"/>
      </w:pPr>
      <w:r>
        <w:t>8.</w:t>
      </w:r>
      <w:r>
        <w:tab/>
      </w:r>
      <w:r w:rsidR="00C43DBE">
        <w:t>The TNO study is limited to the provisions for vessels with large cargo tanks in section 9.3.4, but it has shown that vessels with cargo tanks up to 380 m</w:t>
      </w:r>
      <w:r w:rsidRPr="00F24F0C">
        <w:rPr>
          <w:vertAlign w:val="superscript"/>
        </w:rPr>
        <w:t>3</w:t>
      </w:r>
      <w:r w:rsidR="00C43DBE">
        <w:t xml:space="preserve"> in accordance with sections 9.3.1 to 9.3.3 are also likely to experience greatly increased energy in collisions, increasing the likelihood of severe cargo tank damage and product spillage.</w:t>
      </w:r>
    </w:p>
    <w:p w14:paraId="20E8319A" w14:textId="32B56709" w:rsidR="00C43DBE" w:rsidRDefault="00982439" w:rsidP="00C43DBE">
      <w:pPr>
        <w:pStyle w:val="SingleTxtG"/>
      </w:pPr>
      <w:r>
        <w:t>9.</w:t>
      </w:r>
      <w:r w:rsidR="00C43DBE">
        <w:tab/>
        <w:t>The Safety Committee should therefore advise whether the results of the study also have consequences for the construction requirements in sections 9.3.1 to 9.3.3.</w:t>
      </w:r>
    </w:p>
    <w:p w14:paraId="6E64BDEF" w14:textId="29D76101" w:rsidR="00C43DBE" w:rsidRPr="00C43DBE" w:rsidRDefault="00C43DBE" w:rsidP="00C43DBE">
      <w:pPr>
        <w:spacing w:before="240"/>
        <w:jc w:val="center"/>
        <w:rPr>
          <w:u w:val="single"/>
        </w:rPr>
      </w:pPr>
      <w:r>
        <w:rPr>
          <w:u w:val="single"/>
        </w:rPr>
        <w:tab/>
      </w:r>
      <w:r>
        <w:rPr>
          <w:u w:val="single"/>
        </w:rPr>
        <w:tab/>
      </w:r>
      <w:r>
        <w:rPr>
          <w:u w:val="single"/>
        </w:rPr>
        <w:tab/>
      </w:r>
    </w:p>
    <w:sectPr w:rsidR="00C43DBE" w:rsidRPr="00C43DBE" w:rsidSect="00273B55">
      <w:headerReference w:type="even" r:id="rId11"/>
      <w:headerReference w:type="default" r:id="rId12"/>
      <w:footerReference w:type="even"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CD9C3" w14:textId="77777777" w:rsidR="00AF6E13" w:rsidRDefault="00AF6E13"/>
  </w:endnote>
  <w:endnote w:type="continuationSeparator" w:id="0">
    <w:p w14:paraId="748CB0BB" w14:textId="77777777" w:rsidR="00AF6E13" w:rsidRDefault="00AF6E13"/>
  </w:endnote>
  <w:endnote w:type="continuationNotice" w:id="1">
    <w:p w14:paraId="3C163580" w14:textId="77777777" w:rsidR="00AF6E13" w:rsidRDefault="00AF6E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627075"/>
      <w:docPartObj>
        <w:docPartGallery w:val="Page Numbers (Bottom of Page)"/>
        <w:docPartUnique/>
      </w:docPartObj>
    </w:sdtPr>
    <w:sdtEndPr>
      <w:rPr>
        <w:b/>
        <w:bCs/>
        <w:noProof/>
      </w:rPr>
    </w:sdtEndPr>
    <w:sdtContent>
      <w:p w14:paraId="1D47A10B" w14:textId="0E553541" w:rsidR="00554C10" w:rsidRPr="00554C10" w:rsidRDefault="00554C10">
        <w:pPr>
          <w:pStyle w:val="Footer"/>
          <w:rPr>
            <w:b/>
            <w:bCs/>
          </w:rPr>
        </w:pPr>
        <w:r w:rsidRPr="00554C10">
          <w:rPr>
            <w:b/>
            <w:bCs/>
          </w:rPr>
          <w:fldChar w:fldCharType="begin"/>
        </w:r>
        <w:r w:rsidRPr="00554C10">
          <w:rPr>
            <w:b/>
            <w:bCs/>
          </w:rPr>
          <w:instrText xml:space="preserve"> PAGE   \* MERGEFORMAT </w:instrText>
        </w:r>
        <w:r w:rsidRPr="00554C10">
          <w:rPr>
            <w:b/>
            <w:bCs/>
          </w:rPr>
          <w:fldChar w:fldCharType="separate"/>
        </w:r>
        <w:r w:rsidRPr="00554C10">
          <w:rPr>
            <w:b/>
            <w:bCs/>
            <w:noProof/>
          </w:rPr>
          <w:t>2</w:t>
        </w:r>
        <w:r w:rsidRPr="00554C10">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E4E0B" w14:textId="77777777" w:rsidR="00AF6E13" w:rsidRPr="000B175B" w:rsidRDefault="00AF6E13" w:rsidP="000B175B">
      <w:pPr>
        <w:tabs>
          <w:tab w:val="right" w:pos="2155"/>
        </w:tabs>
        <w:spacing w:after="80"/>
        <w:ind w:left="680"/>
        <w:rPr>
          <w:u w:val="single"/>
        </w:rPr>
      </w:pPr>
      <w:r>
        <w:rPr>
          <w:u w:val="single"/>
        </w:rPr>
        <w:tab/>
      </w:r>
    </w:p>
  </w:footnote>
  <w:footnote w:type="continuationSeparator" w:id="0">
    <w:p w14:paraId="4ADFBB9F" w14:textId="77777777" w:rsidR="00AF6E13" w:rsidRPr="00FC68B7" w:rsidRDefault="00AF6E13" w:rsidP="00FC68B7">
      <w:pPr>
        <w:tabs>
          <w:tab w:val="left" w:pos="2155"/>
        </w:tabs>
        <w:spacing w:after="80"/>
        <w:ind w:left="680"/>
        <w:rPr>
          <w:u w:val="single"/>
        </w:rPr>
      </w:pPr>
      <w:r>
        <w:rPr>
          <w:u w:val="single"/>
        </w:rPr>
        <w:tab/>
      </w:r>
    </w:p>
  </w:footnote>
  <w:footnote w:type="continuationNotice" w:id="1">
    <w:p w14:paraId="630BE691" w14:textId="77777777" w:rsidR="00AF6E13" w:rsidRDefault="00AF6E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C239" w14:textId="27CF9B79" w:rsidR="004074E5" w:rsidRPr="00554C10" w:rsidRDefault="00554C10">
    <w:pPr>
      <w:pStyle w:val="Header"/>
      <w:rPr>
        <w:lang w:val="en-US"/>
      </w:rPr>
    </w:pPr>
    <w:r>
      <w:rPr>
        <w:lang w:val="en-US"/>
      </w:rPr>
      <w:t>INF.7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D9B9" w14:textId="77777777" w:rsidR="006C1D68" w:rsidRDefault="006C1D68" w:rsidP="00FA19F3">
    <w:pPr>
      <w:pBdr>
        <w:bottom w:val="single" w:sz="4" w:space="1" w:color="auto"/>
      </w:pBdr>
      <w:jc w:val="right"/>
      <w:rPr>
        <w:b/>
        <w:bCs/>
      </w:rPr>
    </w:pPr>
  </w:p>
  <w:p w14:paraId="6E6760A0" w14:textId="6953C005" w:rsidR="006C1D68" w:rsidRPr="00D75F9D" w:rsidRDefault="006C1D68" w:rsidP="00FA19F3">
    <w:pPr>
      <w:pBdr>
        <w:bottom w:val="single" w:sz="4" w:space="1" w:color="auto"/>
      </w:pBdr>
      <w:jc w:val="right"/>
      <w:rPr>
        <w:b/>
        <w:bCs/>
      </w:rPr>
    </w:pPr>
    <w:r w:rsidRPr="00D75F9D">
      <w:rPr>
        <w:b/>
        <w:bCs/>
      </w:rPr>
      <w:t>INF.5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CB110C0"/>
    <w:multiLevelType w:val="hybridMultilevel"/>
    <w:tmpl w:val="AE101F3C"/>
    <w:lvl w:ilvl="0" w:tplc="877291B8">
      <w:start w:val="8"/>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2" w15:restartNumberingAfterBreak="0">
    <w:nsid w:val="126D034F"/>
    <w:multiLevelType w:val="hybridMultilevel"/>
    <w:tmpl w:val="EB360842"/>
    <w:lvl w:ilvl="0" w:tplc="FCCEEED4">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709576D"/>
    <w:multiLevelType w:val="hybridMultilevel"/>
    <w:tmpl w:val="93465A58"/>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5" w15:restartNumberingAfterBreak="0">
    <w:nsid w:val="4A6E1B18"/>
    <w:multiLevelType w:val="hybridMultilevel"/>
    <w:tmpl w:val="42E4BAAA"/>
    <w:lvl w:ilvl="0" w:tplc="FFFFFFFF">
      <w:start w:val="1"/>
      <w:numFmt w:val="decimal"/>
      <w:pStyle w:val="ParaNo"/>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21636E"/>
    <w:multiLevelType w:val="hybridMultilevel"/>
    <w:tmpl w:val="DBC0D99C"/>
    <w:lvl w:ilvl="0" w:tplc="0809000F">
      <w:start w:val="5"/>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0"/>
  </w:num>
  <w:num w:numId="14">
    <w:abstractNumId w:val="17"/>
  </w:num>
  <w:num w:numId="15">
    <w:abstractNumId w:val="19"/>
  </w:num>
  <w:num w:numId="16">
    <w:abstractNumId w:val="20"/>
  </w:num>
  <w:num w:numId="17">
    <w:abstractNumId w:val="15"/>
  </w:num>
  <w:num w:numId="18">
    <w:abstractNumId w:val="12"/>
  </w:num>
  <w:num w:numId="19">
    <w:abstractNumId w:val="11"/>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0" w:nlCheck="1" w:checkStyle="0"/>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9A0"/>
    <w:rsid w:val="00005769"/>
    <w:rsid w:val="000100C1"/>
    <w:rsid w:val="000108AF"/>
    <w:rsid w:val="000119E8"/>
    <w:rsid w:val="00013244"/>
    <w:rsid w:val="00017D1D"/>
    <w:rsid w:val="00022E06"/>
    <w:rsid w:val="0002711F"/>
    <w:rsid w:val="000271D7"/>
    <w:rsid w:val="000310C3"/>
    <w:rsid w:val="00035EC3"/>
    <w:rsid w:val="0003617F"/>
    <w:rsid w:val="00036264"/>
    <w:rsid w:val="00040805"/>
    <w:rsid w:val="00041EF3"/>
    <w:rsid w:val="00045FBD"/>
    <w:rsid w:val="00046B1F"/>
    <w:rsid w:val="00050F6B"/>
    <w:rsid w:val="000520AC"/>
    <w:rsid w:val="00057307"/>
    <w:rsid w:val="00057E97"/>
    <w:rsid w:val="0006129A"/>
    <w:rsid w:val="00061F25"/>
    <w:rsid w:val="00067568"/>
    <w:rsid w:val="00067F5E"/>
    <w:rsid w:val="00072C8C"/>
    <w:rsid w:val="000733B5"/>
    <w:rsid w:val="00076C28"/>
    <w:rsid w:val="000815FA"/>
    <w:rsid w:val="00081815"/>
    <w:rsid w:val="000900E1"/>
    <w:rsid w:val="00092CAC"/>
    <w:rsid w:val="000931C0"/>
    <w:rsid w:val="000962D0"/>
    <w:rsid w:val="000A1BC9"/>
    <w:rsid w:val="000B0595"/>
    <w:rsid w:val="000B175B"/>
    <w:rsid w:val="000B17E5"/>
    <w:rsid w:val="000B3A0F"/>
    <w:rsid w:val="000B4EF7"/>
    <w:rsid w:val="000B4F65"/>
    <w:rsid w:val="000B6A35"/>
    <w:rsid w:val="000C00AB"/>
    <w:rsid w:val="000C0C5D"/>
    <w:rsid w:val="000C2C03"/>
    <w:rsid w:val="000C2D2E"/>
    <w:rsid w:val="000D076A"/>
    <w:rsid w:val="000E0415"/>
    <w:rsid w:val="000E3383"/>
    <w:rsid w:val="000E69EB"/>
    <w:rsid w:val="000E735E"/>
    <w:rsid w:val="000F36AC"/>
    <w:rsid w:val="000F402E"/>
    <w:rsid w:val="00100C72"/>
    <w:rsid w:val="00100FD9"/>
    <w:rsid w:val="00101374"/>
    <w:rsid w:val="00102704"/>
    <w:rsid w:val="00105FA9"/>
    <w:rsid w:val="0010708C"/>
    <w:rsid w:val="001103AA"/>
    <w:rsid w:val="00112AB6"/>
    <w:rsid w:val="0011583A"/>
    <w:rsid w:val="00116117"/>
    <w:rsid w:val="0011666B"/>
    <w:rsid w:val="00116DD2"/>
    <w:rsid w:val="0012658A"/>
    <w:rsid w:val="00130B85"/>
    <w:rsid w:val="00131195"/>
    <w:rsid w:val="001323D9"/>
    <w:rsid w:val="00133318"/>
    <w:rsid w:val="00135D40"/>
    <w:rsid w:val="001405B1"/>
    <w:rsid w:val="00144E40"/>
    <w:rsid w:val="001468B2"/>
    <w:rsid w:val="00146AFD"/>
    <w:rsid w:val="00147248"/>
    <w:rsid w:val="00154561"/>
    <w:rsid w:val="001607C6"/>
    <w:rsid w:val="00165F3A"/>
    <w:rsid w:val="001709B4"/>
    <w:rsid w:val="0017296C"/>
    <w:rsid w:val="00173242"/>
    <w:rsid w:val="0017595C"/>
    <w:rsid w:val="00175967"/>
    <w:rsid w:val="00175C4B"/>
    <w:rsid w:val="00175D78"/>
    <w:rsid w:val="00176118"/>
    <w:rsid w:val="00176A77"/>
    <w:rsid w:val="001911D3"/>
    <w:rsid w:val="001921F0"/>
    <w:rsid w:val="001927DB"/>
    <w:rsid w:val="00192D87"/>
    <w:rsid w:val="001937A9"/>
    <w:rsid w:val="001940AF"/>
    <w:rsid w:val="00195BDC"/>
    <w:rsid w:val="001962E3"/>
    <w:rsid w:val="001964BE"/>
    <w:rsid w:val="001A1450"/>
    <w:rsid w:val="001A435D"/>
    <w:rsid w:val="001A6FC7"/>
    <w:rsid w:val="001B2705"/>
    <w:rsid w:val="001B4B04"/>
    <w:rsid w:val="001B4CB9"/>
    <w:rsid w:val="001B6029"/>
    <w:rsid w:val="001C343D"/>
    <w:rsid w:val="001C4030"/>
    <w:rsid w:val="001C4A0F"/>
    <w:rsid w:val="001C5489"/>
    <w:rsid w:val="001C5D34"/>
    <w:rsid w:val="001C6663"/>
    <w:rsid w:val="001C7895"/>
    <w:rsid w:val="001D0360"/>
    <w:rsid w:val="001D0C8C"/>
    <w:rsid w:val="001D1419"/>
    <w:rsid w:val="001D26DF"/>
    <w:rsid w:val="001D3A03"/>
    <w:rsid w:val="001D4FDE"/>
    <w:rsid w:val="001D55C7"/>
    <w:rsid w:val="001D7539"/>
    <w:rsid w:val="001E2871"/>
    <w:rsid w:val="001E3377"/>
    <w:rsid w:val="001E3456"/>
    <w:rsid w:val="001E4940"/>
    <w:rsid w:val="001E5D54"/>
    <w:rsid w:val="001E6E7E"/>
    <w:rsid w:val="001E7B67"/>
    <w:rsid w:val="001F5030"/>
    <w:rsid w:val="001F55BB"/>
    <w:rsid w:val="001F5C4A"/>
    <w:rsid w:val="00202DA8"/>
    <w:rsid w:val="002039FE"/>
    <w:rsid w:val="0021195E"/>
    <w:rsid w:val="00211E0B"/>
    <w:rsid w:val="0021364D"/>
    <w:rsid w:val="00213934"/>
    <w:rsid w:val="0022063F"/>
    <w:rsid w:val="002236DD"/>
    <w:rsid w:val="00223C83"/>
    <w:rsid w:val="002247E8"/>
    <w:rsid w:val="002258E3"/>
    <w:rsid w:val="00230D7B"/>
    <w:rsid w:val="00235892"/>
    <w:rsid w:val="00235B68"/>
    <w:rsid w:val="002364A1"/>
    <w:rsid w:val="0024772E"/>
    <w:rsid w:val="00250B35"/>
    <w:rsid w:val="00256B43"/>
    <w:rsid w:val="002600A5"/>
    <w:rsid w:val="0026285E"/>
    <w:rsid w:val="00262BF9"/>
    <w:rsid w:val="0026302A"/>
    <w:rsid w:val="00267F5F"/>
    <w:rsid w:val="00272781"/>
    <w:rsid w:val="002731A1"/>
    <w:rsid w:val="00273B55"/>
    <w:rsid w:val="00274417"/>
    <w:rsid w:val="002845C1"/>
    <w:rsid w:val="002848A3"/>
    <w:rsid w:val="00284E1B"/>
    <w:rsid w:val="00285AA9"/>
    <w:rsid w:val="00286B4D"/>
    <w:rsid w:val="00287C5E"/>
    <w:rsid w:val="002902F9"/>
    <w:rsid w:val="00291A3E"/>
    <w:rsid w:val="00292F33"/>
    <w:rsid w:val="00295AA5"/>
    <w:rsid w:val="002A0074"/>
    <w:rsid w:val="002A09E2"/>
    <w:rsid w:val="002A18E7"/>
    <w:rsid w:val="002A59E7"/>
    <w:rsid w:val="002C174C"/>
    <w:rsid w:val="002C2778"/>
    <w:rsid w:val="002C4C32"/>
    <w:rsid w:val="002C5E26"/>
    <w:rsid w:val="002C6022"/>
    <w:rsid w:val="002C7DC6"/>
    <w:rsid w:val="002D4643"/>
    <w:rsid w:val="002D547D"/>
    <w:rsid w:val="002D6545"/>
    <w:rsid w:val="002E05CE"/>
    <w:rsid w:val="002E3A18"/>
    <w:rsid w:val="002E7924"/>
    <w:rsid w:val="002F0713"/>
    <w:rsid w:val="002F175C"/>
    <w:rsid w:val="002F5F03"/>
    <w:rsid w:val="002F690D"/>
    <w:rsid w:val="003025F9"/>
    <w:rsid w:val="00302E18"/>
    <w:rsid w:val="00303E65"/>
    <w:rsid w:val="00307003"/>
    <w:rsid w:val="003114B0"/>
    <w:rsid w:val="0031245A"/>
    <w:rsid w:val="00312598"/>
    <w:rsid w:val="00314CEE"/>
    <w:rsid w:val="0031622A"/>
    <w:rsid w:val="003203E2"/>
    <w:rsid w:val="00320E44"/>
    <w:rsid w:val="0032198A"/>
    <w:rsid w:val="003229D8"/>
    <w:rsid w:val="00326839"/>
    <w:rsid w:val="003276C4"/>
    <w:rsid w:val="003277AF"/>
    <w:rsid w:val="003279B5"/>
    <w:rsid w:val="00331664"/>
    <w:rsid w:val="0033755A"/>
    <w:rsid w:val="003377FB"/>
    <w:rsid w:val="00344A8C"/>
    <w:rsid w:val="00344EC6"/>
    <w:rsid w:val="003454D4"/>
    <w:rsid w:val="003457B9"/>
    <w:rsid w:val="00347134"/>
    <w:rsid w:val="00347AF5"/>
    <w:rsid w:val="003508B2"/>
    <w:rsid w:val="00352709"/>
    <w:rsid w:val="003619B5"/>
    <w:rsid w:val="003640AE"/>
    <w:rsid w:val="00365763"/>
    <w:rsid w:val="00371178"/>
    <w:rsid w:val="0037304E"/>
    <w:rsid w:val="00376BA3"/>
    <w:rsid w:val="00387D97"/>
    <w:rsid w:val="003922DD"/>
    <w:rsid w:val="00392E47"/>
    <w:rsid w:val="00396EDE"/>
    <w:rsid w:val="003A380A"/>
    <w:rsid w:val="003A3A0E"/>
    <w:rsid w:val="003A4397"/>
    <w:rsid w:val="003A6810"/>
    <w:rsid w:val="003B13B0"/>
    <w:rsid w:val="003B28B7"/>
    <w:rsid w:val="003B5B01"/>
    <w:rsid w:val="003C083F"/>
    <w:rsid w:val="003C2CC4"/>
    <w:rsid w:val="003C5B97"/>
    <w:rsid w:val="003D30BA"/>
    <w:rsid w:val="003D4B23"/>
    <w:rsid w:val="003E1645"/>
    <w:rsid w:val="003E33BF"/>
    <w:rsid w:val="003E6C3C"/>
    <w:rsid w:val="003F07CA"/>
    <w:rsid w:val="003F50EC"/>
    <w:rsid w:val="004007E0"/>
    <w:rsid w:val="0040640F"/>
    <w:rsid w:val="004074E5"/>
    <w:rsid w:val="00410C89"/>
    <w:rsid w:val="00416282"/>
    <w:rsid w:val="00416D9D"/>
    <w:rsid w:val="00417D70"/>
    <w:rsid w:val="00422E03"/>
    <w:rsid w:val="00422EEE"/>
    <w:rsid w:val="004234FA"/>
    <w:rsid w:val="00423572"/>
    <w:rsid w:val="00426B9B"/>
    <w:rsid w:val="004279FC"/>
    <w:rsid w:val="00427D83"/>
    <w:rsid w:val="004315A1"/>
    <w:rsid w:val="004325CB"/>
    <w:rsid w:val="00436B85"/>
    <w:rsid w:val="004401CE"/>
    <w:rsid w:val="00442A83"/>
    <w:rsid w:val="00443582"/>
    <w:rsid w:val="0045495B"/>
    <w:rsid w:val="00454AED"/>
    <w:rsid w:val="00457F91"/>
    <w:rsid w:val="00464A30"/>
    <w:rsid w:val="004663A4"/>
    <w:rsid w:val="0047604D"/>
    <w:rsid w:val="0047699E"/>
    <w:rsid w:val="00477F33"/>
    <w:rsid w:val="0048397A"/>
    <w:rsid w:val="00485CBB"/>
    <w:rsid w:val="004866B7"/>
    <w:rsid w:val="00487049"/>
    <w:rsid w:val="0049214C"/>
    <w:rsid w:val="004929BA"/>
    <w:rsid w:val="00493C8D"/>
    <w:rsid w:val="00493EAD"/>
    <w:rsid w:val="004A11BF"/>
    <w:rsid w:val="004A5248"/>
    <w:rsid w:val="004B1E32"/>
    <w:rsid w:val="004B65CF"/>
    <w:rsid w:val="004C0276"/>
    <w:rsid w:val="004C1432"/>
    <w:rsid w:val="004C2461"/>
    <w:rsid w:val="004C41DC"/>
    <w:rsid w:val="004C6A47"/>
    <w:rsid w:val="004C7462"/>
    <w:rsid w:val="004D6461"/>
    <w:rsid w:val="004E19BD"/>
    <w:rsid w:val="004E77B2"/>
    <w:rsid w:val="004F0A4B"/>
    <w:rsid w:val="004F5332"/>
    <w:rsid w:val="004F6AFB"/>
    <w:rsid w:val="00504B2D"/>
    <w:rsid w:val="00504DDB"/>
    <w:rsid w:val="005077EC"/>
    <w:rsid w:val="00507C72"/>
    <w:rsid w:val="0051088A"/>
    <w:rsid w:val="005109BE"/>
    <w:rsid w:val="00510DA4"/>
    <w:rsid w:val="00511D2F"/>
    <w:rsid w:val="00512E26"/>
    <w:rsid w:val="0051386E"/>
    <w:rsid w:val="0051532C"/>
    <w:rsid w:val="0052136D"/>
    <w:rsid w:val="00524EA1"/>
    <w:rsid w:val="0052775E"/>
    <w:rsid w:val="005301B6"/>
    <w:rsid w:val="0053049A"/>
    <w:rsid w:val="00535739"/>
    <w:rsid w:val="00537F71"/>
    <w:rsid w:val="00541726"/>
    <w:rsid w:val="005420F2"/>
    <w:rsid w:val="00550B06"/>
    <w:rsid w:val="00550EC4"/>
    <w:rsid w:val="0055254C"/>
    <w:rsid w:val="00554B9A"/>
    <w:rsid w:val="00554C10"/>
    <w:rsid w:val="005628B6"/>
    <w:rsid w:val="0056600D"/>
    <w:rsid w:val="005668E6"/>
    <w:rsid w:val="00567EC7"/>
    <w:rsid w:val="00571086"/>
    <w:rsid w:val="0057287F"/>
    <w:rsid w:val="00572B32"/>
    <w:rsid w:val="00582AE7"/>
    <w:rsid w:val="00583619"/>
    <w:rsid w:val="0058371B"/>
    <w:rsid w:val="00590D54"/>
    <w:rsid w:val="005919A2"/>
    <w:rsid w:val="00593CE9"/>
    <w:rsid w:val="005941EC"/>
    <w:rsid w:val="0059724D"/>
    <w:rsid w:val="00597777"/>
    <w:rsid w:val="005A38D0"/>
    <w:rsid w:val="005A44A6"/>
    <w:rsid w:val="005A620C"/>
    <w:rsid w:val="005A6214"/>
    <w:rsid w:val="005A6E3A"/>
    <w:rsid w:val="005B0C4C"/>
    <w:rsid w:val="005B3DB3"/>
    <w:rsid w:val="005B4E13"/>
    <w:rsid w:val="005C342F"/>
    <w:rsid w:val="005C661D"/>
    <w:rsid w:val="005D1732"/>
    <w:rsid w:val="005D356C"/>
    <w:rsid w:val="005D357C"/>
    <w:rsid w:val="005D3A50"/>
    <w:rsid w:val="005D6EB9"/>
    <w:rsid w:val="005D7478"/>
    <w:rsid w:val="005D7857"/>
    <w:rsid w:val="005E25A1"/>
    <w:rsid w:val="005F216E"/>
    <w:rsid w:val="005F5371"/>
    <w:rsid w:val="005F5DA7"/>
    <w:rsid w:val="005F7B75"/>
    <w:rsid w:val="006001EE"/>
    <w:rsid w:val="00605042"/>
    <w:rsid w:val="0060632C"/>
    <w:rsid w:val="00607E9D"/>
    <w:rsid w:val="00610FBC"/>
    <w:rsid w:val="00611044"/>
    <w:rsid w:val="00611FC4"/>
    <w:rsid w:val="0061359B"/>
    <w:rsid w:val="006135CE"/>
    <w:rsid w:val="006176FB"/>
    <w:rsid w:val="00620692"/>
    <w:rsid w:val="0062388D"/>
    <w:rsid w:val="00632401"/>
    <w:rsid w:val="0063306C"/>
    <w:rsid w:val="00633142"/>
    <w:rsid w:val="006349C5"/>
    <w:rsid w:val="0063743A"/>
    <w:rsid w:val="00640B26"/>
    <w:rsid w:val="00642652"/>
    <w:rsid w:val="00643351"/>
    <w:rsid w:val="00652D0A"/>
    <w:rsid w:val="00660B28"/>
    <w:rsid w:val="006612E1"/>
    <w:rsid w:val="0066181B"/>
    <w:rsid w:val="00662BB6"/>
    <w:rsid w:val="006636D3"/>
    <w:rsid w:val="00663742"/>
    <w:rsid w:val="00663AD0"/>
    <w:rsid w:val="0066488C"/>
    <w:rsid w:val="00666F0A"/>
    <w:rsid w:val="006718D0"/>
    <w:rsid w:val="00676606"/>
    <w:rsid w:val="00682AAB"/>
    <w:rsid w:val="00683498"/>
    <w:rsid w:val="00683D34"/>
    <w:rsid w:val="00684C21"/>
    <w:rsid w:val="00687913"/>
    <w:rsid w:val="00692692"/>
    <w:rsid w:val="00697C41"/>
    <w:rsid w:val="006A2530"/>
    <w:rsid w:val="006A69ED"/>
    <w:rsid w:val="006A742A"/>
    <w:rsid w:val="006B0719"/>
    <w:rsid w:val="006B3FFD"/>
    <w:rsid w:val="006B42EA"/>
    <w:rsid w:val="006B48B3"/>
    <w:rsid w:val="006B6921"/>
    <w:rsid w:val="006B74BB"/>
    <w:rsid w:val="006C1D68"/>
    <w:rsid w:val="006C32B2"/>
    <w:rsid w:val="006C3589"/>
    <w:rsid w:val="006C78A2"/>
    <w:rsid w:val="006C7B8E"/>
    <w:rsid w:val="006D0E06"/>
    <w:rsid w:val="006D345C"/>
    <w:rsid w:val="006D37AF"/>
    <w:rsid w:val="006D51D0"/>
    <w:rsid w:val="006D5FB9"/>
    <w:rsid w:val="006D6303"/>
    <w:rsid w:val="006E0FEF"/>
    <w:rsid w:val="006E2068"/>
    <w:rsid w:val="006E564B"/>
    <w:rsid w:val="006E7191"/>
    <w:rsid w:val="006F4D5A"/>
    <w:rsid w:val="00702407"/>
    <w:rsid w:val="007034F9"/>
    <w:rsid w:val="00703577"/>
    <w:rsid w:val="00705894"/>
    <w:rsid w:val="00705B62"/>
    <w:rsid w:val="00706E9A"/>
    <w:rsid w:val="00710679"/>
    <w:rsid w:val="00712AA7"/>
    <w:rsid w:val="007168D4"/>
    <w:rsid w:val="00721027"/>
    <w:rsid w:val="007217C4"/>
    <w:rsid w:val="00724080"/>
    <w:rsid w:val="00725775"/>
    <w:rsid w:val="007258F6"/>
    <w:rsid w:val="00725CEA"/>
    <w:rsid w:val="0072632A"/>
    <w:rsid w:val="00727DE0"/>
    <w:rsid w:val="00732343"/>
    <w:rsid w:val="007327D5"/>
    <w:rsid w:val="007352A8"/>
    <w:rsid w:val="00736F82"/>
    <w:rsid w:val="0073719A"/>
    <w:rsid w:val="00742A4B"/>
    <w:rsid w:val="0074742B"/>
    <w:rsid w:val="0074787D"/>
    <w:rsid w:val="00752078"/>
    <w:rsid w:val="00757680"/>
    <w:rsid w:val="00760F8B"/>
    <w:rsid w:val="00762564"/>
    <w:rsid w:val="007629C8"/>
    <w:rsid w:val="00765608"/>
    <w:rsid w:val="00766488"/>
    <w:rsid w:val="00767C4D"/>
    <w:rsid w:val="0077047D"/>
    <w:rsid w:val="00772381"/>
    <w:rsid w:val="00775EFC"/>
    <w:rsid w:val="00777160"/>
    <w:rsid w:val="0078197F"/>
    <w:rsid w:val="00782A77"/>
    <w:rsid w:val="00785BAC"/>
    <w:rsid w:val="0079263D"/>
    <w:rsid w:val="00792B6C"/>
    <w:rsid w:val="00796796"/>
    <w:rsid w:val="007A1D75"/>
    <w:rsid w:val="007A24E7"/>
    <w:rsid w:val="007A4101"/>
    <w:rsid w:val="007A7144"/>
    <w:rsid w:val="007B514D"/>
    <w:rsid w:val="007B6BA5"/>
    <w:rsid w:val="007C3390"/>
    <w:rsid w:val="007C36C6"/>
    <w:rsid w:val="007C4F4B"/>
    <w:rsid w:val="007C5431"/>
    <w:rsid w:val="007C6052"/>
    <w:rsid w:val="007C73F8"/>
    <w:rsid w:val="007D22F7"/>
    <w:rsid w:val="007D3257"/>
    <w:rsid w:val="007E01E9"/>
    <w:rsid w:val="007E39FA"/>
    <w:rsid w:val="007E3BFF"/>
    <w:rsid w:val="007E63F3"/>
    <w:rsid w:val="007E7463"/>
    <w:rsid w:val="007F277A"/>
    <w:rsid w:val="007F4667"/>
    <w:rsid w:val="007F4B56"/>
    <w:rsid w:val="007F6611"/>
    <w:rsid w:val="00807FFC"/>
    <w:rsid w:val="008118DA"/>
    <w:rsid w:val="00811920"/>
    <w:rsid w:val="008122AF"/>
    <w:rsid w:val="0081358A"/>
    <w:rsid w:val="00815AD0"/>
    <w:rsid w:val="00817A1E"/>
    <w:rsid w:val="008242D7"/>
    <w:rsid w:val="008257B1"/>
    <w:rsid w:val="00831F60"/>
    <w:rsid w:val="00832334"/>
    <w:rsid w:val="00832D9C"/>
    <w:rsid w:val="00843767"/>
    <w:rsid w:val="00844847"/>
    <w:rsid w:val="00844993"/>
    <w:rsid w:val="00844CF8"/>
    <w:rsid w:val="0084592C"/>
    <w:rsid w:val="00850ABB"/>
    <w:rsid w:val="00852014"/>
    <w:rsid w:val="008524ED"/>
    <w:rsid w:val="00854198"/>
    <w:rsid w:val="0085601B"/>
    <w:rsid w:val="0085657D"/>
    <w:rsid w:val="00857508"/>
    <w:rsid w:val="00860602"/>
    <w:rsid w:val="008679D9"/>
    <w:rsid w:val="0087248B"/>
    <w:rsid w:val="00872852"/>
    <w:rsid w:val="0087286F"/>
    <w:rsid w:val="00877812"/>
    <w:rsid w:val="0088008B"/>
    <w:rsid w:val="008878DE"/>
    <w:rsid w:val="00890119"/>
    <w:rsid w:val="00894427"/>
    <w:rsid w:val="008964FB"/>
    <w:rsid w:val="0089757F"/>
    <w:rsid w:val="008979B1"/>
    <w:rsid w:val="008A160B"/>
    <w:rsid w:val="008A3332"/>
    <w:rsid w:val="008A46EA"/>
    <w:rsid w:val="008A49BF"/>
    <w:rsid w:val="008A521D"/>
    <w:rsid w:val="008A6B25"/>
    <w:rsid w:val="008A6C4F"/>
    <w:rsid w:val="008B116C"/>
    <w:rsid w:val="008B2335"/>
    <w:rsid w:val="008B4048"/>
    <w:rsid w:val="008B4DB9"/>
    <w:rsid w:val="008C4324"/>
    <w:rsid w:val="008C44CA"/>
    <w:rsid w:val="008C5303"/>
    <w:rsid w:val="008D4AF2"/>
    <w:rsid w:val="008D5FFC"/>
    <w:rsid w:val="008E0678"/>
    <w:rsid w:val="008E37EF"/>
    <w:rsid w:val="008E5747"/>
    <w:rsid w:val="008F2977"/>
    <w:rsid w:val="008F31D2"/>
    <w:rsid w:val="008F6B41"/>
    <w:rsid w:val="0090004C"/>
    <w:rsid w:val="009011F7"/>
    <w:rsid w:val="009121CF"/>
    <w:rsid w:val="009124A3"/>
    <w:rsid w:val="009223CA"/>
    <w:rsid w:val="00925735"/>
    <w:rsid w:val="009266B2"/>
    <w:rsid w:val="009375C2"/>
    <w:rsid w:val="00940F93"/>
    <w:rsid w:val="00941201"/>
    <w:rsid w:val="00942076"/>
    <w:rsid w:val="00942875"/>
    <w:rsid w:val="00943BE8"/>
    <w:rsid w:val="00951B84"/>
    <w:rsid w:val="00965857"/>
    <w:rsid w:val="00966CFA"/>
    <w:rsid w:val="009716B1"/>
    <w:rsid w:val="00972A6E"/>
    <w:rsid w:val="009760F3"/>
    <w:rsid w:val="00976CFB"/>
    <w:rsid w:val="00981486"/>
    <w:rsid w:val="0098178D"/>
    <w:rsid w:val="0098189B"/>
    <w:rsid w:val="00982439"/>
    <w:rsid w:val="00990821"/>
    <w:rsid w:val="009A0830"/>
    <w:rsid w:val="009A0E8D"/>
    <w:rsid w:val="009A269E"/>
    <w:rsid w:val="009A43A9"/>
    <w:rsid w:val="009B0920"/>
    <w:rsid w:val="009B1484"/>
    <w:rsid w:val="009B26E7"/>
    <w:rsid w:val="009B5632"/>
    <w:rsid w:val="009C0397"/>
    <w:rsid w:val="009C0F0F"/>
    <w:rsid w:val="009C1508"/>
    <w:rsid w:val="009C1705"/>
    <w:rsid w:val="009C615F"/>
    <w:rsid w:val="009D35AA"/>
    <w:rsid w:val="009D4F57"/>
    <w:rsid w:val="009E015B"/>
    <w:rsid w:val="009E224F"/>
    <w:rsid w:val="009E6172"/>
    <w:rsid w:val="009E6DCF"/>
    <w:rsid w:val="009F066D"/>
    <w:rsid w:val="009F4F42"/>
    <w:rsid w:val="009F6181"/>
    <w:rsid w:val="009F6480"/>
    <w:rsid w:val="009F7871"/>
    <w:rsid w:val="00A00697"/>
    <w:rsid w:val="00A00A3F"/>
    <w:rsid w:val="00A01489"/>
    <w:rsid w:val="00A0608C"/>
    <w:rsid w:val="00A07F53"/>
    <w:rsid w:val="00A11D27"/>
    <w:rsid w:val="00A16E1C"/>
    <w:rsid w:val="00A27E37"/>
    <w:rsid w:val="00A3026E"/>
    <w:rsid w:val="00A3134B"/>
    <w:rsid w:val="00A326C3"/>
    <w:rsid w:val="00A338F1"/>
    <w:rsid w:val="00A34E4B"/>
    <w:rsid w:val="00A35BE0"/>
    <w:rsid w:val="00A36D07"/>
    <w:rsid w:val="00A3703C"/>
    <w:rsid w:val="00A37AC9"/>
    <w:rsid w:val="00A41B65"/>
    <w:rsid w:val="00A41BA1"/>
    <w:rsid w:val="00A52B86"/>
    <w:rsid w:val="00A567BB"/>
    <w:rsid w:val="00A63559"/>
    <w:rsid w:val="00A65548"/>
    <w:rsid w:val="00A72F22"/>
    <w:rsid w:val="00A7360F"/>
    <w:rsid w:val="00A73B9F"/>
    <w:rsid w:val="00A748A6"/>
    <w:rsid w:val="00A75E32"/>
    <w:rsid w:val="00A769F4"/>
    <w:rsid w:val="00A77391"/>
    <w:rsid w:val="00A776B4"/>
    <w:rsid w:val="00A77FB8"/>
    <w:rsid w:val="00A82ADC"/>
    <w:rsid w:val="00A869D9"/>
    <w:rsid w:val="00A94114"/>
    <w:rsid w:val="00A94361"/>
    <w:rsid w:val="00A94463"/>
    <w:rsid w:val="00A972F7"/>
    <w:rsid w:val="00AA105B"/>
    <w:rsid w:val="00AA293C"/>
    <w:rsid w:val="00AB1516"/>
    <w:rsid w:val="00AB2DE5"/>
    <w:rsid w:val="00AC03B8"/>
    <w:rsid w:val="00AC3854"/>
    <w:rsid w:val="00AC4838"/>
    <w:rsid w:val="00AC772A"/>
    <w:rsid w:val="00AD1CC0"/>
    <w:rsid w:val="00AD351A"/>
    <w:rsid w:val="00AD78BE"/>
    <w:rsid w:val="00AE5115"/>
    <w:rsid w:val="00AF6E13"/>
    <w:rsid w:val="00B02445"/>
    <w:rsid w:val="00B041E2"/>
    <w:rsid w:val="00B04D4C"/>
    <w:rsid w:val="00B116A8"/>
    <w:rsid w:val="00B135D5"/>
    <w:rsid w:val="00B30179"/>
    <w:rsid w:val="00B337FD"/>
    <w:rsid w:val="00B421C1"/>
    <w:rsid w:val="00B45EA0"/>
    <w:rsid w:val="00B522C8"/>
    <w:rsid w:val="00B55C71"/>
    <w:rsid w:val="00B56E4A"/>
    <w:rsid w:val="00B56E9C"/>
    <w:rsid w:val="00B62F09"/>
    <w:rsid w:val="00B64B1F"/>
    <w:rsid w:val="00B65090"/>
    <w:rsid w:val="00B65508"/>
    <w:rsid w:val="00B6553F"/>
    <w:rsid w:val="00B7428C"/>
    <w:rsid w:val="00B770E0"/>
    <w:rsid w:val="00B77D05"/>
    <w:rsid w:val="00B8064E"/>
    <w:rsid w:val="00B81206"/>
    <w:rsid w:val="00B81E12"/>
    <w:rsid w:val="00B828DE"/>
    <w:rsid w:val="00B83786"/>
    <w:rsid w:val="00B84692"/>
    <w:rsid w:val="00B86C67"/>
    <w:rsid w:val="00B900AD"/>
    <w:rsid w:val="00B9477C"/>
    <w:rsid w:val="00B94957"/>
    <w:rsid w:val="00BA062A"/>
    <w:rsid w:val="00BA6D63"/>
    <w:rsid w:val="00BA7513"/>
    <w:rsid w:val="00BB1624"/>
    <w:rsid w:val="00BB6619"/>
    <w:rsid w:val="00BC04D4"/>
    <w:rsid w:val="00BC15E4"/>
    <w:rsid w:val="00BC2BA2"/>
    <w:rsid w:val="00BC3FA0"/>
    <w:rsid w:val="00BC74E9"/>
    <w:rsid w:val="00BD26E2"/>
    <w:rsid w:val="00BD3218"/>
    <w:rsid w:val="00BD745C"/>
    <w:rsid w:val="00BE379F"/>
    <w:rsid w:val="00BE3DF1"/>
    <w:rsid w:val="00BE3E20"/>
    <w:rsid w:val="00BE4504"/>
    <w:rsid w:val="00BF01F3"/>
    <w:rsid w:val="00BF0266"/>
    <w:rsid w:val="00BF68A8"/>
    <w:rsid w:val="00C01EC4"/>
    <w:rsid w:val="00C03F52"/>
    <w:rsid w:val="00C1016B"/>
    <w:rsid w:val="00C11A03"/>
    <w:rsid w:val="00C13948"/>
    <w:rsid w:val="00C152B9"/>
    <w:rsid w:val="00C15C0A"/>
    <w:rsid w:val="00C22C0C"/>
    <w:rsid w:val="00C238C1"/>
    <w:rsid w:val="00C26946"/>
    <w:rsid w:val="00C43DBE"/>
    <w:rsid w:val="00C4527F"/>
    <w:rsid w:val="00C463DD"/>
    <w:rsid w:val="00C4724C"/>
    <w:rsid w:val="00C53074"/>
    <w:rsid w:val="00C6049D"/>
    <w:rsid w:val="00C60CF9"/>
    <w:rsid w:val="00C629A0"/>
    <w:rsid w:val="00C64629"/>
    <w:rsid w:val="00C661CB"/>
    <w:rsid w:val="00C675E2"/>
    <w:rsid w:val="00C70455"/>
    <w:rsid w:val="00C70AC5"/>
    <w:rsid w:val="00C745C3"/>
    <w:rsid w:val="00C7560C"/>
    <w:rsid w:val="00C76480"/>
    <w:rsid w:val="00C76999"/>
    <w:rsid w:val="00C77217"/>
    <w:rsid w:val="00C80765"/>
    <w:rsid w:val="00C87FFC"/>
    <w:rsid w:val="00C94717"/>
    <w:rsid w:val="00C95511"/>
    <w:rsid w:val="00C95FEC"/>
    <w:rsid w:val="00C96113"/>
    <w:rsid w:val="00C96DF2"/>
    <w:rsid w:val="00CA0681"/>
    <w:rsid w:val="00CA5531"/>
    <w:rsid w:val="00CA64B5"/>
    <w:rsid w:val="00CB3C29"/>
    <w:rsid w:val="00CB3E03"/>
    <w:rsid w:val="00CB7DD8"/>
    <w:rsid w:val="00CC3982"/>
    <w:rsid w:val="00CC534B"/>
    <w:rsid w:val="00CD19D6"/>
    <w:rsid w:val="00CD419B"/>
    <w:rsid w:val="00CD4AA6"/>
    <w:rsid w:val="00CD4BB1"/>
    <w:rsid w:val="00CE11DE"/>
    <w:rsid w:val="00CE2D3D"/>
    <w:rsid w:val="00CE4A8F"/>
    <w:rsid w:val="00CF03B6"/>
    <w:rsid w:val="00CF727F"/>
    <w:rsid w:val="00D00E41"/>
    <w:rsid w:val="00D022F4"/>
    <w:rsid w:val="00D03F3E"/>
    <w:rsid w:val="00D04AC0"/>
    <w:rsid w:val="00D112CD"/>
    <w:rsid w:val="00D11F98"/>
    <w:rsid w:val="00D14CD6"/>
    <w:rsid w:val="00D151B5"/>
    <w:rsid w:val="00D15296"/>
    <w:rsid w:val="00D2031B"/>
    <w:rsid w:val="00D2113B"/>
    <w:rsid w:val="00D248B6"/>
    <w:rsid w:val="00D25CEE"/>
    <w:rsid w:val="00D25FE2"/>
    <w:rsid w:val="00D274FF"/>
    <w:rsid w:val="00D306BD"/>
    <w:rsid w:val="00D36D96"/>
    <w:rsid w:val="00D43252"/>
    <w:rsid w:val="00D43BB6"/>
    <w:rsid w:val="00D45BBD"/>
    <w:rsid w:val="00D47EEA"/>
    <w:rsid w:val="00D51D19"/>
    <w:rsid w:val="00D531EC"/>
    <w:rsid w:val="00D53BD6"/>
    <w:rsid w:val="00D540EC"/>
    <w:rsid w:val="00D55BAE"/>
    <w:rsid w:val="00D62D6B"/>
    <w:rsid w:val="00D64C5D"/>
    <w:rsid w:val="00D67D40"/>
    <w:rsid w:val="00D74FB0"/>
    <w:rsid w:val="00D75766"/>
    <w:rsid w:val="00D75F9D"/>
    <w:rsid w:val="00D773DF"/>
    <w:rsid w:val="00D777F1"/>
    <w:rsid w:val="00D866D2"/>
    <w:rsid w:val="00D87941"/>
    <w:rsid w:val="00D9240A"/>
    <w:rsid w:val="00D9475A"/>
    <w:rsid w:val="00D95303"/>
    <w:rsid w:val="00D95F4C"/>
    <w:rsid w:val="00D978C6"/>
    <w:rsid w:val="00DA3C1C"/>
    <w:rsid w:val="00DB2AD8"/>
    <w:rsid w:val="00DC0D47"/>
    <w:rsid w:val="00DC2454"/>
    <w:rsid w:val="00DC2534"/>
    <w:rsid w:val="00DC2F18"/>
    <w:rsid w:val="00DC3666"/>
    <w:rsid w:val="00DC5317"/>
    <w:rsid w:val="00DD113C"/>
    <w:rsid w:val="00DD2C2C"/>
    <w:rsid w:val="00DD7770"/>
    <w:rsid w:val="00DF7937"/>
    <w:rsid w:val="00E0021B"/>
    <w:rsid w:val="00E01957"/>
    <w:rsid w:val="00E03B60"/>
    <w:rsid w:val="00E03DAA"/>
    <w:rsid w:val="00E0467A"/>
    <w:rsid w:val="00E046DF"/>
    <w:rsid w:val="00E10502"/>
    <w:rsid w:val="00E10663"/>
    <w:rsid w:val="00E10D73"/>
    <w:rsid w:val="00E148C5"/>
    <w:rsid w:val="00E16E3D"/>
    <w:rsid w:val="00E17EEF"/>
    <w:rsid w:val="00E205A8"/>
    <w:rsid w:val="00E20775"/>
    <w:rsid w:val="00E21AC9"/>
    <w:rsid w:val="00E23EEF"/>
    <w:rsid w:val="00E24E17"/>
    <w:rsid w:val="00E27346"/>
    <w:rsid w:val="00E273D0"/>
    <w:rsid w:val="00E323E7"/>
    <w:rsid w:val="00E37570"/>
    <w:rsid w:val="00E4319A"/>
    <w:rsid w:val="00E5328E"/>
    <w:rsid w:val="00E54DEC"/>
    <w:rsid w:val="00E60A43"/>
    <w:rsid w:val="00E64E4C"/>
    <w:rsid w:val="00E659A4"/>
    <w:rsid w:val="00E71BC8"/>
    <w:rsid w:val="00E7260F"/>
    <w:rsid w:val="00E73F5D"/>
    <w:rsid w:val="00E75A16"/>
    <w:rsid w:val="00E75B13"/>
    <w:rsid w:val="00E75F3D"/>
    <w:rsid w:val="00E77BBC"/>
    <w:rsid w:val="00E77CD9"/>
    <w:rsid w:val="00E77E4E"/>
    <w:rsid w:val="00E8624D"/>
    <w:rsid w:val="00E870B1"/>
    <w:rsid w:val="00E96630"/>
    <w:rsid w:val="00EA0DC7"/>
    <w:rsid w:val="00EB2AFD"/>
    <w:rsid w:val="00EB3AFE"/>
    <w:rsid w:val="00EB60B7"/>
    <w:rsid w:val="00EB73FB"/>
    <w:rsid w:val="00EC4CC0"/>
    <w:rsid w:val="00EC6CC6"/>
    <w:rsid w:val="00ED345D"/>
    <w:rsid w:val="00ED38B0"/>
    <w:rsid w:val="00ED3B19"/>
    <w:rsid w:val="00ED6993"/>
    <w:rsid w:val="00ED70F5"/>
    <w:rsid w:val="00ED7A2A"/>
    <w:rsid w:val="00EE2261"/>
    <w:rsid w:val="00EF1D7F"/>
    <w:rsid w:val="00EF62B3"/>
    <w:rsid w:val="00F01FBE"/>
    <w:rsid w:val="00F02B6B"/>
    <w:rsid w:val="00F02BC3"/>
    <w:rsid w:val="00F10A4D"/>
    <w:rsid w:val="00F206C2"/>
    <w:rsid w:val="00F21483"/>
    <w:rsid w:val="00F24F0C"/>
    <w:rsid w:val="00F26DA8"/>
    <w:rsid w:val="00F3040C"/>
    <w:rsid w:val="00F31E5F"/>
    <w:rsid w:val="00F46A4A"/>
    <w:rsid w:val="00F51FBC"/>
    <w:rsid w:val="00F52438"/>
    <w:rsid w:val="00F52D37"/>
    <w:rsid w:val="00F55775"/>
    <w:rsid w:val="00F57820"/>
    <w:rsid w:val="00F6100A"/>
    <w:rsid w:val="00F61D19"/>
    <w:rsid w:val="00F72661"/>
    <w:rsid w:val="00F73BA0"/>
    <w:rsid w:val="00F77013"/>
    <w:rsid w:val="00F81690"/>
    <w:rsid w:val="00F93781"/>
    <w:rsid w:val="00FA04ED"/>
    <w:rsid w:val="00FA0824"/>
    <w:rsid w:val="00FA19F3"/>
    <w:rsid w:val="00FA1BEC"/>
    <w:rsid w:val="00FA2EAF"/>
    <w:rsid w:val="00FA2EC4"/>
    <w:rsid w:val="00FA6BB7"/>
    <w:rsid w:val="00FB1239"/>
    <w:rsid w:val="00FB4A79"/>
    <w:rsid w:val="00FB613B"/>
    <w:rsid w:val="00FC0235"/>
    <w:rsid w:val="00FC2028"/>
    <w:rsid w:val="00FC68B7"/>
    <w:rsid w:val="00FC7FD2"/>
    <w:rsid w:val="00FD08C0"/>
    <w:rsid w:val="00FD1C37"/>
    <w:rsid w:val="00FD1D1E"/>
    <w:rsid w:val="00FD3F98"/>
    <w:rsid w:val="00FD5B3A"/>
    <w:rsid w:val="00FE106A"/>
    <w:rsid w:val="00FE36C5"/>
    <w:rsid w:val="00FE71EE"/>
    <w:rsid w:val="00FF145D"/>
    <w:rsid w:val="00FF61FE"/>
    <w:rsid w:val="00FF78D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9CA93"/>
  <w15:docId w15:val="{938AA7AF-9163-442E-9016-7110C82B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C0276"/>
    <w:pPr>
      <w:keepNext/>
      <w:keepLines/>
      <w:tabs>
        <w:tab w:val="right" w:pos="851"/>
      </w:tabs>
      <w:spacing w:before="360" w:after="240" w:line="300" w:lineRule="exact"/>
      <w:ind w:left="1134" w:right="1134" w:hanging="1134"/>
    </w:pPr>
    <w:rPr>
      <w:b/>
      <w:sz w:val="28"/>
    </w:rPr>
  </w:style>
  <w:style w:type="paragraph" w:customStyle="1" w:styleId="ParaNo">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qFormat/>
    <w:rsid w:val="004C0276"/>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uiPriority w:val="99"/>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qFormat/>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
    <w:rsid w:val="00CB7DD8"/>
    <w:rPr>
      <w:sz w:val="24"/>
      <w:szCs w:val="24"/>
      <w:lang w:val="en-GB" w:eastAsia="en-US" w:bidi="ar-SA"/>
    </w:rPr>
  </w:style>
  <w:style w:type="character" w:customStyle="1" w:styleId="SingleTxtGChar">
    <w:name w:val="_ Single Txt_G Char"/>
    <w:link w:val="SingleTxtG"/>
    <w:rsid w:val="00D55BAE"/>
    <w:rPr>
      <w:lang w:val="en-GB" w:eastAsia="en-US" w:bidi="ar-SA"/>
    </w:rPr>
  </w:style>
  <w:style w:type="character" w:customStyle="1" w:styleId="PlainTextChar">
    <w:name w:val="Plain Text Char"/>
    <w:link w:val="PlainText"/>
    <w:rsid w:val="006E0FEF"/>
    <w:rPr>
      <w:rFonts w:cs="Courier New"/>
      <w:lang w:val="en-GB" w:eastAsia="en-US" w:bidi="ar-SA"/>
    </w:rPr>
  </w:style>
  <w:style w:type="paragraph" w:styleId="BalloonText">
    <w:name w:val="Balloon Text"/>
    <w:basedOn w:val="Normal"/>
    <w:link w:val="BalloonTextChar"/>
    <w:rsid w:val="004A11BF"/>
    <w:pPr>
      <w:spacing w:line="240" w:lineRule="auto"/>
    </w:pPr>
    <w:rPr>
      <w:rFonts w:ascii="Tahoma" w:hAnsi="Tahoma" w:cs="Tahoma"/>
      <w:sz w:val="16"/>
      <w:szCs w:val="16"/>
    </w:rPr>
  </w:style>
  <w:style w:type="character" w:customStyle="1" w:styleId="BalloonTextChar">
    <w:name w:val="Balloon Text Char"/>
    <w:link w:val="BalloonText"/>
    <w:rsid w:val="004A11BF"/>
    <w:rPr>
      <w:rFonts w:ascii="Tahoma" w:hAnsi="Tahoma" w:cs="Tahoma"/>
      <w:sz w:val="16"/>
      <w:szCs w:val="16"/>
      <w:lang w:eastAsia="en-US"/>
    </w:rPr>
  </w:style>
  <w:style w:type="character" w:customStyle="1" w:styleId="FootnoteTextChar">
    <w:name w:val="Footnote Text Char"/>
    <w:aliases w:val="5_G Char"/>
    <w:basedOn w:val="DefaultParagraphFont"/>
    <w:link w:val="FootnoteText"/>
    <w:uiPriority w:val="99"/>
    <w:rsid w:val="00EC6CC6"/>
    <w:rPr>
      <w:sz w:val="18"/>
      <w:lang w:eastAsia="en-US"/>
    </w:rPr>
  </w:style>
  <w:style w:type="character" w:customStyle="1" w:styleId="HTMLPreformattedChar">
    <w:name w:val="HTML Preformatted Char"/>
    <w:basedOn w:val="DefaultParagraphFont"/>
    <w:link w:val="HTMLPreformatted"/>
    <w:uiPriority w:val="99"/>
    <w:semiHidden/>
    <w:rsid w:val="001B2705"/>
    <w:rPr>
      <w:rFonts w:ascii="Courier New" w:hAnsi="Courier New" w:cs="Courier New"/>
      <w:lang w:eastAsia="en-US"/>
    </w:rPr>
  </w:style>
  <w:style w:type="character" w:customStyle="1" w:styleId="HChGChar">
    <w:name w:val="_ H _Ch_G Char"/>
    <w:link w:val="HChG"/>
    <w:rsid w:val="00176A77"/>
    <w:rPr>
      <w:b/>
      <w:sz w:val="28"/>
      <w:lang w:eastAsia="en-US"/>
    </w:rPr>
  </w:style>
  <w:style w:type="paragraph" w:styleId="CommentSubject">
    <w:name w:val="annotation subject"/>
    <w:basedOn w:val="CommentText"/>
    <w:next w:val="CommentText"/>
    <w:link w:val="CommentSubjectChar"/>
    <w:semiHidden/>
    <w:unhideWhenUsed/>
    <w:rsid w:val="004315A1"/>
    <w:pPr>
      <w:spacing w:line="240" w:lineRule="auto"/>
    </w:pPr>
    <w:rPr>
      <w:b/>
      <w:bCs/>
    </w:rPr>
  </w:style>
  <w:style w:type="character" w:customStyle="1" w:styleId="CommentTextChar">
    <w:name w:val="Comment Text Char"/>
    <w:basedOn w:val="DefaultParagraphFont"/>
    <w:link w:val="CommentText"/>
    <w:semiHidden/>
    <w:rsid w:val="004315A1"/>
    <w:rPr>
      <w:lang w:eastAsia="en-US"/>
    </w:rPr>
  </w:style>
  <w:style w:type="character" w:customStyle="1" w:styleId="CommentSubjectChar">
    <w:name w:val="Comment Subject Char"/>
    <w:basedOn w:val="CommentTextChar"/>
    <w:link w:val="CommentSubject"/>
    <w:semiHidden/>
    <w:rsid w:val="004315A1"/>
    <w:rPr>
      <w:b/>
      <w:bCs/>
      <w:lang w:eastAsia="en-US"/>
    </w:rPr>
  </w:style>
  <w:style w:type="table" w:customStyle="1" w:styleId="Grilledutableau1">
    <w:name w:val="Grille du tableau1"/>
    <w:basedOn w:val="TableNormal"/>
    <w:next w:val="TableGrid"/>
    <w:rsid w:val="00CB3C29"/>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3_G Char"/>
    <w:basedOn w:val="DefaultParagraphFont"/>
    <w:link w:val="Footer"/>
    <w:uiPriority w:val="99"/>
    <w:rsid w:val="00BB1624"/>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007">
      <w:bodyDiv w:val="1"/>
      <w:marLeft w:val="0"/>
      <w:marRight w:val="0"/>
      <w:marTop w:val="0"/>
      <w:marBottom w:val="0"/>
      <w:divBdr>
        <w:top w:val="none" w:sz="0" w:space="0" w:color="auto"/>
        <w:left w:val="none" w:sz="0" w:space="0" w:color="auto"/>
        <w:bottom w:val="none" w:sz="0" w:space="0" w:color="auto"/>
        <w:right w:val="none" w:sz="0" w:space="0" w:color="auto"/>
      </w:divBdr>
    </w:div>
    <w:div w:id="305937069">
      <w:bodyDiv w:val="1"/>
      <w:marLeft w:val="0"/>
      <w:marRight w:val="0"/>
      <w:marTop w:val="0"/>
      <w:marBottom w:val="0"/>
      <w:divBdr>
        <w:top w:val="none" w:sz="0" w:space="0" w:color="auto"/>
        <w:left w:val="none" w:sz="0" w:space="0" w:color="auto"/>
        <w:bottom w:val="none" w:sz="0" w:space="0" w:color="auto"/>
        <w:right w:val="none" w:sz="0" w:space="0" w:color="auto"/>
      </w:divBdr>
    </w:div>
    <w:div w:id="503131197">
      <w:bodyDiv w:val="1"/>
      <w:marLeft w:val="0"/>
      <w:marRight w:val="0"/>
      <w:marTop w:val="0"/>
      <w:marBottom w:val="0"/>
      <w:divBdr>
        <w:top w:val="none" w:sz="0" w:space="0" w:color="auto"/>
        <w:left w:val="none" w:sz="0" w:space="0" w:color="auto"/>
        <w:bottom w:val="none" w:sz="0" w:space="0" w:color="auto"/>
        <w:right w:val="none" w:sz="0" w:space="0" w:color="auto"/>
      </w:divBdr>
    </w:div>
    <w:div w:id="564341940">
      <w:bodyDiv w:val="1"/>
      <w:marLeft w:val="0"/>
      <w:marRight w:val="0"/>
      <w:marTop w:val="0"/>
      <w:marBottom w:val="0"/>
      <w:divBdr>
        <w:top w:val="none" w:sz="0" w:space="0" w:color="auto"/>
        <w:left w:val="none" w:sz="0" w:space="0" w:color="auto"/>
        <w:bottom w:val="none" w:sz="0" w:space="0" w:color="auto"/>
        <w:right w:val="none" w:sz="0" w:space="0" w:color="auto"/>
      </w:divBdr>
    </w:div>
    <w:div w:id="641034911">
      <w:bodyDiv w:val="1"/>
      <w:marLeft w:val="0"/>
      <w:marRight w:val="0"/>
      <w:marTop w:val="0"/>
      <w:marBottom w:val="0"/>
      <w:divBdr>
        <w:top w:val="none" w:sz="0" w:space="0" w:color="auto"/>
        <w:left w:val="none" w:sz="0" w:space="0" w:color="auto"/>
        <w:bottom w:val="none" w:sz="0" w:space="0" w:color="auto"/>
        <w:right w:val="none" w:sz="0" w:space="0" w:color="auto"/>
      </w:divBdr>
    </w:div>
    <w:div w:id="1144276864">
      <w:bodyDiv w:val="1"/>
      <w:marLeft w:val="0"/>
      <w:marRight w:val="0"/>
      <w:marTop w:val="0"/>
      <w:marBottom w:val="0"/>
      <w:divBdr>
        <w:top w:val="none" w:sz="0" w:space="0" w:color="auto"/>
        <w:left w:val="none" w:sz="0" w:space="0" w:color="auto"/>
        <w:bottom w:val="none" w:sz="0" w:space="0" w:color="auto"/>
        <w:right w:val="none" w:sz="0" w:space="0" w:color="auto"/>
      </w:divBdr>
    </w:div>
    <w:div w:id="1218201255">
      <w:bodyDiv w:val="1"/>
      <w:marLeft w:val="0"/>
      <w:marRight w:val="0"/>
      <w:marTop w:val="0"/>
      <w:marBottom w:val="0"/>
      <w:divBdr>
        <w:top w:val="none" w:sz="0" w:space="0" w:color="auto"/>
        <w:left w:val="none" w:sz="0" w:space="0" w:color="auto"/>
        <w:bottom w:val="none" w:sz="0" w:space="0" w:color="auto"/>
        <w:right w:val="none" w:sz="0" w:space="0" w:color="auto"/>
      </w:divBdr>
    </w:div>
    <w:div w:id="181340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78936424-A6EF-49EC-A2F0-60C698AD069A}">
  <ds:schemaRefs>
    <ds:schemaRef ds:uri="http://schemas.openxmlformats.org/officeDocument/2006/bibliography"/>
  </ds:schemaRefs>
</ds:datastoreItem>
</file>

<file path=customXml/itemProps2.xml><?xml version="1.0" encoding="utf-8"?>
<ds:datastoreItem xmlns:ds="http://schemas.openxmlformats.org/officeDocument/2006/customXml" ds:itemID="{C69E5DEC-2116-41E0-8C30-80BF5D80D604}">
  <ds:schemaRefs>
    <ds:schemaRef ds:uri="http://schemas.microsoft.com/sharepoint/v3/contenttype/forms"/>
  </ds:schemaRefs>
</ds:datastoreItem>
</file>

<file path=customXml/itemProps3.xml><?xml version="1.0" encoding="utf-8"?>
<ds:datastoreItem xmlns:ds="http://schemas.openxmlformats.org/officeDocument/2006/customXml" ds:itemID="{C2766BF4-5591-47B9-913D-19DFFF2C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16D24A-AC44-42D0-A026-6E0B37A12D21}">
  <ds:schemaRefs>
    <ds:schemaRef ds:uri="http://schemas.microsoft.com/office/2006/metadata/properties"/>
    <ds:schemaRef ds:uri="http://schemas.microsoft.com/office/infopath/2007/PartnerControls"/>
    <ds:schemaRef ds:uri="4b4a1c0d-4a69-4996-a84a-fc699b9f49de"/>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ECE/TRANS/WP.15/AC.2/79/Add.1</vt:lpstr>
    </vt:vector>
  </TitlesOfParts>
  <Company>CSD</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dc:title>
  <dc:subject>2116474</dc:subject>
  <dc:creator>Una Philippa GILTSOFF</dc:creator>
  <cp:keywords/>
  <dc:description/>
  <cp:lastModifiedBy>Editorial</cp:lastModifiedBy>
  <cp:revision>24</cp:revision>
  <cp:lastPrinted>2022-12-01T11:34:00Z</cp:lastPrinted>
  <dcterms:created xsi:type="dcterms:W3CDTF">2022-12-09T17:22:00Z</dcterms:created>
  <dcterms:modified xsi:type="dcterms:W3CDTF">2022-12-12T10:59:00Z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14059000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