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3969"/>
        <w:gridCol w:w="2126"/>
      </w:tblGrid>
      <w:tr w:rsidR="00B56E9C" w14:paraId="74D9CA96" w14:textId="77777777" w:rsidTr="004C1432">
        <w:trPr>
          <w:cantSplit/>
          <w:trHeight w:hRule="exact" w:val="8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B8064E">
            <w:pPr>
              <w:spacing w:after="8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6116B38B"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374EC5C0" w:rsidR="00B56E9C" w:rsidRPr="007C36C6" w:rsidRDefault="00154561" w:rsidP="00EC6CC6">
            <w:pPr>
              <w:jc w:val="right"/>
              <w:rPr>
                <w:b/>
                <w:bCs/>
                <w:sz w:val="40"/>
                <w:szCs w:val="40"/>
              </w:rPr>
            </w:pPr>
            <w:r w:rsidRPr="007C36C6">
              <w:rPr>
                <w:b/>
                <w:bCs/>
                <w:sz w:val="40"/>
                <w:szCs w:val="40"/>
              </w:rPr>
              <w:t>INF.</w:t>
            </w:r>
            <w:r w:rsidR="0087286F"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133318" w14:paraId="74D9CA9D" w14:textId="77777777" w:rsidTr="009124A3">
        <w:trPr>
          <w:cantSplit/>
          <w:trHeight w:hRule="exact" w:val="3980"/>
        </w:trPr>
        <w:tc>
          <w:tcPr>
            <w:tcW w:w="751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4A0609" w14:textId="77777777" w:rsidR="005D3A50" w:rsidRDefault="005D3A50" w:rsidP="005D3A50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65D6600F" w14:textId="77777777" w:rsidR="005D3A50" w:rsidRPr="008F31D2" w:rsidRDefault="005D3A50" w:rsidP="005D3A5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6C3002A7" w14:textId="77777777" w:rsidR="005D3A50" w:rsidRDefault="005D3A50" w:rsidP="005D3A5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8E2AD65" w14:textId="77777777" w:rsidR="005D3A50" w:rsidRPr="008F31D2" w:rsidRDefault="005D3A50" w:rsidP="005D3A50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7B229E61" w14:textId="3AD52AFE" w:rsidR="005D3A50" w:rsidRPr="008D7010" w:rsidRDefault="00057307" w:rsidP="005D3A50">
            <w:pPr>
              <w:spacing w:before="120"/>
              <w:rPr>
                <w:b/>
              </w:rPr>
            </w:pPr>
            <w:r>
              <w:rPr>
                <w:b/>
              </w:rPr>
              <w:t>Fort</w:t>
            </w:r>
            <w:r w:rsidR="0058371B">
              <w:rPr>
                <w:b/>
              </w:rPr>
              <w:t>y-first</w:t>
            </w:r>
            <w:r w:rsidR="005D3A50">
              <w:rPr>
                <w:b/>
              </w:rPr>
              <w:t xml:space="preserve"> </w:t>
            </w:r>
            <w:r w:rsidR="005D3A50" w:rsidRPr="008D7010">
              <w:rPr>
                <w:b/>
              </w:rPr>
              <w:t>session</w:t>
            </w:r>
          </w:p>
          <w:p w14:paraId="3D4DDE79" w14:textId="47911A95" w:rsidR="00712AA7" w:rsidRPr="00402337" w:rsidRDefault="00712AA7" w:rsidP="00712AA7">
            <w:pPr>
              <w:rPr>
                <w:bCs/>
              </w:rPr>
            </w:pPr>
            <w:r w:rsidRPr="00402337">
              <w:rPr>
                <w:bCs/>
              </w:rPr>
              <w:t>Geneva, 2</w:t>
            </w:r>
            <w:r w:rsidR="003E1645">
              <w:rPr>
                <w:bCs/>
              </w:rPr>
              <w:t>3</w:t>
            </w:r>
            <w:r w:rsidRPr="00402337">
              <w:rPr>
                <w:bCs/>
              </w:rPr>
              <w:t>-2</w:t>
            </w:r>
            <w:r w:rsidR="003E1645">
              <w:rPr>
                <w:bCs/>
              </w:rPr>
              <w:t>7</w:t>
            </w:r>
            <w:r w:rsidRPr="00402337">
              <w:rPr>
                <w:bCs/>
              </w:rPr>
              <w:t xml:space="preserve"> </w:t>
            </w:r>
            <w:r w:rsidR="003E1645">
              <w:rPr>
                <w:bCs/>
              </w:rPr>
              <w:t>January</w:t>
            </w:r>
            <w:r w:rsidRPr="00402337">
              <w:rPr>
                <w:bCs/>
              </w:rPr>
              <w:t xml:space="preserve"> 202</w:t>
            </w:r>
            <w:r w:rsidR="003E1645">
              <w:rPr>
                <w:bCs/>
              </w:rPr>
              <w:t>3</w:t>
            </w:r>
          </w:p>
          <w:p w14:paraId="6F5CA311" w14:textId="6A06273F" w:rsidR="00712AA7" w:rsidRPr="007A24E7" w:rsidRDefault="00712AA7" w:rsidP="00712AA7">
            <w:r w:rsidRPr="007A24E7">
              <w:t xml:space="preserve">Item </w:t>
            </w:r>
            <w:r w:rsidR="001964BE" w:rsidRPr="007A24E7">
              <w:t>4</w:t>
            </w:r>
            <w:r w:rsidRPr="007A24E7">
              <w:t xml:space="preserve"> (</w:t>
            </w:r>
            <w:r w:rsidR="001964BE" w:rsidRPr="007A24E7">
              <w:t>c</w:t>
            </w:r>
            <w:r w:rsidRPr="007A24E7">
              <w:t>) of the provisional agenda</w:t>
            </w:r>
          </w:p>
          <w:p w14:paraId="03EE87F1" w14:textId="77777777" w:rsidR="009124A3" w:rsidRPr="009124A3" w:rsidRDefault="009124A3" w:rsidP="006718D0">
            <w:pPr>
              <w:rPr>
                <w:b/>
                <w:bCs/>
              </w:rPr>
            </w:pPr>
            <w:r w:rsidRPr="009124A3">
              <w:rPr>
                <w:b/>
                <w:bCs/>
              </w:rPr>
              <w:t>Implementation of the European Agreement concerning the International Carriage of Dangerous Goods by Inland Waterways (ADN):</w:t>
            </w:r>
          </w:p>
          <w:p w14:paraId="07C0CFFB" w14:textId="14AE4296" w:rsidR="00725CEA" w:rsidRPr="007A24E7" w:rsidRDefault="007A24E7" w:rsidP="006718D0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7A24E7">
              <w:rPr>
                <w:b/>
                <w:bCs/>
              </w:rPr>
              <w:t>nterpretation of the Regulations annexed to ADN</w:t>
            </w:r>
          </w:p>
          <w:p w14:paraId="15003A63" w14:textId="77777777" w:rsidR="00CB3C29" w:rsidRDefault="006718D0" w:rsidP="00CB3C29">
            <w:pPr>
              <w:pStyle w:val="HChG"/>
              <w:tabs>
                <w:tab w:val="right" w:pos="0"/>
              </w:tabs>
            </w:pPr>
            <w:r w:rsidRPr="008A2649">
              <w:rPr>
                <w:bCs/>
              </w:rPr>
              <w:t>other proposals</w:t>
            </w:r>
            <w:r w:rsidR="00CB3C29">
              <w:tab/>
            </w:r>
            <w:r w:rsidR="00CB3C29">
              <w:tab/>
              <w:t>Definition of “Inspection body”</w:t>
            </w:r>
          </w:p>
          <w:p w14:paraId="44CCA2C9" w14:textId="77777777" w:rsidR="00CB3C29" w:rsidRDefault="00CB3C29" w:rsidP="00CB3C29">
            <w:pPr>
              <w:pStyle w:val="H1G"/>
            </w:pPr>
            <w:r>
              <w:tab/>
            </w:r>
            <w:r>
              <w:tab/>
              <w:t xml:space="preserve">Transmitted by the Governments of France, </w:t>
            </w:r>
            <w:proofErr w:type="gramStart"/>
            <w:r>
              <w:t>Germany</w:t>
            </w:r>
            <w:proofErr w:type="gramEnd"/>
            <w:r>
              <w:t xml:space="preserve"> and The Netherlands</w:t>
            </w:r>
          </w:p>
          <w:p w14:paraId="798DC30C" w14:textId="77777777" w:rsidR="00CB3C29" w:rsidRDefault="00CB3C29" w:rsidP="00CB3C29"/>
          <w:tbl>
            <w:tblPr>
              <w:tblStyle w:val="Grilledutableau1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557"/>
              <w:gridCol w:w="7072"/>
            </w:tblGrid>
            <w:tr w:rsidR="00CB3C29" w:rsidRPr="00AB0E14" w14:paraId="661EFEFB" w14:textId="77777777" w:rsidTr="009F4A45">
              <w:trPr>
                <w:jc w:val="center"/>
              </w:trPr>
              <w:tc>
                <w:tcPr>
                  <w:tcW w:w="2557" w:type="dxa"/>
                  <w:tcBorders>
                    <w:bottom w:val="nil"/>
                    <w:right w:val="nil"/>
                  </w:tcBorders>
                </w:tcPr>
                <w:p w14:paraId="4E808EE2" w14:textId="77777777" w:rsidR="00CB3C29" w:rsidRPr="00AB0E14" w:rsidRDefault="00CB3C29" w:rsidP="00B678E9">
                  <w:pPr>
                    <w:framePr w:hSpace="142" w:wrap="around" w:vAnchor="page" w:hAnchor="page" w:x="1135" w:y="568"/>
                    <w:tabs>
                      <w:tab w:val="left" w:pos="255"/>
                    </w:tabs>
                    <w:suppressAutoHyphens w:val="0"/>
                    <w:spacing w:before="240" w:after="120" w:line="240" w:lineRule="auto"/>
                    <w:suppressOverlap/>
                    <w:rPr>
                      <w:sz w:val="24"/>
                      <w:lang w:eastAsia="zh-CN"/>
                    </w:rPr>
                  </w:pPr>
                  <w:r w:rsidRPr="00AB0E14">
                    <w:rPr>
                      <w:lang w:eastAsia="zh-CN"/>
                    </w:rPr>
                    <w:tab/>
                  </w:r>
                  <w:r w:rsidRPr="00AB0E14">
                    <w:rPr>
                      <w:i/>
                      <w:sz w:val="24"/>
                      <w:lang w:eastAsia="zh-CN"/>
                    </w:rPr>
                    <w:t>Summary</w:t>
                  </w:r>
                </w:p>
              </w:tc>
              <w:tc>
                <w:tcPr>
                  <w:tcW w:w="7072" w:type="dxa"/>
                  <w:tcBorders>
                    <w:left w:val="nil"/>
                    <w:bottom w:val="nil"/>
                  </w:tcBorders>
                </w:tcPr>
                <w:p w14:paraId="34F640C1" w14:textId="77777777" w:rsidR="00CB3C29" w:rsidRPr="00AB0E14" w:rsidRDefault="00CB3C29" w:rsidP="00B678E9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right="1134"/>
                    <w:suppressOverlap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The co-sponsors propose amendments to the Annexed Regulations to ADN </w:t>
                  </w:r>
                  <w:proofErr w:type="gramStart"/>
                  <w:r>
                    <w:rPr>
                      <w:lang w:eastAsia="zh-CN"/>
                    </w:rPr>
                    <w:t>in order to</w:t>
                  </w:r>
                  <w:proofErr w:type="gramEnd"/>
                  <w:r>
                    <w:rPr>
                      <w:lang w:eastAsia="zh-CN"/>
                    </w:rPr>
                    <w:t xml:space="preserve"> clarify the definition of “Inspection body”</w:t>
                  </w:r>
                  <w:r w:rsidRPr="00AB0E14">
                    <w:rPr>
                      <w:lang w:eastAsia="zh-CN"/>
                    </w:rPr>
                    <w:t>.</w:t>
                  </w:r>
                </w:p>
              </w:tc>
            </w:tr>
            <w:tr w:rsidR="00CB3C29" w:rsidRPr="00AB0E14" w14:paraId="36D1D682" w14:textId="77777777" w:rsidTr="009F4A45">
              <w:trPr>
                <w:jc w:val="center"/>
              </w:trPr>
              <w:tc>
                <w:tcPr>
                  <w:tcW w:w="255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E28DF57" w14:textId="77777777" w:rsidR="00CB3C29" w:rsidRPr="00AB0E14" w:rsidRDefault="00CB3C29" w:rsidP="00B678E9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left="284"/>
                    <w:suppressOverlap/>
                    <w:jc w:val="both"/>
                    <w:rPr>
                      <w:b/>
                      <w:bCs/>
                      <w:lang w:eastAsia="zh-CN"/>
                    </w:rPr>
                  </w:pPr>
                  <w:r w:rsidRPr="00AB0E14">
                    <w:rPr>
                      <w:b/>
                      <w:bCs/>
                      <w:lang w:eastAsia="zh-CN"/>
                    </w:rPr>
                    <w:t>Executive summary:</w:t>
                  </w:r>
                </w:p>
              </w:tc>
              <w:tc>
                <w:tcPr>
                  <w:tcW w:w="70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10CE5A0" w14:textId="77777777" w:rsidR="00CB3C29" w:rsidRPr="00AB0E14" w:rsidRDefault="00CB3C29" w:rsidP="00B678E9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right="1134"/>
                    <w:suppressOverlap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The comparison between the different linguistic versions of ADN, and between ADN and RID / ADR shows inconstancies regarding the notion of “Inspection body”. This current document tries to define this notion consistently between the linguistic versions and with RID / ADR.</w:t>
                  </w:r>
                </w:p>
              </w:tc>
            </w:tr>
            <w:tr w:rsidR="00CB3C29" w:rsidRPr="00AB0E14" w14:paraId="2AEB0EB6" w14:textId="77777777" w:rsidTr="009F4A45">
              <w:trPr>
                <w:jc w:val="center"/>
              </w:trPr>
              <w:tc>
                <w:tcPr>
                  <w:tcW w:w="255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B1F1996" w14:textId="77777777" w:rsidR="00CB3C29" w:rsidRPr="00AB0E14" w:rsidRDefault="00CB3C29" w:rsidP="00B678E9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left="284"/>
                    <w:suppressOverlap/>
                    <w:jc w:val="both"/>
                    <w:rPr>
                      <w:b/>
                      <w:bCs/>
                      <w:lang w:eastAsia="zh-CN"/>
                    </w:rPr>
                  </w:pPr>
                  <w:r w:rsidRPr="00AB0E14">
                    <w:rPr>
                      <w:b/>
                      <w:bCs/>
                      <w:lang w:eastAsia="zh-CN"/>
                    </w:rPr>
                    <w:t>Action to be taken:</w:t>
                  </w:r>
                </w:p>
              </w:tc>
              <w:tc>
                <w:tcPr>
                  <w:tcW w:w="70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3255998" w14:textId="77777777" w:rsidR="00CB3C29" w:rsidRPr="00AB0E14" w:rsidRDefault="00CB3C29" w:rsidP="00B678E9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right="1134"/>
                    <w:suppressOverlap/>
                    <w:jc w:val="both"/>
                    <w:rPr>
                      <w:lang w:eastAsia="zh-CN"/>
                    </w:rPr>
                  </w:pPr>
                  <w:r w:rsidRPr="00043BAC">
                    <w:rPr>
                      <w:lang w:eastAsia="zh-CN"/>
                    </w:rPr>
                    <w:t>See paragraph 9.</w:t>
                  </w:r>
                </w:p>
              </w:tc>
            </w:tr>
            <w:tr w:rsidR="00CB3C29" w:rsidRPr="00AB0E14" w14:paraId="693C0257" w14:textId="77777777" w:rsidTr="009F4A45">
              <w:trPr>
                <w:jc w:val="center"/>
              </w:trPr>
              <w:tc>
                <w:tcPr>
                  <w:tcW w:w="255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6A02493" w14:textId="77777777" w:rsidR="00CB3C29" w:rsidRPr="00AB0E14" w:rsidRDefault="00CB3C29" w:rsidP="00B678E9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left="284"/>
                    <w:suppressOverlap/>
                    <w:jc w:val="both"/>
                    <w:rPr>
                      <w:b/>
                      <w:bCs/>
                      <w:lang w:eastAsia="zh-CN"/>
                    </w:rPr>
                  </w:pPr>
                  <w:r w:rsidRPr="00AB0E14">
                    <w:rPr>
                      <w:b/>
                      <w:bCs/>
                      <w:lang w:eastAsia="zh-CN"/>
                    </w:rPr>
                    <w:t>Related documents:</w:t>
                  </w:r>
                </w:p>
              </w:tc>
              <w:tc>
                <w:tcPr>
                  <w:tcW w:w="70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8A7E7AF" w14:textId="77777777" w:rsidR="00CB3C29" w:rsidRPr="00636772" w:rsidRDefault="00CB3C29" w:rsidP="00B678E9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right="1134"/>
                    <w:suppressOverlap/>
                    <w:jc w:val="both"/>
                    <w:rPr>
                      <w:lang w:eastAsia="zh-CN"/>
                    </w:rPr>
                  </w:pPr>
                  <w:r w:rsidRPr="00636772">
                    <w:rPr>
                      <w:lang w:eastAsia="zh-CN"/>
                    </w:rPr>
                    <w:t>ECE/TRANS/WP.15/AC.2/2022/25</w:t>
                  </w:r>
                </w:p>
                <w:p w14:paraId="7C6FD49A" w14:textId="77777777" w:rsidR="00CB3C29" w:rsidRPr="00AB0E14" w:rsidRDefault="00CB3C29" w:rsidP="00B678E9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right="1134"/>
                    <w:suppressOverlap/>
                    <w:jc w:val="both"/>
                    <w:rPr>
                      <w:lang w:eastAsia="zh-CN"/>
                    </w:rPr>
                  </w:pPr>
                  <w:r w:rsidRPr="00636772">
                    <w:rPr>
                      <w:bCs/>
                      <w:lang w:eastAsia="zh-CN"/>
                    </w:rPr>
                    <w:t>ECE/TRANS/WP.15/AC.2/82 (paragraph 34)</w:t>
                  </w:r>
                </w:p>
              </w:tc>
            </w:tr>
            <w:tr w:rsidR="00CB3C29" w:rsidRPr="00AB0E14" w14:paraId="46CA3956" w14:textId="77777777" w:rsidTr="009F4A45">
              <w:trPr>
                <w:jc w:val="center"/>
              </w:trPr>
              <w:tc>
                <w:tcPr>
                  <w:tcW w:w="2557" w:type="dxa"/>
                  <w:tcBorders>
                    <w:top w:val="nil"/>
                    <w:right w:val="nil"/>
                  </w:tcBorders>
                </w:tcPr>
                <w:p w14:paraId="3E32C11C" w14:textId="77777777" w:rsidR="00CB3C29" w:rsidRPr="00AB0E14" w:rsidRDefault="00CB3C29" w:rsidP="00B678E9">
                  <w:pPr>
                    <w:framePr w:hSpace="142" w:wrap="around" w:vAnchor="page" w:hAnchor="page" w:x="1135" w:y="568"/>
                    <w:suppressAutoHyphens w:val="0"/>
                    <w:spacing w:line="240" w:lineRule="auto"/>
                    <w:suppressOverlap/>
                    <w:rPr>
                      <w:lang w:eastAsia="zh-CN"/>
                    </w:rPr>
                  </w:pPr>
                </w:p>
              </w:tc>
              <w:tc>
                <w:tcPr>
                  <w:tcW w:w="7072" w:type="dxa"/>
                  <w:tcBorders>
                    <w:top w:val="nil"/>
                    <w:left w:val="nil"/>
                  </w:tcBorders>
                </w:tcPr>
                <w:p w14:paraId="3C273287" w14:textId="77777777" w:rsidR="00CB3C29" w:rsidRPr="00AB0E14" w:rsidRDefault="00CB3C29" w:rsidP="00B678E9">
                  <w:pPr>
                    <w:framePr w:hSpace="142" w:wrap="around" w:vAnchor="page" w:hAnchor="page" w:x="1135" w:y="568"/>
                    <w:suppressAutoHyphens w:val="0"/>
                    <w:suppressOverlap/>
                    <w:rPr>
                      <w:lang w:eastAsia="zh-CN"/>
                    </w:rPr>
                  </w:pPr>
                </w:p>
              </w:tc>
            </w:tr>
          </w:tbl>
          <w:p w14:paraId="57067F58" w14:textId="77777777" w:rsidR="00CB3C29" w:rsidRDefault="00CB3C29" w:rsidP="00CB3C29">
            <w:pPr>
              <w:pStyle w:val="HChG"/>
            </w:pPr>
            <w:r>
              <w:tab/>
            </w:r>
            <w:r>
              <w:tab/>
            </w:r>
            <w:r w:rsidRPr="00176B27">
              <w:t>Introduction</w:t>
            </w:r>
          </w:p>
          <w:p w14:paraId="2F502A69" w14:textId="77777777" w:rsidR="00CB3C29" w:rsidRPr="00636772" w:rsidRDefault="00CB3C29" w:rsidP="00CB3C29">
            <w:pPr>
              <w:pStyle w:val="SingleTxtG"/>
            </w:pPr>
            <w:r>
              <w:t>1.</w:t>
            </w:r>
            <w:r>
              <w:tab/>
              <w:t xml:space="preserve">At the fortieth session of the Safety Committee, France, </w:t>
            </w:r>
            <w:proofErr w:type="gramStart"/>
            <w:r>
              <w:t>Germany</w:t>
            </w:r>
            <w:proofErr w:type="gramEnd"/>
            <w:r>
              <w:t xml:space="preserve"> and The Netherlands </w:t>
            </w:r>
            <w:r w:rsidRPr="00636772">
              <w:t>volunteered to p</w:t>
            </w:r>
            <w:r>
              <w:t>repare a comprehensive proposal related the clarification of the definition of “Inspection body”.</w:t>
            </w:r>
          </w:p>
          <w:p w14:paraId="3177D703" w14:textId="77777777" w:rsidR="00CB3C29" w:rsidRDefault="00CB3C29" w:rsidP="00CB3C29">
            <w:pPr>
              <w:pStyle w:val="SingleTxtG"/>
            </w:pPr>
            <w:r>
              <w:t>2.</w:t>
            </w:r>
            <w:r>
              <w:tab/>
              <w:t>The discussions between these three delegations showed that:</w:t>
            </w:r>
          </w:p>
          <w:p w14:paraId="5D8051E6" w14:textId="77777777" w:rsidR="00CB3C29" w:rsidRDefault="00CB3C29" w:rsidP="00CB3C29">
            <w:pPr>
              <w:pStyle w:val="SingleTxtG"/>
              <w:numPr>
                <w:ilvl w:val="0"/>
                <w:numId w:val="21"/>
              </w:numPr>
            </w:pPr>
            <w:r>
              <w:t>Some additional issued raised; and</w:t>
            </w:r>
          </w:p>
          <w:p w14:paraId="1ED2CD28" w14:textId="77777777" w:rsidR="00CB3C29" w:rsidRDefault="00CB3C29" w:rsidP="00CB3C29">
            <w:pPr>
              <w:pStyle w:val="SingleTxtG"/>
              <w:numPr>
                <w:ilvl w:val="0"/>
                <w:numId w:val="21"/>
              </w:numPr>
            </w:pPr>
            <w:r>
              <w:t>It could be helpful to compare these definitions with those included in RID / ADR</w:t>
            </w:r>
          </w:p>
          <w:p w14:paraId="181540E4" w14:textId="77777777" w:rsidR="00CB3C29" w:rsidRDefault="00CB3C29" w:rsidP="00CB3C29">
            <w:pPr>
              <w:pStyle w:val="SingleTxtG"/>
            </w:pPr>
            <w:r>
              <w:t>3.</w:t>
            </w:r>
            <w:r>
              <w:tab/>
              <w:t>This informal document proposes possible solutions to these different issues.</w:t>
            </w:r>
          </w:p>
          <w:p w14:paraId="74D9CA98" w14:textId="026717A4" w:rsidR="00133318" w:rsidRPr="00B8064E" w:rsidRDefault="00133318" w:rsidP="006718D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E238B7" w14:textId="77777777" w:rsidR="00133318" w:rsidRDefault="00133318" w:rsidP="00B8064E">
            <w:pPr>
              <w:spacing w:line="240" w:lineRule="exact"/>
            </w:pPr>
          </w:p>
          <w:p w14:paraId="7B8FC4E0" w14:textId="77777777" w:rsidR="00133318" w:rsidRDefault="00133318" w:rsidP="00B8064E">
            <w:pPr>
              <w:spacing w:line="240" w:lineRule="exact"/>
            </w:pPr>
          </w:p>
          <w:p w14:paraId="59A6B1EA" w14:textId="77777777" w:rsidR="005D3A50" w:rsidRDefault="005D3A50" w:rsidP="00B8064E">
            <w:pPr>
              <w:spacing w:line="240" w:lineRule="exact"/>
            </w:pPr>
          </w:p>
          <w:p w14:paraId="74D9CA9A" w14:textId="0E160876" w:rsidR="00133318" w:rsidRDefault="0087286F" w:rsidP="00B8064E">
            <w:pPr>
              <w:spacing w:line="240" w:lineRule="exact"/>
            </w:pPr>
            <w:r>
              <w:t>12</w:t>
            </w:r>
            <w:r w:rsidR="00133318">
              <w:t xml:space="preserve"> </w:t>
            </w:r>
            <w:r>
              <w:t>Decemb</w:t>
            </w:r>
            <w:r w:rsidR="009D35AA">
              <w:t>er</w:t>
            </w:r>
            <w:r w:rsidR="00133318">
              <w:t xml:space="preserve"> 2022</w:t>
            </w:r>
          </w:p>
          <w:p w14:paraId="74D9CA9B" w14:textId="77777777" w:rsidR="00133318" w:rsidRDefault="00133318" w:rsidP="00B8064E">
            <w:pPr>
              <w:spacing w:line="240" w:lineRule="exact"/>
            </w:pPr>
          </w:p>
          <w:p w14:paraId="74D9CA9C" w14:textId="705BDA3E" w:rsidR="00133318" w:rsidRDefault="0094574A" w:rsidP="00B8064E">
            <w:pPr>
              <w:spacing w:line="240" w:lineRule="exact"/>
            </w:pPr>
            <w:r>
              <w:t>German</w:t>
            </w:r>
          </w:p>
        </w:tc>
      </w:tr>
    </w:tbl>
    <w:p w14:paraId="1B2B574A" w14:textId="77777777" w:rsidR="00F108D2" w:rsidRPr="00F55027" w:rsidRDefault="00CB3C29" w:rsidP="00F108D2">
      <w:pPr>
        <w:pStyle w:val="HChG"/>
      </w:pPr>
      <w:r>
        <w:tab/>
      </w:r>
      <w:r>
        <w:tab/>
      </w:r>
      <w:proofErr w:type="spellStart"/>
      <w:r w:rsidR="00F108D2">
        <w:t>Diskussion</w:t>
      </w:r>
      <w:proofErr w:type="spellEnd"/>
      <w:r w:rsidR="00F108D2">
        <w:t xml:space="preserve"> der </w:t>
      </w:r>
      <w:proofErr w:type="spellStart"/>
      <w:r w:rsidR="00F108D2">
        <w:t>Auswirkungen</w:t>
      </w:r>
      <w:proofErr w:type="spellEnd"/>
      <w:r w:rsidR="00F108D2">
        <w:t xml:space="preserve"> der </w:t>
      </w:r>
      <w:proofErr w:type="spellStart"/>
      <w:r w:rsidR="00F108D2">
        <w:t>erhöhten</w:t>
      </w:r>
      <w:proofErr w:type="spellEnd"/>
      <w:r w:rsidR="00F108D2">
        <w:t xml:space="preserve"> </w:t>
      </w:r>
      <w:proofErr w:type="spellStart"/>
      <w:r w:rsidR="00F108D2">
        <w:t>Kollisionsenergien</w:t>
      </w:r>
      <w:proofErr w:type="spellEnd"/>
      <w:r w:rsidR="00F108D2">
        <w:t xml:space="preserve"> auf die </w:t>
      </w:r>
      <w:proofErr w:type="spellStart"/>
      <w:r w:rsidR="00F108D2">
        <w:t>Bauvorschriften</w:t>
      </w:r>
      <w:proofErr w:type="spellEnd"/>
      <w:r w:rsidR="00F108D2">
        <w:t xml:space="preserve"> für </w:t>
      </w:r>
      <w:proofErr w:type="spellStart"/>
      <w:r w:rsidR="00F108D2">
        <w:t>Tankschiffe</w:t>
      </w:r>
      <w:proofErr w:type="spellEnd"/>
    </w:p>
    <w:p w14:paraId="5E6EF3E3" w14:textId="77777777" w:rsidR="00996C06" w:rsidRDefault="00CB3C29" w:rsidP="00996C06">
      <w:pPr>
        <w:pStyle w:val="H1G"/>
      </w:pPr>
      <w:r>
        <w:tab/>
      </w:r>
      <w:r>
        <w:tab/>
      </w:r>
      <w:proofErr w:type="spellStart"/>
      <w:r w:rsidR="00996C06" w:rsidRPr="00F55027">
        <w:t>Eingereicht</w:t>
      </w:r>
      <w:proofErr w:type="spellEnd"/>
      <w:r w:rsidR="00996C06" w:rsidRPr="00F55027">
        <w:t xml:space="preserve"> von </w:t>
      </w:r>
      <w:proofErr w:type="spellStart"/>
      <w:r w:rsidR="00996C06">
        <w:t>Österreich</w:t>
      </w:r>
      <w:proofErr w:type="spellEnd"/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C630C5" w14:paraId="7CB1A681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4E0A5026" w14:textId="347339EA" w:rsidR="00C630C5" w:rsidRPr="00C6263E" w:rsidRDefault="000F1E58" w:rsidP="006E5E26">
            <w:pPr>
              <w:spacing w:before="240" w:after="120"/>
              <w:ind w:left="25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Z</w:t>
            </w:r>
            <w:r w:rsidRPr="000F1E58">
              <w:rPr>
                <w:i/>
                <w:sz w:val="24"/>
              </w:rPr>
              <w:t>usammenfassung</w:t>
            </w:r>
            <w:proofErr w:type="spellEnd"/>
          </w:p>
        </w:tc>
      </w:tr>
      <w:tr w:rsidR="00C630C5" w14:paraId="2C2D8CA6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1F0A86A0" w14:textId="77777777" w:rsidR="001A78F9" w:rsidRPr="00150D4E" w:rsidRDefault="001A78F9" w:rsidP="00A84DE8">
            <w:pPr>
              <w:spacing w:after="120" w:line="240" w:lineRule="auto"/>
              <w:ind w:left="3403" w:right="556" w:hanging="3119"/>
              <w:rPr>
                <w:lang w:eastAsia="zh-CN"/>
              </w:rPr>
            </w:pPr>
            <w:proofErr w:type="spellStart"/>
            <w:r w:rsidRPr="00F55027">
              <w:rPr>
                <w:b/>
              </w:rPr>
              <w:t>Analytische</w:t>
            </w:r>
            <w:proofErr w:type="spellEnd"/>
            <w:r w:rsidRPr="00F55027">
              <w:rPr>
                <w:b/>
              </w:rPr>
              <w:t xml:space="preserve"> </w:t>
            </w:r>
            <w:proofErr w:type="spellStart"/>
            <w:r w:rsidRPr="00F55027">
              <w:rPr>
                <w:b/>
              </w:rPr>
              <w:t>Zusammenfassung</w:t>
            </w:r>
            <w:proofErr w:type="spellEnd"/>
            <w:r>
              <w:t>:</w:t>
            </w:r>
            <w:r>
              <w:tab/>
            </w:r>
            <w:r w:rsidRPr="00150D4E">
              <w:rPr>
                <w:lang w:eastAsia="zh-CN"/>
              </w:rPr>
              <w:t xml:space="preserve">Da die </w:t>
            </w:r>
            <w:proofErr w:type="spellStart"/>
            <w:r w:rsidRPr="00150D4E">
              <w:rPr>
                <w:lang w:eastAsia="zh-CN"/>
              </w:rPr>
              <w:t>Studie</w:t>
            </w:r>
            <w:proofErr w:type="spellEnd"/>
            <w:r w:rsidRPr="00150D4E">
              <w:rPr>
                <w:lang w:eastAsia="zh-CN"/>
              </w:rPr>
              <w:t xml:space="preserve"> von TNO für die </w:t>
            </w:r>
            <w:proofErr w:type="spellStart"/>
            <w:r w:rsidRPr="00150D4E">
              <w:rPr>
                <w:lang w:eastAsia="zh-CN"/>
              </w:rPr>
              <w:t>Überarbeitung</w:t>
            </w:r>
            <w:proofErr w:type="spellEnd"/>
            <w:r w:rsidRPr="00150D4E">
              <w:rPr>
                <w:lang w:eastAsia="zh-CN"/>
              </w:rPr>
              <w:t xml:space="preserve"> von 9.3.4 </w:t>
            </w:r>
            <w:proofErr w:type="spellStart"/>
            <w:r w:rsidRPr="00150D4E">
              <w:rPr>
                <w:lang w:eastAsia="zh-CN"/>
              </w:rPr>
              <w:t>aufgezeigt</w:t>
            </w:r>
            <w:proofErr w:type="spellEnd"/>
            <w:r w:rsidRPr="00150D4E">
              <w:rPr>
                <w:lang w:eastAsia="zh-CN"/>
              </w:rPr>
              <w:t xml:space="preserve"> hat, </w:t>
            </w:r>
            <w:proofErr w:type="spellStart"/>
            <w:r w:rsidRPr="00150D4E">
              <w:rPr>
                <w:lang w:eastAsia="zh-CN"/>
              </w:rPr>
              <w:t>dass</w:t>
            </w:r>
            <w:proofErr w:type="spellEnd"/>
            <w:r w:rsidRPr="00150D4E">
              <w:rPr>
                <w:lang w:eastAsia="zh-CN"/>
              </w:rPr>
              <w:t xml:space="preserve"> die </w:t>
            </w:r>
            <w:proofErr w:type="spellStart"/>
            <w:r w:rsidRPr="00150D4E">
              <w:rPr>
                <w:lang w:eastAsia="zh-CN"/>
              </w:rPr>
              <w:t>Kollisionsenergie</w:t>
            </w:r>
            <w:proofErr w:type="spellEnd"/>
            <w:r w:rsidRPr="00150D4E">
              <w:rPr>
                <w:lang w:eastAsia="zh-CN"/>
              </w:rPr>
              <w:t xml:space="preserve"> und </w:t>
            </w:r>
            <w:proofErr w:type="spellStart"/>
            <w:r w:rsidRPr="00150D4E">
              <w:rPr>
                <w:lang w:eastAsia="zh-CN"/>
              </w:rPr>
              <w:t>damit</w:t>
            </w:r>
            <w:proofErr w:type="spellEnd"/>
            <w:r w:rsidRPr="00150D4E">
              <w:rPr>
                <w:lang w:eastAsia="zh-CN"/>
              </w:rPr>
              <w:t xml:space="preserve"> das </w:t>
            </w:r>
            <w:proofErr w:type="spellStart"/>
            <w:r w:rsidRPr="00150D4E">
              <w:rPr>
                <w:lang w:eastAsia="zh-CN"/>
              </w:rPr>
              <w:t>Risiko</w:t>
            </w:r>
            <w:proofErr w:type="spellEnd"/>
            <w:r w:rsidRPr="00150D4E">
              <w:rPr>
                <w:lang w:eastAsia="zh-CN"/>
              </w:rPr>
              <w:t xml:space="preserve"> der </w:t>
            </w:r>
            <w:proofErr w:type="spellStart"/>
            <w:r w:rsidRPr="00150D4E">
              <w:rPr>
                <w:lang w:eastAsia="zh-CN"/>
              </w:rPr>
              <w:t>Beschädigung</w:t>
            </w:r>
            <w:proofErr w:type="spellEnd"/>
            <w:r w:rsidRPr="00150D4E">
              <w:rPr>
                <w:lang w:eastAsia="zh-CN"/>
              </w:rPr>
              <w:t xml:space="preserve"> </w:t>
            </w:r>
            <w:proofErr w:type="spellStart"/>
            <w:r w:rsidRPr="00150D4E">
              <w:rPr>
                <w:lang w:eastAsia="zh-CN"/>
              </w:rPr>
              <w:t>eines</w:t>
            </w:r>
            <w:proofErr w:type="spellEnd"/>
            <w:r w:rsidRPr="00150D4E">
              <w:rPr>
                <w:lang w:eastAsia="zh-CN"/>
              </w:rPr>
              <w:t xml:space="preserve"> </w:t>
            </w:r>
            <w:proofErr w:type="spellStart"/>
            <w:r w:rsidRPr="00150D4E">
              <w:rPr>
                <w:lang w:eastAsia="zh-CN"/>
              </w:rPr>
              <w:t>Ladetanks</w:t>
            </w:r>
            <w:proofErr w:type="spellEnd"/>
            <w:r w:rsidRPr="00150D4E">
              <w:rPr>
                <w:lang w:eastAsia="zh-CN"/>
              </w:rPr>
              <w:t xml:space="preserve"> in den </w:t>
            </w:r>
            <w:proofErr w:type="spellStart"/>
            <w:r w:rsidRPr="00150D4E">
              <w:rPr>
                <w:lang w:eastAsia="zh-CN"/>
              </w:rPr>
              <w:t>letzten</w:t>
            </w:r>
            <w:proofErr w:type="spellEnd"/>
            <w:r w:rsidRPr="00150D4E">
              <w:rPr>
                <w:lang w:eastAsia="zh-CN"/>
              </w:rPr>
              <w:t xml:space="preserve"> Jahren </w:t>
            </w:r>
            <w:proofErr w:type="spellStart"/>
            <w:r w:rsidRPr="00150D4E">
              <w:rPr>
                <w:lang w:eastAsia="zh-CN"/>
              </w:rPr>
              <w:t>gestiegen</w:t>
            </w:r>
            <w:proofErr w:type="spellEnd"/>
            <w:r w:rsidRPr="00150D4E">
              <w:rPr>
                <w:lang w:eastAsia="zh-CN"/>
              </w:rPr>
              <w:t xml:space="preserve"> </w:t>
            </w:r>
            <w:proofErr w:type="spellStart"/>
            <w:r w:rsidRPr="00150D4E">
              <w:rPr>
                <w:lang w:eastAsia="zh-CN"/>
              </w:rPr>
              <w:t>sind</w:t>
            </w:r>
            <w:proofErr w:type="spellEnd"/>
            <w:r w:rsidRPr="00150D4E">
              <w:rPr>
                <w:lang w:eastAsia="zh-CN"/>
              </w:rPr>
              <w:t xml:space="preserve">, </w:t>
            </w:r>
            <w:proofErr w:type="spellStart"/>
            <w:r w:rsidRPr="00150D4E">
              <w:rPr>
                <w:lang w:eastAsia="zh-CN"/>
              </w:rPr>
              <w:t>sollte</w:t>
            </w:r>
            <w:proofErr w:type="spellEnd"/>
            <w:r w:rsidRPr="00150D4E">
              <w:rPr>
                <w:lang w:eastAsia="zh-CN"/>
              </w:rPr>
              <w:t xml:space="preserve"> der </w:t>
            </w:r>
            <w:proofErr w:type="spellStart"/>
            <w:r w:rsidRPr="00150D4E">
              <w:rPr>
                <w:lang w:eastAsia="zh-CN"/>
              </w:rPr>
              <w:t>Sicherheitsausschuss</w:t>
            </w:r>
            <w:proofErr w:type="spellEnd"/>
            <w:r w:rsidRPr="00150D4E">
              <w:rPr>
                <w:lang w:eastAsia="zh-CN"/>
              </w:rPr>
              <w:t xml:space="preserve"> </w:t>
            </w:r>
            <w:proofErr w:type="spellStart"/>
            <w:r w:rsidRPr="00150D4E">
              <w:rPr>
                <w:lang w:eastAsia="zh-CN"/>
              </w:rPr>
              <w:t>überlegen</w:t>
            </w:r>
            <w:proofErr w:type="spellEnd"/>
            <w:r w:rsidRPr="00150D4E">
              <w:rPr>
                <w:lang w:eastAsia="zh-CN"/>
              </w:rPr>
              <w:t xml:space="preserve">, </w:t>
            </w:r>
            <w:proofErr w:type="spellStart"/>
            <w:r w:rsidRPr="00150D4E">
              <w:rPr>
                <w:lang w:eastAsia="zh-CN"/>
              </w:rPr>
              <w:t>ob</w:t>
            </w:r>
            <w:proofErr w:type="spellEnd"/>
            <w:r w:rsidRPr="00150D4E">
              <w:rPr>
                <w:lang w:eastAsia="zh-CN"/>
              </w:rPr>
              <w:t xml:space="preserve"> </w:t>
            </w:r>
            <w:proofErr w:type="spellStart"/>
            <w:r w:rsidRPr="00150D4E">
              <w:rPr>
                <w:lang w:eastAsia="zh-CN"/>
              </w:rPr>
              <w:t>sich</w:t>
            </w:r>
            <w:proofErr w:type="spellEnd"/>
            <w:r w:rsidRPr="00150D4E">
              <w:rPr>
                <w:lang w:eastAsia="zh-CN"/>
              </w:rPr>
              <w:t xml:space="preserve"> </w:t>
            </w:r>
            <w:proofErr w:type="spellStart"/>
            <w:r w:rsidRPr="00150D4E">
              <w:rPr>
                <w:lang w:eastAsia="zh-CN"/>
              </w:rPr>
              <w:t>daraus</w:t>
            </w:r>
            <w:proofErr w:type="spellEnd"/>
            <w:r w:rsidRPr="00150D4E">
              <w:rPr>
                <w:lang w:eastAsia="zh-CN"/>
              </w:rPr>
              <w:t xml:space="preserve"> </w:t>
            </w:r>
            <w:proofErr w:type="spellStart"/>
            <w:r w:rsidRPr="00150D4E">
              <w:rPr>
                <w:lang w:eastAsia="zh-CN"/>
              </w:rPr>
              <w:t>eine</w:t>
            </w:r>
            <w:proofErr w:type="spellEnd"/>
            <w:r w:rsidRPr="00150D4E">
              <w:rPr>
                <w:lang w:eastAsia="zh-CN"/>
              </w:rPr>
              <w:t xml:space="preserve"> </w:t>
            </w:r>
            <w:proofErr w:type="spellStart"/>
            <w:r w:rsidRPr="00150D4E">
              <w:rPr>
                <w:lang w:eastAsia="zh-CN"/>
              </w:rPr>
              <w:t>Notwendigkeit</w:t>
            </w:r>
            <w:proofErr w:type="spellEnd"/>
            <w:r w:rsidRPr="00150D4E">
              <w:rPr>
                <w:lang w:eastAsia="zh-CN"/>
              </w:rPr>
              <w:t xml:space="preserve"> für </w:t>
            </w:r>
            <w:proofErr w:type="spellStart"/>
            <w:r w:rsidRPr="00150D4E">
              <w:rPr>
                <w:lang w:eastAsia="zh-CN"/>
              </w:rPr>
              <w:t>eine</w:t>
            </w:r>
            <w:proofErr w:type="spellEnd"/>
            <w:r w:rsidRPr="00150D4E">
              <w:rPr>
                <w:lang w:eastAsia="zh-CN"/>
              </w:rPr>
              <w:t xml:space="preserve"> </w:t>
            </w:r>
            <w:proofErr w:type="spellStart"/>
            <w:r w:rsidRPr="00150D4E">
              <w:rPr>
                <w:lang w:eastAsia="zh-CN"/>
              </w:rPr>
              <w:t>Änderung</w:t>
            </w:r>
            <w:proofErr w:type="spellEnd"/>
            <w:r w:rsidRPr="00150D4E">
              <w:rPr>
                <w:lang w:eastAsia="zh-CN"/>
              </w:rPr>
              <w:t xml:space="preserve"> der </w:t>
            </w:r>
            <w:proofErr w:type="spellStart"/>
            <w:r w:rsidRPr="00150D4E">
              <w:rPr>
                <w:lang w:eastAsia="zh-CN"/>
              </w:rPr>
              <w:t>Bauvorschriften</w:t>
            </w:r>
            <w:proofErr w:type="spellEnd"/>
            <w:r w:rsidRPr="00150D4E">
              <w:rPr>
                <w:lang w:eastAsia="zh-CN"/>
              </w:rPr>
              <w:t xml:space="preserve"> </w:t>
            </w:r>
            <w:proofErr w:type="spellStart"/>
            <w:r w:rsidRPr="00150D4E">
              <w:rPr>
                <w:lang w:eastAsia="zh-CN"/>
              </w:rPr>
              <w:t>ergibt</w:t>
            </w:r>
            <w:proofErr w:type="spellEnd"/>
            <w:r w:rsidRPr="00150D4E">
              <w:rPr>
                <w:lang w:eastAsia="zh-CN"/>
              </w:rPr>
              <w:t>.</w:t>
            </w:r>
          </w:p>
          <w:p w14:paraId="71DB6E08" w14:textId="77777777" w:rsidR="001A78F9" w:rsidRPr="00F55027" w:rsidRDefault="001A78F9" w:rsidP="002321AF">
            <w:pPr>
              <w:spacing w:line="360" w:lineRule="auto"/>
              <w:ind w:left="3402" w:right="558" w:hanging="3118"/>
            </w:pPr>
            <w:r w:rsidRPr="00F55027">
              <w:rPr>
                <w:b/>
              </w:rPr>
              <w:t xml:space="preserve">Zu </w:t>
            </w:r>
            <w:proofErr w:type="spellStart"/>
            <w:r w:rsidRPr="00F55027">
              <w:rPr>
                <w:b/>
              </w:rPr>
              <w:t>ergreifende</w:t>
            </w:r>
            <w:proofErr w:type="spellEnd"/>
            <w:r w:rsidRPr="00F55027">
              <w:rPr>
                <w:b/>
              </w:rPr>
              <w:t xml:space="preserve"> </w:t>
            </w:r>
            <w:proofErr w:type="spellStart"/>
            <w:r w:rsidRPr="00F55027">
              <w:rPr>
                <w:b/>
              </w:rPr>
              <w:t>Maßnahmen</w:t>
            </w:r>
            <w:proofErr w:type="spellEnd"/>
            <w:r w:rsidRPr="00F55027">
              <w:rPr>
                <w:b/>
              </w:rPr>
              <w:t>:</w:t>
            </w:r>
            <w:r w:rsidRPr="00F55027">
              <w:tab/>
            </w:r>
            <w:proofErr w:type="spellStart"/>
            <w:r>
              <w:t>Besprechung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Sicherheitsausschuss</w:t>
            </w:r>
            <w:proofErr w:type="spellEnd"/>
          </w:p>
          <w:p w14:paraId="464DA7DC" w14:textId="0A1914CE" w:rsidR="00C630C5" w:rsidRDefault="001A78F9" w:rsidP="002321AF">
            <w:pPr>
              <w:spacing w:line="360" w:lineRule="auto"/>
              <w:ind w:left="3402" w:right="558" w:hanging="3118"/>
            </w:pPr>
            <w:proofErr w:type="spellStart"/>
            <w:r w:rsidRPr="00F55027">
              <w:rPr>
                <w:b/>
              </w:rPr>
              <w:t>Verbundene</w:t>
            </w:r>
            <w:proofErr w:type="spellEnd"/>
            <w:r w:rsidRPr="00F55027">
              <w:rPr>
                <w:b/>
              </w:rPr>
              <w:t xml:space="preserve"> </w:t>
            </w:r>
            <w:proofErr w:type="spellStart"/>
            <w:r w:rsidRPr="00F55027">
              <w:rPr>
                <w:b/>
              </w:rPr>
              <w:t>Dokumente</w:t>
            </w:r>
            <w:proofErr w:type="spellEnd"/>
            <w:r w:rsidRPr="00F55027">
              <w:t>:</w:t>
            </w:r>
            <w:r w:rsidRPr="00F55027">
              <w:tab/>
            </w:r>
            <w:proofErr w:type="spellStart"/>
            <w:r>
              <w:t>Präsentation</w:t>
            </w:r>
            <w:proofErr w:type="spellEnd"/>
            <w:r>
              <w:t xml:space="preserve"> von TNO</w:t>
            </w:r>
          </w:p>
        </w:tc>
      </w:tr>
      <w:tr w:rsidR="00C630C5" w14:paraId="517429CD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6A797B18" w14:textId="77777777" w:rsidR="00C630C5" w:rsidRDefault="00C630C5" w:rsidP="006E5E26"/>
        </w:tc>
      </w:tr>
    </w:tbl>
    <w:p w14:paraId="34755593" w14:textId="77777777" w:rsidR="00996C06" w:rsidRPr="00996C06" w:rsidRDefault="00996C06" w:rsidP="00C630C5"/>
    <w:p w14:paraId="15664D41" w14:textId="65449B5E" w:rsidR="00F206C2" w:rsidRDefault="0053049A" w:rsidP="0053049A">
      <w:pPr>
        <w:pStyle w:val="HChG"/>
      </w:pPr>
      <w:r>
        <w:tab/>
      </w:r>
      <w:r>
        <w:tab/>
      </w:r>
      <w:proofErr w:type="spellStart"/>
      <w:r w:rsidR="00C370D4" w:rsidRPr="00F55027">
        <w:t>Einleitung</w:t>
      </w:r>
      <w:proofErr w:type="spellEnd"/>
    </w:p>
    <w:p w14:paraId="4FCDE9AA" w14:textId="5EA0E222" w:rsidR="00F97624" w:rsidRDefault="00F97624" w:rsidP="00F97624">
      <w:pPr>
        <w:pStyle w:val="SingleTxtG"/>
      </w:pPr>
      <w:r>
        <w:t>1.</w:t>
      </w:r>
      <w:r>
        <w:tab/>
      </w:r>
      <w:r>
        <w:t xml:space="preserve">Die </w:t>
      </w:r>
      <w:proofErr w:type="spellStart"/>
      <w:r>
        <w:t>Studie</w:t>
      </w:r>
      <w:proofErr w:type="spellEnd"/>
      <w:r>
        <w:t xml:space="preserve"> von TNO für die </w:t>
      </w:r>
      <w:proofErr w:type="spellStart"/>
      <w:r>
        <w:t>Überarbeitung</w:t>
      </w:r>
      <w:proofErr w:type="spellEnd"/>
      <w:r>
        <w:t xml:space="preserve"> von </w:t>
      </w:r>
      <w:proofErr w:type="spellStart"/>
      <w:r>
        <w:t>Abschnitt</w:t>
      </w:r>
      <w:proofErr w:type="spellEnd"/>
      <w:r>
        <w:t xml:space="preserve"> 9.3.4 hat </w:t>
      </w:r>
      <w:proofErr w:type="spellStart"/>
      <w:r>
        <w:t>aufgezeigt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Größe</w:t>
      </w:r>
      <w:proofErr w:type="spellEnd"/>
      <w:r>
        <w:t xml:space="preserve"> und die Masse der </w:t>
      </w:r>
      <w:proofErr w:type="spellStart"/>
      <w:r>
        <w:t>Schiffe</w:t>
      </w:r>
      <w:proofErr w:type="spellEnd"/>
      <w:r>
        <w:t xml:space="preserve"> auf den </w:t>
      </w:r>
      <w:proofErr w:type="spellStart"/>
      <w:r>
        <w:t>Binnenwasserstraßen</w:t>
      </w:r>
      <w:proofErr w:type="spellEnd"/>
      <w:r>
        <w:t xml:space="preserve"> in den </w:t>
      </w:r>
      <w:proofErr w:type="spellStart"/>
      <w:r>
        <w:t>letzten</w:t>
      </w:r>
      <w:proofErr w:type="spellEnd"/>
      <w:r>
        <w:t xml:space="preserve"> Jahren stark </w:t>
      </w:r>
      <w:proofErr w:type="spellStart"/>
      <w:r>
        <w:t>gestiegen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  <w:proofErr w:type="spellStart"/>
      <w:r>
        <w:t>Dadurch</w:t>
      </w:r>
      <w:proofErr w:type="spellEnd"/>
      <w:r>
        <w:t xml:space="preserve"> </w:t>
      </w:r>
      <w:proofErr w:type="spellStart"/>
      <w:r>
        <w:t>treten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Kollisionen</w:t>
      </w:r>
      <w:proofErr w:type="spellEnd"/>
      <w:r>
        <w:t xml:space="preserve"> </w:t>
      </w:r>
      <w:proofErr w:type="spellStart"/>
      <w:r>
        <w:t>wesentlich</w:t>
      </w:r>
      <w:proofErr w:type="spellEnd"/>
      <w:r>
        <w:t xml:space="preserve"> </w:t>
      </w:r>
      <w:proofErr w:type="spellStart"/>
      <w:r>
        <w:t>höhere</w:t>
      </w:r>
      <w:proofErr w:type="spellEnd"/>
      <w:r>
        <w:t xml:space="preserve"> </w:t>
      </w:r>
      <w:proofErr w:type="spellStart"/>
      <w:r>
        <w:t>Energien</w:t>
      </w:r>
      <w:proofErr w:type="spellEnd"/>
      <w:r>
        <w:t xml:space="preserve"> auf und die </w:t>
      </w:r>
      <w:proofErr w:type="spellStart"/>
      <w:r>
        <w:t>Wahrscheinlichkeit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Risses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Ladetank</w:t>
      </w:r>
      <w:proofErr w:type="spellEnd"/>
      <w:r>
        <w:t xml:space="preserve"> und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Produktaustritts</w:t>
      </w:r>
      <w:proofErr w:type="spellEnd"/>
      <w:r>
        <w:t xml:space="preserve"> </w:t>
      </w:r>
      <w:proofErr w:type="spellStart"/>
      <w:r>
        <w:t>steigt</w:t>
      </w:r>
      <w:proofErr w:type="spellEnd"/>
      <w:r>
        <w:t xml:space="preserve">. </w:t>
      </w:r>
    </w:p>
    <w:p w14:paraId="2989FC7F" w14:textId="4D7990E9" w:rsidR="00F97624" w:rsidRDefault="00F97624" w:rsidP="00F97624">
      <w:pPr>
        <w:pStyle w:val="SingleTxtG"/>
      </w:pPr>
      <w:r>
        <w:t>2.</w:t>
      </w:r>
      <w:r>
        <w:tab/>
        <w:t xml:space="preserve">Dies gilt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für </w:t>
      </w:r>
      <w:proofErr w:type="spellStart"/>
      <w:r>
        <w:t>Schiffe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Ladetanks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von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380 m³,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für </w:t>
      </w:r>
      <w:proofErr w:type="spellStart"/>
      <w:r>
        <w:t>Schiffe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kleineren</w:t>
      </w:r>
      <w:proofErr w:type="spellEnd"/>
      <w:r>
        <w:t xml:space="preserve"> </w:t>
      </w:r>
      <w:proofErr w:type="spellStart"/>
      <w:r>
        <w:t>Ladetanks</w:t>
      </w:r>
      <w:proofErr w:type="spellEnd"/>
      <w:r>
        <w:t xml:space="preserve">. </w:t>
      </w:r>
    </w:p>
    <w:p w14:paraId="2DA85088" w14:textId="15CC90CD" w:rsidR="00F97624" w:rsidRDefault="00F97624" w:rsidP="00F97624">
      <w:pPr>
        <w:pStyle w:val="SingleTxtG"/>
      </w:pPr>
      <w:r>
        <w:t>3.</w:t>
      </w:r>
      <w:r>
        <w:tab/>
      </w:r>
      <w:proofErr w:type="spellStart"/>
      <w:r>
        <w:t>Aus</w:t>
      </w:r>
      <w:proofErr w:type="spellEnd"/>
      <w:r>
        <w:t xml:space="preserve"> </w:t>
      </w:r>
      <w:proofErr w:type="spellStart"/>
      <w:r>
        <w:t>österreichischer</w:t>
      </w:r>
      <w:proofErr w:type="spellEnd"/>
      <w:r>
        <w:t xml:space="preserve"> Sicht </w:t>
      </w:r>
      <w:proofErr w:type="spellStart"/>
      <w:r>
        <w:t>ist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berücksichtigen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Schiffen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kleineren</w:t>
      </w:r>
      <w:proofErr w:type="spellEnd"/>
      <w:r>
        <w:t xml:space="preserve"> </w:t>
      </w:r>
      <w:proofErr w:type="spellStart"/>
      <w:r>
        <w:t>Ladetanks</w:t>
      </w:r>
      <w:proofErr w:type="spellEnd"/>
      <w:r>
        <w:t xml:space="preserve"> </w:t>
      </w:r>
      <w:proofErr w:type="spellStart"/>
      <w:r>
        <w:t>zwar</w:t>
      </w:r>
      <w:proofErr w:type="spellEnd"/>
      <w:r>
        <w:t xml:space="preserve"> die </w:t>
      </w:r>
      <w:proofErr w:type="spellStart"/>
      <w:r>
        <w:t>Wahrscheinlichkeit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schweren</w:t>
      </w:r>
      <w:proofErr w:type="spellEnd"/>
      <w:r>
        <w:t xml:space="preserve"> </w:t>
      </w:r>
      <w:proofErr w:type="spellStart"/>
      <w:r>
        <w:t>Unfalls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Ladungsaustritt</w:t>
      </w:r>
      <w:proofErr w:type="spellEnd"/>
      <w:r>
        <w:t xml:space="preserve"> </w:t>
      </w:r>
      <w:proofErr w:type="spellStart"/>
      <w:r>
        <w:t>gestiegen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die </w:t>
      </w:r>
      <w:proofErr w:type="spellStart"/>
      <w:r>
        <w:t>Auswirkungen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Ladungsaustritts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Vergleich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Schiffen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Ladetanks</w:t>
      </w:r>
      <w:proofErr w:type="spellEnd"/>
      <w:r>
        <w:t xml:space="preserve"> </w:t>
      </w:r>
      <w:proofErr w:type="spellStart"/>
      <w:r>
        <w:t>wesentlich</w:t>
      </w:r>
      <w:proofErr w:type="spellEnd"/>
      <w:r>
        <w:t xml:space="preserve"> </w:t>
      </w:r>
      <w:proofErr w:type="spellStart"/>
      <w:r>
        <w:t>geringer</w:t>
      </w:r>
      <w:proofErr w:type="spellEnd"/>
      <w:r>
        <w:t xml:space="preserve"> </w:t>
      </w:r>
      <w:proofErr w:type="spellStart"/>
      <w:r>
        <w:t>sind</w:t>
      </w:r>
      <w:proofErr w:type="spellEnd"/>
      <w:r>
        <w:t>.</w:t>
      </w:r>
    </w:p>
    <w:p w14:paraId="2D263452" w14:textId="7FFCC87D" w:rsidR="00F97624" w:rsidRDefault="00F97624" w:rsidP="00F97624">
      <w:pPr>
        <w:pStyle w:val="SingleTxtG"/>
      </w:pPr>
      <w:r>
        <w:t>4.</w:t>
      </w:r>
      <w:r>
        <w:tab/>
        <w:t xml:space="preserve">Es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berücksichtigt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zwar</w:t>
      </w:r>
      <w:proofErr w:type="spellEnd"/>
      <w:r>
        <w:t xml:space="preserve"> die </w:t>
      </w:r>
      <w:proofErr w:type="spellStart"/>
      <w:r>
        <w:t>Wahrscheinlichkeit</w:t>
      </w:r>
      <w:proofErr w:type="spellEnd"/>
      <w:r>
        <w:t xml:space="preserve"> von </w:t>
      </w:r>
      <w:proofErr w:type="spellStart"/>
      <w:r>
        <w:t>Unfällen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Ladungsaustritt</w:t>
      </w:r>
      <w:proofErr w:type="spellEnd"/>
      <w:r>
        <w:t xml:space="preserve"> </w:t>
      </w:r>
      <w:proofErr w:type="spellStart"/>
      <w:r>
        <w:t>gestiegen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in den </w:t>
      </w:r>
      <w:proofErr w:type="spellStart"/>
      <w:r>
        <w:t>letzten</w:t>
      </w:r>
      <w:proofErr w:type="spellEnd"/>
      <w:r>
        <w:t xml:space="preserve"> Jahren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Unfälle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lastRenderedPageBreak/>
        <w:t>einem</w:t>
      </w:r>
      <w:proofErr w:type="spellEnd"/>
      <w:r>
        <w:t xml:space="preserve"> </w:t>
      </w:r>
      <w:proofErr w:type="spellStart"/>
      <w:r>
        <w:t>Ladungsaustrott</w:t>
      </w:r>
      <w:proofErr w:type="spellEnd"/>
      <w:r>
        <w:t xml:space="preserve"> auf </w:t>
      </w:r>
      <w:proofErr w:type="spellStart"/>
      <w:r>
        <w:t>Grund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Kollision</w:t>
      </w:r>
      <w:proofErr w:type="spellEnd"/>
      <w:r>
        <w:t xml:space="preserve"> </w:t>
      </w:r>
      <w:proofErr w:type="spellStart"/>
      <w:r>
        <w:t>gemeldet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. Dies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Hinweis</w:t>
      </w:r>
      <w:proofErr w:type="spellEnd"/>
      <w:r>
        <w:t xml:space="preserve"> </w:t>
      </w:r>
      <w:proofErr w:type="spellStart"/>
      <w:r>
        <w:t>interpretiert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bestehenden</w:t>
      </w:r>
      <w:proofErr w:type="spellEnd"/>
      <w:r>
        <w:t xml:space="preserve"> </w:t>
      </w:r>
      <w:proofErr w:type="spellStart"/>
      <w:r>
        <w:t>Bauvorschriften</w:t>
      </w:r>
      <w:proofErr w:type="spellEnd"/>
      <w:r>
        <w:t xml:space="preserve"> für </w:t>
      </w:r>
      <w:proofErr w:type="spellStart"/>
      <w:r>
        <w:t>Tankschiffe</w:t>
      </w:r>
      <w:proofErr w:type="spellEnd"/>
      <w:r>
        <w:t xml:space="preserve"> in den </w:t>
      </w:r>
      <w:proofErr w:type="spellStart"/>
      <w:r>
        <w:t>Abschnitten</w:t>
      </w:r>
      <w:proofErr w:type="spellEnd"/>
      <w:r>
        <w:t xml:space="preserve"> 9.3.1 bis 9.3.3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den </w:t>
      </w:r>
      <w:proofErr w:type="spellStart"/>
      <w:r>
        <w:t>gestiegenen</w:t>
      </w:r>
      <w:proofErr w:type="spellEnd"/>
      <w:r>
        <w:t xml:space="preserve"> </w:t>
      </w:r>
      <w:proofErr w:type="spellStart"/>
      <w:r>
        <w:t>Kollisionsenergien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ausreichende</w:t>
      </w:r>
      <w:proofErr w:type="spellEnd"/>
      <w:r>
        <w:t xml:space="preserve"> </w:t>
      </w:r>
      <w:proofErr w:type="spellStart"/>
      <w:r>
        <w:t>Sicherheit</w:t>
      </w:r>
      <w:proofErr w:type="spellEnd"/>
      <w:r>
        <w:t xml:space="preserve"> </w:t>
      </w:r>
      <w:proofErr w:type="spellStart"/>
      <w:r>
        <w:t>bieten</w:t>
      </w:r>
      <w:proofErr w:type="spellEnd"/>
      <w:r>
        <w:t>.</w:t>
      </w:r>
    </w:p>
    <w:p w14:paraId="7316E14B" w14:textId="4D278118" w:rsidR="00F97624" w:rsidRPr="00F97624" w:rsidRDefault="00F97624" w:rsidP="00F97624">
      <w:pPr>
        <w:pStyle w:val="SingleTxtG"/>
      </w:pPr>
      <w:r>
        <w:t>5.</w:t>
      </w:r>
      <w:r>
        <w:tab/>
      </w:r>
      <w:proofErr w:type="spellStart"/>
      <w:r>
        <w:t>Wenn</w:t>
      </w:r>
      <w:proofErr w:type="spellEnd"/>
      <w:r>
        <w:t xml:space="preserve"> man die </w:t>
      </w:r>
      <w:proofErr w:type="spellStart"/>
      <w:r>
        <w:t>Entwicklung</w:t>
      </w:r>
      <w:proofErr w:type="spellEnd"/>
      <w:r>
        <w:t xml:space="preserve"> der </w:t>
      </w:r>
      <w:proofErr w:type="spellStart"/>
      <w:r>
        <w:t>Flotte</w:t>
      </w:r>
      <w:proofErr w:type="spellEnd"/>
      <w:r>
        <w:t xml:space="preserve"> in den </w:t>
      </w:r>
      <w:proofErr w:type="spellStart"/>
      <w:r>
        <w:t>letzten</w:t>
      </w:r>
      <w:proofErr w:type="spellEnd"/>
      <w:r>
        <w:t xml:space="preserve"> Jahren </w:t>
      </w:r>
      <w:proofErr w:type="spellStart"/>
      <w:r>
        <w:t>extrapoliert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auszugehen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sowohl</w:t>
      </w:r>
      <w:proofErr w:type="spellEnd"/>
      <w:r>
        <w:t xml:space="preserve"> die </w:t>
      </w:r>
      <w:proofErr w:type="spellStart"/>
      <w:r>
        <w:t>maximale</w:t>
      </w:r>
      <w:proofErr w:type="spellEnd"/>
      <w:r>
        <w:t xml:space="preserve"> Masse der </w:t>
      </w:r>
      <w:proofErr w:type="spellStart"/>
      <w:r>
        <w:t>größten</w:t>
      </w:r>
      <w:proofErr w:type="spellEnd"/>
      <w:r>
        <w:t xml:space="preserve"> </w:t>
      </w:r>
      <w:proofErr w:type="spellStart"/>
      <w:r>
        <w:t>Schiffe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die </w:t>
      </w:r>
      <w:proofErr w:type="spellStart"/>
      <w:r>
        <w:t>durchschnittliche</w:t>
      </w:r>
      <w:proofErr w:type="spellEnd"/>
      <w:r>
        <w:t xml:space="preserve"> Masse der </w:t>
      </w:r>
      <w:proofErr w:type="spellStart"/>
      <w:r>
        <w:t>Flotte</w:t>
      </w:r>
      <w:proofErr w:type="spellEnd"/>
      <w:r>
        <w:t xml:space="preserve"> </w:t>
      </w:r>
      <w:proofErr w:type="spellStart"/>
      <w:r>
        <w:t>weiterhin</w:t>
      </w:r>
      <w:proofErr w:type="spellEnd"/>
      <w:r>
        <w:t xml:space="preserve"> </w:t>
      </w:r>
      <w:proofErr w:type="spellStart"/>
      <w:r>
        <w:t>ansteigen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derzeit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allgemein</w:t>
      </w:r>
      <w:proofErr w:type="spellEnd"/>
      <w:r>
        <w:t xml:space="preserve"> </w:t>
      </w:r>
      <w:proofErr w:type="spellStart"/>
      <w:r>
        <w:t>gültigen</w:t>
      </w:r>
      <w:proofErr w:type="spellEnd"/>
      <w:r>
        <w:t xml:space="preserve"> </w:t>
      </w:r>
      <w:proofErr w:type="spellStart"/>
      <w:r>
        <w:t>höchstzulässigen</w:t>
      </w:r>
      <w:proofErr w:type="spellEnd"/>
      <w:r>
        <w:t xml:space="preserve"> </w:t>
      </w:r>
      <w:proofErr w:type="spellStart"/>
      <w:r>
        <w:t>Massen</w:t>
      </w:r>
      <w:proofErr w:type="spellEnd"/>
      <w:r>
        <w:t xml:space="preserve"> von </w:t>
      </w:r>
      <w:proofErr w:type="spellStart"/>
      <w:r>
        <w:t>Binnenschiffen</w:t>
      </w:r>
      <w:proofErr w:type="spellEnd"/>
      <w:r>
        <w:t xml:space="preserve"> auf den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Wasserstraßen</w:t>
      </w:r>
      <w:proofErr w:type="spellEnd"/>
      <w:r>
        <w:t xml:space="preserve"> und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Möglichkeit</w:t>
      </w:r>
      <w:proofErr w:type="spellEnd"/>
      <w:r>
        <w:t xml:space="preserve"> </w:t>
      </w:r>
      <w:proofErr w:type="spellStart"/>
      <w:r>
        <w:t>derartige</w:t>
      </w:r>
      <w:proofErr w:type="spellEnd"/>
      <w:r>
        <w:t xml:space="preserve"> </w:t>
      </w:r>
      <w:proofErr w:type="spellStart"/>
      <w:r>
        <w:t>allgemeine</w:t>
      </w:r>
      <w:proofErr w:type="spellEnd"/>
      <w:r>
        <w:t xml:space="preserve"> </w:t>
      </w:r>
      <w:proofErr w:type="spellStart"/>
      <w:r>
        <w:t>Beschränkungen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ADN </w:t>
      </w:r>
      <w:proofErr w:type="spellStart"/>
      <w:r>
        <w:t>einzuführen</w:t>
      </w:r>
      <w:proofErr w:type="spellEnd"/>
      <w:r>
        <w:t>.</w:t>
      </w:r>
    </w:p>
    <w:p w14:paraId="6C2DE997" w14:textId="1B09DCA6" w:rsidR="0053049A" w:rsidRDefault="0053049A" w:rsidP="0053049A">
      <w:pPr>
        <w:pStyle w:val="HChG"/>
      </w:pPr>
      <w:r>
        <w:tab/>
      </w:r>
      <w:r w:rsidR="00CE11DE">
        <w:t>I.</w:t>
      </w:r>
      <w:r>
        <w:tab/>
      </w:r>
      <w:proofErr w:type="spellStart"/>
      <w:r w:rsidR="0088453A" w:rsidRPr="0088453A">
        <w:t>Vorschlag</w:t>
      </w:r>
      <w:proofErr w:type="spellEnd"/>
    </w:p>
    <w:p w14:paraId="54195F58" w14:textId="7AE8BFF0" w:rsidR="00864D32" w:rsidRDefault="00154FA6" w:rsidP="00864D32">
      <w:pPr>
        <w:pStyle w:val="SingleTxtG"/>
      </w:pPr>
      <w:r>
        <w:t>6.</w:t>
      </w:r>
      <w:r>
        <w:tab/>
      </w:r>
      <w:r w:rsidR="00864D32">
        <w:t>Der ADN-</w:t>
      </w:r>
      <w:proofErr w:type="spellStart"/>
      <w:r w:rsidR="00864D32">
        <w:t>Sicherheitsausschuss</w:t>
      </w:r>
      <w:proofErr w:type="spellEnd"/>
      <w:r w:rsidR="00864D32">
        <w:t xml:space="preserve"> </w:t>
      </w:r>
      <w:proofErr w:type="spellStart"/>
      <w:r w:rsidR="00864D32">
        <w:t>sollte</w:t>
      </w:r>
      <w:proofErr w:type="spellEnd"/>
      <w:r w:rsidR="00864D32">
        <w:t xml:space="preserve"> die </w:t>
      </w:r>
      <w:proofErr w:type="spellStart"/>
      <w:r w:rsidR="00864D32">
        <w:t>Frage</w:t>
      </w:r>
      <w:proofErr w:type="spellEnd"/>
      <w:r w:rsidR="00864D32">
        <w:t xml:space="preserve"> </w:t>
      </w:r>
      <w:proofErr w:type="spellStart"/>
      <w:r w:rsidR="00864D32">
        <w:t>diskutieren</w:t>
      </w:r>
      <w:proofErr w:type="spellEnd"/>
      <w:r w:rsidR="00864D32">
        <w:t xml:space="preserve">, </w:t>
      </w:r>
      <w:proofErr w:type="spellStart"/>
      <w:r w:rsidR="00864D32">
        <w:t>ob</w:t>
      </w:r>
      <w:proofErr w:type="spellEnd"/>
      <w:r w:rsidR="00864D32">
        <w:t xml:space="preserve"> </w:t>
      </w:r>
      <w:proofErr w:type="spellStart"/>
      <w:r w:rsidR="00864D32">
        <w:t>sich</w:t>
      </w:r>
      <w:proofErr w:type="spellEnd"/>
      <w:r w:rsidR="00864D32">
        <w:t xml:space="preserve"> </w:t>
      </w:r>
      <w:proofErr w:type="spellStart"/>
      <w:r w:rsidR="00864D32">
        <w:t>aus</w:t>
      </w:r>
      <w:proofErr w:type="spellEnd"/>
      <w:r w:rsidR="00864D32">
        <w:t xml:space="preserve"> den </w:t>
      </w:r>
      <w:proofErr w:type="spellStart"/>
      <w:r w:rsidR="00864D32">
        <w:t>gestiegenen</w:t>
      </w:r>
      <w:proofErr w:type="spellEnd"/>
      <w:r w:rsidR="00864D32">
        <w:t xml:space="preserve"> </w:t>
      </w:r>
      <w:proofErr w:type="spellStart"/>
      <w:r w:rsidR="00864D32">
        <w:t>Kollisionsenergien</w:t>
      </w:r>
      <w:proofErr w:type="spellEnd"/>
      <w:r w:rsidR="00864D32">
        <w:t xml:space="preserve"> auf den </w:t>
      </w:r>
      <w:proofErr w:type="spellStart"/>
      <w:r w:rsidR="00864D32">
        <w:t>europäischen</w:t>
      </w:r>
      <w:proofErr w:type="spellEnd"/>
      <w:r w:rsidR="00864D32">
        <w:t xml:space="preserve"> </w:t>
      </w:r>
      <w:proofErr w:type="spellStart"/>
      <w:r w:rsidR="00864D32">
        <w:t>Wasserstraßen</w:t>
      </w:r>
      <w:proofErr w:type="spellEnd"/>
      <w:r w:rsidR="00864D32">
        <w:t xml:space="preserve"> </w:t>
      </w:r>
      <w:proofErr w:type="spellStart"/>
      <w:r w:rsidR="00864D32">
        <w:t>eine</w:t>
      </w:r>
      <w:proofErr w:type="spellEnd"/>
      <w:r w:rsidR="00864D32">
        <w:t xml:space="preserve"> </w:t>
      </w:r>
      <w:proofErr w:type="spellStart"/>
      <w:r w:rsidR="00864D32">
        <w:t>Notwendigkeit</w:t>
      </w:r>
      <w:proofErr w:type="spellEnd"/>
      <w:r w:rsidR="00864D32">
        <w:t xml:space="preserve"> </w:t>
      </w:r>
      <w:proofErr w:type="spellStart"/>
      <w:r w:rsidR="00864D32">
        <w:t>ergibt</w:t>
      </w:r>
      <w:proofErr w:type="spellEnd"/>
      <w:r w:rsidR="00864D32">
        <w:t xml:space="preserve">, die </w:t>
      </w:r>
      <w:proofErr w:type="spellStart"/>
      <w:r w:rsidR="00864D32">
        <w:t>Bauvorschriften</w:t>
      </w:r>
      <w:proofErr w:type="spellEnd"/>
      <w:r w:rsidR="00864D32">
        <w:t xml:space="preserve"> für </w:t>
      </w:r>
      <w:proofErr w:type="spellStart"/>
      <w:r w:rsidR="00864D32">
        <w:t>Neubauten</w:t>
      </w:r>
      <w:proofErr w:type="spellEnd"/>
      <w:r w:rsidR="00864D32">
        <w:t xml:space="preserve"> von </w:t>
      </w:r>
      <w:proofErr w:type="spellStart"/>
      <w:r w:rsidR="00864D32">
        <w:t>Tankschiffen</w:t>
      </w:r>
      <w:proofErr w:type="spellEnd"/>
      <w:r w:rsidR="00864D32">
        <w:t xml:space="preserve"> </w:t>
      </w:r>
      <w:proofErr w:type="spellStart"/>
      <w:r w:rsidR="00864D32">
        <w:t>mit</w:t>
      </w:r>
      <w:proofErr w:type="spellEnd"/>
      <w:r w:rsidR="00864D32">
        <w:t xml:space="preserve"> </w:t>
      </w:r>
      <w:proofErr w:type="spellStart"/>
      <w:r w:rsidR="00864D32">
        <w:t>Ladetanks</w:t>
      </w:r>
      <w:proofErr w:type="spellEnd"/>
      <w:r w:rsidR="00864D32">
        <w:t xml:space="preserve"> bis </w:t>
      </w:r>
      <w:proofErr w:type="spellStart"/>
      <w:r w:rsidR="00864D32">
        <w:t>zu</w:t>
      </w:r>
      <w:proofErr w:type="spellEnd"/>
      <w:r w:rsidR="00864D32">
        <w:t xml:space="preserve"> 380 m³ in den </w:t>
      </w:r>
      <w:proofErr w:type="spellStart"/>
      <w:r w:rsidR="00864D32">
        <w:t>Abschnitte</w:t>
      </w:r>
      <w:proofErr w:type="spellEnd"/>
      <w:r w:rsidR="00864D32">
        <w:t xml:space="preserve"> 9.3.1 bis 9.3.3 </w:t>
      </w:r>
      <w:proofErr w:type="spellStart"/>
      <w:r w:rsidR="00864D32">
        <w:t>zu</w:t>
      </w:r>
      <w:proofErr w:type="spellEnd"/>
      <w:r w:rsidR="00864D32">
        <w:t xml:space="preserve"> </w:t>
      </w:r>
      <w:proofErr w:type="spellStart"/>
      <w:r w:rsidR="00864D32">
        <w:t>überarbeiten</w:t>
      </w:r>
      <w:proofErr w:type="spellEnd"/>
      <w:r w:rsidR="00864D32">
        <w:t>.</w:t>
      </w:r>
    </w:p>
    <w:p w14:paraId="4941CC47" w14:textId="7BD654D6" w:rsidR="00864D32" w:rsidRDefault="00721213" w:rsidP="00864D32">
      <w:pPr>
        <w:pStyle w:val="SingleTxtG"/>
      </w:pPr>
      <w:r>
        <w:t>7.</w:t>
      </w:r>
      <w:r w:rsidR="00864D32">
        <w:tab/>
        <w:t>Der ADN-</w:t>
      </w:r>
      <w:proofErr w:type="spellStart"/>
      <w:r w:rsidR="00864D32">
        <w:t>Sicherheitsausschuss</w:t>
      </w:r>
      <w:proofErr w:type="spellEnd"/>
      <w:r w:rsidR="00864D32">
        <w:t xml:space="preserve"> </w:t>
      </w:r>
      <w:proofErr w:type="spellStart"/>
      <w:r w:rsidR="00864D32">
        <w:t>sollte</w:t>
      </w:r>
      <w:proofErr w:type="spellEnd"/>
      <w:r w:rsidR="00864D32">
        <w:t xml:space="preserve"> </w:t>
      </w:r>
      <w:proofErr w:type="spellStart"/>
      <w:r w:rsidR="00864D32">
        <w:t>dabei</w:t>
      </w:r>
      <w:proofErr w:type="spellEnd"/>
      <w:r w:rsidR="00864D32">
        <w:t xml:space="preserve"> </w:t>
      </w:r>
      <w:proofErr w:type="spellStart"/>
      <w:r w:rsidR="00864D32">
        <w:t>auch</w:t>
      </w:r>
      <w:proofErr w:type="spellEnd"/>
      <w:r w:rsidR="00864D32">
        <w:t xml:space="preserve"> </w:t>
      </w:r>
      <w:proofErr w:type="spellStart"/>
      <w:r w:rsidR="00864D32">
        <w:t>berücksichtigen</w:t>
      </w:r>
      <w:proofErr w:type="spellEnd"/>
      <w:r>
        <w:t>:</w:t>
      </w:r>
    </w:p>
    <w:p w14:paraId="0C7BD3D7" w14:textId="4B1BCA78" w:rsidR="00C60CF9" w:rsidRDefault="00504DDB" w:rsidP="00721213">
      <w:pPr>
        <w:pStyle w:val="SingleTxtG"/>
      </w:pPr>
      <w:r>
        <w:tab/>
        <w:t>(a)</w:t>
      </w:r>
      <w:r>
        <w:tab/>
      </w:r>
      <w:proofErr w:type="spellStart"/>
      <w:r w:rsidR="00712AB0" w:rsidRPr="00712AB0">
        <w:t>dass</w:t>
      </w:r>
      <w:proofErr w:type="spellEnd"/>
      <w:r w:rsidR="00712AB0" w:rsidRPr="00712AB0">
        <w:t xml:space="preserve"> </w:t>
      </w:r>
      <w:proofErr w:type="spellStart"/>
      <w:r w:rsidR="00712AB0" w:rsidRPr="00712AB0">
        <w:t>bei</w:t>
      </w:r>
      <w:proofErr w:type="spellEnd"/>
      <w:r w:rsidR="00712AB0" w:rsidRPr="00712AB0">
        <w:t xml:space="preserve"> </w:t>
      </w:r>
      <w:proofErr w:type="spellStart"/>
      <w:r w:rsidR="00712AB0" w:rsidRPr="00712AB0">
        <w:t>diesen</w:t>
      </w:r>
      <w:proofErr w:type="spellEnd"/>
      <w:r w:rsidR="00712AB0" w:rsidRPr="00712AB0">
        <w:t xml:space="preserve"> </w:t>
      </w:r>
      <w:proofErr w:type="spellStart"/>
      <w:r w:rsidR="00712AB0" w:rsidRPr="00712AB0">
        <w:t>Schiffen</w:t>
      </w:r>
      <w:proofErr w:type="spellEnd"/>
      <w:r w:rsidR="00712AB0" w:rsidRPr="00712AB0">
        <w:t xml:space="preserve"> auf </w:t>
      </w:r>
      <w:proofErr w:type="spellStart"/>
      <w:r w:rsidR="00712AB0" w:rsidRPr="00712AB0">
        <w:t>Grund</w:t>
      </w:r>
      <w:proofErr w:type="spellEnd"/>
      <w:r w:rsidR="00712AB0" w:rsidRPr="00712AB0">
        <w:t xml:space="preserve"> der </w:t>
      </w:r>
      <w:proofErr w:type="spellStart"/>
      <w:r w:rsidR="00712AB0" w:rsidRPr="00712AB0">
        <w:t>kleineren</w:t>
      </w:r>
      <w:proofErr w:type="spellEnd"/>
      <w:r w:rsidR="00712AB0" w:rsidRPr="00712AB0">
        <w:t xml:space="preserve"> </w:t>
      </w:r>
      <w:proofErr w:type="spellStart"/>
      <w:r w:rsidR="00712AB0" w:rsidRPr="00712AB0">
        <w:t>Ladetanks</w:t>
      </w:r>
      <w:proofErr w:type="spellEnd"/>
      <w:r w:rsidR="00712AB0" w:rsidRPr="00712AB0">
        <w:t xml:space="preserve"> die </w:t>
      </w:r>
      <w:proofErr w:type="spellStart"/>
      <w:r w:rsidR="00712AB0" w:rsidRPr="00712AB0">
        <w:t>Auswirkungen</w:t>
      </w:r>
      <w:proofErr w:type="spellEnd"/>
      <w:r w:rsidR="00712AB0" w:rsidRPr="00712AB0">
        <w:t xml:space="preserve"> </w:t>
      </w:r>
      <w:proofErr w:type="spellStart"/>
      <w:r w:rsidR="00712AB0" w:rsidRPr="00712AB0">
        <w:t>eines</w:t>
      </w:r>
      <w:proofErr w:type="spellEnd"/>
      <w:r w:rsidR="00712AB0" w:rsidRPr="00712AB0">
        <w:t xml:space="preserve"> </w:t>
      </w:r>
      <w:proofErr w:type="spellStart"/>
      <w:r w:rsidR="00712AB0" w:rsidRPr="00712AB0">
        <w:t>Tankrisses</w:t>
      </w:r>
      <w:proofErr w:type="spellEnd"/>
      <w:r w:rsidR="00712AB0" w:rsidRPr="00712AB0">
        <w:t xml:space="preserve"> und des </w:t>
      </w:r>
      <w:proofErr w:type="spellStart"/>
      <w:r w:rsidR="00712AB0" w:rsidRPr="00712AB0">
        <w:t>damit</w:t>
      </w:r>
      <w:proofErr w:type="spellEnd"/>
      <w:r w:rsidR="00712AB0" w:rsidRPr="00712AB0">
        <w:t xml:space="preserve"> </w:t>
      </w:r>
      <w:proofErr w:type="spellStart"/>
      <w:r w:rsidR="00712AB0" w:rsidRPr="00712AB0">
        <w:t>verbundenen</w:t>
      </w:r>
      <w:proofErr w:type="spellEnd"/>
      <w:r w:rsidR="00712AB0" w:rsidRPr="00712AB0">
        <w:t xml:space="preserve"> </w:t>
      </w:r>
      <w:proofErr w:type="spellStart"/>
      <w:r w:rsidR="00712AB0" w:rsidRPr="00712AB0">
        <w:t>Ladungsaustritts</w:t>
      </w:r>
      <w:proofErr w:type="spellEnd"/>
      <w:r w:rsidR="00712AB0" w:rsidRPr="00712AB0">
        <w:t xml:space="preserve"> </w:t>
      </w:r>
      <w:proofErr w:type="spellStart"/>
      <w:r w:rsidR="00712AB0" w:rsidRPr="00712AB0">
        <w:t>geringer</w:t>
      </w:r>
      <w:proofErr w:type="spellEnd"/>
      <w:r w:rsidR="00712AB0" w:rsidRPr="00712AB0">
        <w:t xml:space="preserve"> </w:t>
      </w:r>
      <w:proofErr w:type="spellStart"/>
      <w:r w:rsidR="00712AB0" w:rsidRPr="00712AB0">
        <w:t>sind</w:t>
      </w:r>
      <w:proofErr w:type="spellEnd"/>
      <w:r w:rsidR="00712AB0" w:rsidRPr="00712AB0">
        <w:t xml:space="preserve"> </w:t>
      </w:r>
      <w:proofErr w:type="spellStart"/>
      <w:r w:rsidR="00712AB0" w:rsidRPr="00712AB0">
        <w:t>als</w:t>
      </w:r>
      <w:proofErr w:type="spellEnd"/>
      <w:r w:rsidR="00712AB0" w:rsidRPr="00712AB0">
        <w:t xml:space="preserve"> </w:t>
      </w:r>
      <w:proofErr w:type="spellStart"/>
      <w:r w:rsidR="00712AB0" w:rsidRPr="00712AB0">
        <w:t>bei</w:t>
      </w:r>
      <w:proofErr w:type="spellEnd"/>
      <w:r w:rsidR="00712AB0" w:rsidRPr="00712AB0">
        <w:t xml:space="preserve"> </w:t>
      </w:r>
      <w:proofErr w:type="spellStart"/>
      <w:r w:rsidR="00712AB0" w:rsidRPr="00712AB0">
        <w:t>Schiffen</w:t>
      </w:r>
      <w:proofErr w:type="spellEnd"/>
      <w:r w:rsidR="00712AB0" w:rsidRPr="00712AB0">
        <w:t xml:space="preserve"> </w:t>
      </w:r>
      <w:proofErr w:type="spellStart"/>
      <w:r w:rsidR="00712AB0" w:rsidRPr="00712AB0">
        <w:t>mit</w:t>
      </w:r>
      <w:proofErr w:type="spellEnd"/>
      <w:r w:rsidR="00712AB0" w:rsidRPr="00712AB0">
        <w:t xml:space="preserve"> </w:t>
      </w:r>
      <w:proofErr w:type="spellStart"/>
      <w:r w:rsidR="00712AB0" w:rsidRPr="00712AB0">
        <w:t>Ladetanks</w:t>
      </w:r>
      <w:proofErr w:type="spellEnd"/>
      <w:r w:rsidR="00712AB0" w:rsidRPr="00712AB0">
        <w:t xml:space="preserve"> von 380 m³ bis 1000 m³ </w:t>
      </w:r>
      <w:proofErr w:type="spellStart"/>
      <w:r w:rsidR="00712AB0" w:rsidRPr="00712AB0">
        <w:t>gemäß</w:t>
      </w:r>
      <w:proofErr w:type="spellEnd"/>
      <w:r w:rsidR="00712AB0" w:rsidRPr="00712AB0">
        <w:t xml:space="preserve"> </w:t>
      </w:r>
      <w:proofErr w:type="spellStart"/>
      <w:r w:rsidR="00712AB0" w:rsidRPr="00712AB0">
        <w:t>Abschnitt</w:t>
      </w:r>
      <w:proofErr w:type="spellEnd"/>
      <w:r w:rsidR="00712AB0" w:rsidRPr="00712AB0">
        <w:t xml:space="preserve"> </w:t>
      </w:r>
      <w:proofErr w:type="gramStart"/>
      <w:r w:rsidR="00712AB0" w:rsidRPr="00712AB0">
        <w:t>9.3.4</w:t>
      </w:r>
      <w:r w:rsidR="00712AB0">
        <w:t>;</w:t>
      </w:r>
      <w:proofErr w:type="gramEnd"/>
      <w:r w:rsidR="00712AB0" w:rsidRPr="00712AB0">
        <w:t xml:space="preserve"> und</w:t>
      </w:r>
    </w:p>
    <w:p w14:paraId="057A9309" w14:textId="38D01CE0" w:rsidR="00C60CF9" w:rsidRPr="00F55027" w:rsidRDefault="00504DDB" w:rsidP="00C60CF9">
      <w:pPr>
        <w:pStyle w:val="SingleTxtG"/>
      </w:pPr>
      <w:r>
        <w:tab/>
        <w:t>(b)</w:t>
      </w:r>
      <w:r>
        <w:tab/>
      </w:r>
      <w:proofErr w:type="spellStart"/>
      <w:r w:rsidR="0058496F">
        <w:t>dass</w:t>
      </w:r>
      <w:proofErr w:type="spellEnd"/>
      <w:r w:rsidR="0058496F">
        <w:t xml:space="preserve"> </w:t>
      </w:r>
      <w:proofErr w:type="spellStart"/>
      <w:r w:rsidR="0058496F">
        <w:t>trotz</w:t>
      </w:r>
      <w:proofErr w:type="spellEnd"/>
      <w:r w:rsidR="0058496F">
        <w:t xml:space="preserve"> des </w:t>
      </w:r>
      <w:proofErr w:type="spellStart"/>
      <w:r w:rsidR="0058496F">
        <w:t>Anstiegs</w:t>
      </w:r>
      <w:proofErr w:type="spellEnd"/>
      <w:r w:rsidR="0058496F">
        <w:t xml:space="preserve"> der </w:t>
      </w:r>
      <w:proofErr w:type="spellStart"/>
      <w:r w:rsidR="0058496F">
        <w:t>Kollisionsenergie</w:t>
      </w:r>
      <w:proofErr w:type="spellEnd"/>
      <w:r w:rsidR="0058496F">
        <w:t xml:space="preserve"> </w:t>
      </w:r>
      <w:proofErr w:type="spellStart"/>
      <w:r w:rsidR="0058496F">
        <w:t>keine</w:t>
      </w:r>
      <w:proofErr w:type="spellEnd"/>
      <w:r w:rsidR="0058496F">
        <w:t xml:space="preserve"> </w:t>
      </w:r>
      <w:proofErr w:type="spellStart"/>
      <w:r w:rsidR="0058496F">
        <w:t>Unfälle</w:t>
      </w:r>
      <w:proofErr w:type="spellEnd"/>
      <w:r w:rsidR="0058496F">
        <w:t xml:space="preserve"> </w:t>
      </w:r>
      <w:proofErr w:type="spellStart"/>
      <w:r w:rsidR="0058496F">
        <w:t>mit</w:t>
      </w:r>
      <w:proofErr w:type="spellEnd"/>
      <w:r w:rsidR="0058496F">
        <w:t xml:space="preserve"> </w:t>
      </w:r>
      <w:proofErr w:type="spellStart"/>
      <w:r w:rsidR="0058496F">
        <w:t>Ladungsaustritt</w:t>
      </w:r>
      <w:proofErr w:type="spellEnd"/>
      <w:r w:rsidR="0058496F">
        <w:t xml:space="preserve"> auf </w:t>
      </w:r>
      <w:proofErr w:type="spellStart"/>
      <w:r w:rsidR="0058496F">
        <w:t>Grund</w:t>
      </w:r>
      <w:proofErr w:type="spellEnd"/>
      <w:r w:rsidR="0058496F">
        <w:t xml:space="preserve"> von </w:t>
      </w:r>
      <w:proofErr w:type="spellStart"/>
      <w:r w:rsidR="0058496F">
        <w:t>Kollisionen</w:t>
      </w:r>
      <w:proofErr w:type="spellEnd"/>
      <w:r w:rsidR="0058496F">
        <w:t xml:space="preserve"> </w:t>
      </w:r>
      <w:proofErr w:type="spellStart"/>
      <w:r w:rsidR="0058496F">
        <w:t>gemeldet</w:t>
      </w:r>
      <w:proofErr w:type="spellEnd"/>
      <w:r w:rsidR="0058496F">
        <w:t xml:space="preserve"> </w:t>
      </w:r>
      <w:proofErr w:type="spellStart"/>
      <w:r w:rsidR="0058496F">
        <w:t>wurden</w:t>
      </w:r>
      <w:proofErr w:type="spellEnd"/>
      <w:r w:rsidR="0058496F">
        <w:t>.</w:t>
      </w:r>
      <w:r w:rsidR="00C60CF9">
        <w:t xml:space="preserve"> </w:t>
      </w:r>
    </w:p>
    <w:p w14:paraId="3FB37F69" w14:textId="58B2D1F6" w:rsidR="00EB60B7" w:rsidRDefault="00C60CF9" w:rsidP="00C60CF9">
      <w:pPr>
        <w:pStyle w:val="HChG"/>
      </w:pPr>
      <w:r>
        <w:tab/>
      </w:r>
      <w:r w:rsidR="00504DDB">
        <w:t>II.</w:t>
      </w:r>
      <w:r>
        <w:tab/>
      </w:r>
      <w:proofErr w:type="spellStart"/>
      <w:r w:rsidR="00254AED" w:rsidRPr="00F55027">
        <w:t>Begründung</w:t>
      </w:r>
      <w:proofErr w:type="spellEnd"/>
    </w:p>
    <w:p w14:paraId="3BF0058D" w14:textId="6AE527C8" w:rsidR="007F594C" w:rsidRDefault="007F594C" w:rsidP="007F594C">
      <w:pPr>
        <w:pStyle w:val="SingleTxtG"/>
      </w:pPr>
      <w:r>
        <w:t>8.</w:t>
      </w:r>
      <w:r>
        <w:tab/>
      </w:r>
      <w:r>
        <w:t xml:space="preserve">Die </w:t>
      </w:r>
      <w:proofErr w:type="spellStart"/>
      <w:r>
        <w:t>Studie</w:t>
      </w:r>
      <w:proofErr w:type="spellEnd"/>
      <w:r>
        <w:t xml:space="preserve"> von TNO </w:t>
      </w:r>
      <w:proofErr w:type="spellStart"/>
      <w:r>
        <w:t>beschränkt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auf die </w:t>
      </w:r>
      <w:proofErr w:type="spellStart"/>
      <w:r>
        <w:t>Vorschriften</w:t>
      </w:r>
      <w:proofErr w:type="spellEnd"/>
      <w:r>
        <w:t xml:space="preserve"> für </w:t>
      </w:r>
      <w:proofErr w:type="spellStart"/>
      <w:r>
        <w:t>Schiffe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Ladetanks</w:t>
      </w:r>
      <w:proofErr w:type="spellEnd"/>
      <w:r>
        <w:t xml:space="preserve"> in </w:t>
      </w:r>
      <w:proofErr w:type="spellStart"/>
      <w:r>
        <w:t>Abschnitt</w:t>
      </w:r>
      <w:proofErr w:type="spellEnd"/>
      <w:r>
        <w:t xml:space="preserve"> 9.3.4. Sie hat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aufgezeigt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für </w:t>
      </w:r>
      <w:proofErr w:type="spellStart"/>
      <w:r>
        <w:t>Schiffe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Ladetanks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380 m³ </w:t>
      </w:r>
      <w:proofErr w:type="spellStart"/>
      <w:r>
        <w:t>gemäß</w:t>
      </w:r>
      <w:proofErr w:type="spellEnd"/>
      <w:r>
        <w:t xml:space="preserve"> </w:t>
      </w:r>
      <w:proofErr w:type="spellStart"/>
      <w:r>
        <w:t>Abschnitt</w:t>
      </w:r>
      <w:proofErr w:type="spellEnd"/>
      <w:r>
        <w:t xml:space="preserve"> 9.3.1 bis 9.3.3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rechnen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Kollisionen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stark </w:t>
      </w:r>
      <w:proofErr w:type="spellStart"/>
      <w:r>
        <w:t>erhöhte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auftritt</w:t>
      </w:r>
      <w:proofErr w:type="spellEnd"/>
      <w:r>
        <w:t xml:space="preserve"> und </w:t>
      </w:r>
      <w:proofErr w:type="spellStart"/>
      <w:r>
        <w:t>damit</w:t>
      </w:r>
      <w:proofErr w:type="spellEnd"/>
      <w:r>
        <w:t xml:space="preserve"> die </w:t>
      </w:r>
      <w:proofErr w:type="spellStart"/>
      <w:r>
        <w:t>Wahrscheinlichkeit</w:t>
      </w:r>
      <w:proofErr w:type="spellEnd"/>
      <w:r>
        <w:t xml:space="preserve"> von </w:t>
      </w:r>
      <w:proofErr w:type="spellStart"/>
      <w:r>
        <w:t>schweren</w:t>
      </w:r>
      <w:proofErr w:type="spellEnd"/>
      <w:r>
        <w:t xml:space="preserve"> </w:t>
      </w:r>
      <w:proofErr w:type="spellStart"/>
      <w:r>
        <w:t>Beschädigungen</w:t>
      </w:r>
      <w:proofErr w:type="spellEnd"/>
      <w:r>
        <w:t xml:space="preserve"> der </w:t>
      </w:r>
      <w:proofErr w:type="spellStart"/>
      <w:r>
        <w:t>Ladetanks</w:t>
      </w:r>
      <w:proofErr w:type="spellEnd"/>
      <w:r>
        <w:t xml:space="preserve"> und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Produktaustritts</w:t>
      </w:r>
      <w:proofErr w:type="spellEnd"/>
      <w:r>
        <w:t xml:space="preserve"> </w:t>
      </w:r>
      <w:proofErr w:type="spellStart"/>
      <w:r>
        <w:t>steigt</w:t>
      </w:r>
      <w:proofErr w:type="spellEnd"/>
      <w:r>
        <w:t>.</w:t>
      </w:r>
    </w:p>
    <w:p w14:paraId="0211CED7" w14:textId="0B3A2FBF" w:rsidR="007F594C" w:rsidRPr="00F55027" w:rsidRDefault="007F594C" w:rsidP="007F594C">
      <w:pPr>
        <w:pStyle w:val="SingleTxtG"/>
      </w:pPr>
      <w:r>
        <w:t>9.</w:t>
      </w:r>
      <w:r>
        <w:tab/>
        <w:t xml:space="preserve">Der </w:t>
      </w:r>
      <w:proofErr w:type="spellStart"/>
      <w:r>
        <w:t>Sicherheitsausschuss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</w:t>
      </w:r>
      <w:proofErr w:type="spellStart"/>
      <w:r>
        <w:t>beraten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den </w:t>
      </w:r>
      <w:proofErr w:type="spellStart"/>
      <w:r>
        <w:t>Ergebnissen</w:t>
      </w:r>
      <w:proofErr w:type="spellEnd"/>
      <w:r>
        <w:t xml:space="preserve"> der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Konsequenzen</w:t>
      </w:r>
      <w:proofErr w:type="spellEnd"/>
      <w:r>
        <w:t xml:space="preserve"> für die </w:t>
      </w:r>
      <w:proofErr w:type="spellStart"/>
      <w:r>
        <w:t>Bauvorschriften</w:t>
      </w:r>
      <w:proofErr w:type="spellEnd"/>
      <w:r>
        <w:t xml:space="preserve"> in den </w:t>
      </w:r>
      <w:proofErr w:type="spellStart"/>
      <w:r>
        <w:t>Abschnitten</w:t>
      </w:r>
      <w:proofErr w:type="spellEnd"/>
      <w:r>
        <w:t xml:space="preserve"> 9.3.1 bis 9.3.3 </w:t>
      </w:r>
      <w:proofErr w:type="spellStart"/>
      <w:r>
        <w:t>ergeben</w:t>
      </w:r>
      <w:proofErr w:type="spellEnd"/>
      <w:r>
        <w:t>.</w:t>
      </w:r>
    </w:p>
    <w:p w14:paraId="6E64BDEF" w14:textId="29D76101" w:rsidR="00C43DBE" w:rsidRPr="00C43DBE" w:rsidRDefault="00C43DBE" w:rsidP="00C43DB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3DBE" w:rsidRPr="00C43DBE" w:rsidSect="00273B55">
      <w:headerReference w:type="even" r:id="rId11"/>
      <w:headerReference w:type="default" r:id="rId12"/>
      <w:footerReference w:type="even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99DD" w14:textId="77777777" w:rsidR="00235011" w:rsidRDefault="00235011"/>
  </w:endnote>
  <w:endnote w:type="continuationSeparator" w:id="0">
    <w:p w14:paraId="752E7C0F" w14:textId="77777777" w:rsidR="00235011" w:rsidRDefault="00235011"/>
  </w:endnote>
  <w:endnote w:type="continuationNotice" w:id="1">
    <w:p w14:paraId="066641D6" w14:textId="77777777" w:rsidR="00235011" w:rsidRDefault="00235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62707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1D47A10B" w14:textId="0E553541" w:rsidR="00554C10" w:rsidRPr="00554C10" w:rsidRDefault="00554C10">
        <w:pPr>
          <w:pStyle w:val="Footer"/>
          <w:rPr>
            <w:b/>
            <w:bCs/>
          </w:rPr>
        </w:pPr>
        <w:r w:rsidRPr="00554C10">
          <w:rPr>
            <w:b/>
            <w:bCs/>
          </w:rPr>
          <w:fldChar w:fldCharType="begin"/>
        </w:r>
        <w:r w:rsidRPr="00554C10">
          <w:rPr>
            <w:b/>
            <w:bCs/>
          </w:rPr>
          <w:instrText xml:space="preserve"> PAGE   \* MERGEFORMAT </w:instrText>
        </w:r>
        <w:r w:rsidRPr="00554C10">
          <w:rPr>
            <w:b/>
            <w:bCs/>
          </w:rPr>
          <w:fldChar w:fldCharType="separate"/>
        </w:r>
        <w:r w:rsidRPr="00554C10">
          <w:rPr>
            <w:b/>
            <w:bCs/>
            <w:noProof/>
          </w:rPr>
          <w:t>2</w:t>
        </w:r>
        <w:r w:rsidRPr="00554C10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FC6F" w14:textId="77777777" w:rsidR="00235011" w:rsidRPr="000B175B" w:rsidRDefault="0023501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0A6EBE" w14:textId="77777777" w:rsidR="00235011" w:rsidRPr="00FC68B7" w:rsidRDefault="0023501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A39063" w14:textId="77777777" w:rsidR="00235011" w:rsidRDefault="002350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C239" w14:textId="27CF9B79" w:rsidR="004074E5" w:rsidRPr="00554C10" w:rsidRDefault="00554C10">
    <w:pPr>
      <w:pStyle w:val="Header"/>
      <w:rPr>
        <w:lang w:val="en-US"/>
      </w:rPr>
    </w:pPr>
    <w:r>
      <w:rPr>
        <w:lang w:val="en-US"/>
      </w:rPr>
      <w:t>INF.7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D9B9" w14:textId="77777777" w:rsidR="006C1D68" w:rsidRDefault="006C1D68" w:rsidP="00FA19F3">
    <w:pPr>
      <w:pBdr>
        <w:bottom w:val="single" w:sz="4" w:space="1" w:color="auto"/>
      </w:pBdr>
      <w:jc w:val="right"/>
      <w:rPr>
        <w:b/>
        <w:bCs/>
      </w:rPr>
    </w:pPr>
  </w:p>
  <w:p w14:paraId="6E6760A0" w14:textId="6953C005" w:rsidR="006C1D68" w:rsidRPr="00D75F9D" w:rsidRDefault="006C1D68" w:rsidP="00FA19F3">
    <w:pPr>
      <w:pBdr>
        <w:bottom w:val="single" w:sz="4" w:space="1" w:color="auto"/>
      </w:pBdr>
      <w:jc w:val="right"/>
      <w:rPr>
        <w:b/>
        <w:bCs/>
      </w:rPr>
    </w:pPr>
    <w:r w:rsidRPr="00D75F9D">
      <w:rPr>
        <w:b/>
        <w:bCs/>
      </w:rPr>
      <w:t>INF.5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709576D"/>
    <w:multiLevelType w:val="hybridMultilevel"/>
    <w:tmpl w:val="93465A5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0"/>
  </w:num>
  <w:num w:numId="14">
    <w:abstractNumId w:val="17"/>
  </w:num>
  <w:num w:numId="15">
    <w:abstractNumId w:val="19"/>
  </w:num>
  <w:num w:numId="16">
    <w:abstractNumId w:val="20"/>
  </w:num>
  <w:num w:numId="17">
    <w:abstractNumId w:val="15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A0"/>
    <w:rsid w:val="00005769"/>
    <w:rsid w:val="000100C1"/>
    <w:rsid w:val="000108AF"/>
    <w:rsid w:val="000119E8"/>
    <w:rsid w:val="00013244"/>
    <w:rsid w:val="00017D1D"/>
    <w:rsid w:val="00022E06"/>
    <w:rsid w:val="0002711F"/>
    <w:rsid w:val="000271D7"/>
    <w:rsid w:val="000310C3"/>
    <w:rsid w:val="00035EC3"/>
    <w:rsid w:val="0003617F"/>
    <w:rsid w:val="00036264"/>
    <w:rsid w:val="00040805"/>
    <w:rsid w:val="00041EF3"/>
    <w:rsid w:val="00045FBD"/>
    <w:rsid w:val="00046B1F"/>
    <w:rsid w:val="00050F6B"/>
    <w:rsid w:val="000520AC"/>
    <w:rsid w:val="00057307"/>
    <w:rsid w:val="00057E97"/>
    <w:rsid w:val="0006129A"/>
    <w:rsid w:val="00061F25"/>
    <w:rsid w:val="00067568"/>
    <w:rsid w:val="00067F5E"/>
    <w:rsid w:val="00072C8C"/>
    <w:rsid w:val="000733B5"/>
    <w:rsid w:val="00076C28"/>
    <w:rsid w:val="000815FA"/>
    <w:rsid w:val="00081815"/>
    <w:rsid w:val="000900E1"/>
    <w:rsid w:val="00092CAC"/>
    <w:rsid w:val="000931C0"/>
    <w:rsid w:val="000962D0"/>
    <w:rsid w:val="000A1BC9"/>
    <w:rsid w:val="000B0595"/>
    <w:rsid w:val="000B175B"/>
    <w:rsid w:val="000B17E5"/>
    <w:rsid w:val="000B3A0F"/>
    <w:rsid w:val="000B4EF7"/>
    <w:rsid w:val="000B4F65"/>
    <w:rsid w:val="000B6A35"/>
    <w:rsid w:val="000C00AB"/>
    <w:rsid w:val="000C0C5D"/>
    <w:rsid w:val="000C2C03"/>
    <w:rsid w:val="000C2D2E"/>
    <w:rsid w:val="000D076A"/>
    <w:rsid w:val="000E0415"/>
    <w:rsid w:val="000E3383"/>
    <w:rsid w:val="000E69EB"/>
    <w:rsid w:val="000E735E"/>
    <w:rsid w:val="000F1E58"/>
    <w:rsid w:val="000F36AC"/>
    <w:rsid w:val="000F402E"/>
    <w:rsid w:val="00100C72"/>
    <w:rsid w:val="00100FD9"/>
    <w:rsid w:val="00101374"/>
    <w:rsid w:val="00102704"/>
    <w:rsid w:val="00105FA9"/>
    <w:rsid w:val="0010708C"/>
    <w:rsid w:val="001103AA"/>
    <w:rsid w:val="00112AB6"/>
    <w:rsid w:val="0011583A"/>
    <w:rsid w:val="00116117"/>
    <w:rsid w:val="0011666B"/>
    <w:rsid w:val="00116DD2"/>
    <w:rsid w:val="0012658A"/>
    <w:rsid w:val="00130B85"/>
    <w:rsid w:val="00131195"/>
    <w:rsid w:val="001323D9"/>
    <w:rsid w:val="00133318"/>
    <w:rsid w:val="00135D40"/>
    <w:rsid w:val="001405B1"/>
    <w:rsid w:val="00144E40"/>
    <w:rsid w:val="001468B2"/>
    <w:rsid w:val="00146AFD"/>
    <w:rsid w:val="00147248"/>
    <w:rsid w:val="00150D4E"/>
    <w:rsid w:val="00154561"/>
    <w:rsid w:val="00154FA6"/>
    <w:rsid w:val="001607C6"/>
    <w:rsid w:val="00165F3A"/>
    <w:rsid w:val="001709B4"/>
    <w:rsid w:val="0017296C"/>
    <w:rsid w:val="00173242"/>
    <w:rsid w:val="0017595C"/>
    <w:rsid w:val="00175967"/>
    <w:rsid w:val="00175C4B"/>
    <w:rsid w:val="00175D78"/>
    <w:rsid w:val="00176118"/>
    <w:rsid w:val="00176A77"/>
    <w:rsid w:val="001911D3"/>
    <w:rsid w:val="001921F0"/>
    <w:rsid w:val="001927DB"/>
    <w:rsid w:val="00192D87"/>
    <w:rsid w:val="001937A9"/>
    <w:rsid w:val="001940AF"/>
    <w:rsid w:val="00195BDC"/>
    <w:rsid w:val="001962E3"/>
    <w:rsid w:val="001964BE"/>
    <w:rsid w:val="001A1450"/>
    <w:rsid w:val="001A435D"/>
    <w:rsid w:val="001A6FC7"/>
    <w:rsid w:val="001A78F9"/>
    <w:rsid w:val="001B2705"/>
    <w:rsid w:val="001B4B04"/>
    <w:rsid w:val="001B4CB9"/>
    <w:rsid w:val="001B6029"/>
    <w:rsid w:val="001C343D"/>
    <w:rsid w:val="001C4030"/>
    <w:rsid w:val="001C4A0F"/>
    <w:rsid w:val="001C5489"/>
    <w:rsid w:val="001C5D34"/>
    <w:rsid w:val="001C6663"/>
    <w:rsid w:val="001C7895"/>
    <w:rsid w:val="001D0360"/>
    <w:rsid w:val="001D0C8C"/>
    <w:rsid w:val="001D1419"/>
    <w:rsid w:val="001D26DF"/>
    <w:rsid w:val="001D3A03"/>
    <w:rsid w:val="001D4FDE"/>
    <w:rsid w:val="001D55C7"/>
    <w:rsid w:val="001D7539"/>
    <w:rsid w:val="001E2871"/>
    <w:rsid w:val="001E3377"/>
    <w:rsid w:val="001E3456"/>
    <w:rsid w:val="001E4940"/>
    <w:rsid w:val="001E5D54"/>
    <w:rsid w:val="001E6E7E"/>
    <w:rsid w:val="001E7B67"/>
    <w:rsid w:val="001F5030"/>
    <w:rsid w:val="001F55BB"/>
    <w:rsid w:val="001F5C4A"/>
    <w:rsid w:val="00202DA8"/>
    <w:rsid w:val="002039FE"/>
    <w:rsid w:val="0021195E"/>
    <w:rsid w:val="00211E0B"/>
    <w:rsid w:val="0021364D"/>
    <w:rsid w:val="00213934"/>
    <w:rsid w:val="0022063F"/>
    <w:rsid w:val="002236DD"/>
    <w:rsid w:val="00223C83"/>
    <w:rsid w:val="002247E8"/>
    <w:rsid w:val="002258E3"/>
    <w:rsid w:val="00230D7B"/>
    <w:rsid w:val="002321AF"/>
    <w:rsid w:val="00235011"/>
    <w:rsid w:val="00235892"/>
    <w:rsid w:val="00235B68"/>
    <w:rsid w:val="002364A1"/>
    <w:rsid w:val="0024772E"/>
    <w:rsid w:val="00250B35"/>
    <w:rsid w:val="00254AED"/>
    <w:rsid w:val="00256B43"/>
    <w:rsid w:val="002600A5"/>
    <w:rsid w:val="0026285E"/>
    <w:rsid w:val="00262BF9"/>
    <w:rsid w:val="0026302A"/>
    <w:rsid w:val="00267F5F"/>
    <w:rsid w:val="00272781"/>
    <w:rsid w:val="002731A1"/>
    <w:rsid w:val="00273B55"/>
    <w:rsid w:val="00274417"/>
    <w:rsid w:val="002845C1"/>
    <w:rsid w:val="002848A3"/>
    <w:rsid w:val="00284E1B"/>
    <w:rsid w:val="00285AA9"/>
    <w:rsid w:val="00286B4D"/>
    <w:rsid w:val="00287C5E"/>
    <w:rsid w:val="002902F9"/>
    <w:rsid w:val="00291A3E"/>
    <w:rsid w:val="00292F33"/>
    <w:rsid w:val="00295AA5"/>
    <w:rsid w:val="002A0074"/>
    <w:rsid w:val="002A09E2"/>
    <w:rsid w:val="002A18E7"/>
    <w:rsid w:val="002A59E7"/>
    <w:rsid w:val="002C174C"/>
    <w:rsid w:val="002C2778"/>
    <w:rsid w:val="002C4C32"/>
    <w:rsid w:val="002C5E26"/>
    <w:rsid w:val="002C6022"/>
    <w:rsid w:val="002C7DC6"/>
    <w:rsid w:val="002D4643"/>
    <w:rsid w:val="002D547D"/>
    <w:rsid w:val="002D6545"/>
    <w:rsid w:val="002E05CE"/>
    <w:rsid w:val="002E3A18"/>
    <w:rsid w:val="002E7924"/>
    <w:rsid w:val="002F0713"/>
    <w:rsid w:val="002F175C"/>
    <w:rsid w:val="002F5F03"/>
    <w:rsid w:val="002F690D"/>
    <w:rsid w:val="003025F9"/>
    <w:rsid w:val="00302E18"/>
    <w:rsid w:val="00303E65"/>
    <w:rsid w:val="00307003"/>
    <w:rsid w:val="003114B0"/>
    <w:rsid w:val="0031245A"/>
    <w:rsid w:val="00312598"/>
    <w:rsid w:val="00314CEE"/>
    <w:rsid w:val="0031622A"/>
    <w:rsid w:val="003203E2"/>
    <w:rsid w:val="00320E44"/>
    <w:rsid w:val="0032198A"/>
    <w:rsid w:val="003229D8"/>
    <w:rsid w:val="00326839"/>
    <w:rsid w:val="003276C4"/>
    <w:rsid w:val="003277AF"/>
    <w:rsid w:val="003279B5"/>
    <w:rsid w:val="00331664"/>
    <w:rsid w:val="0033755A"/>
    <w:rsid w:val="003377FB"/>
    <w:rsid w:val="00344A8C"/>
    <w:rsid w:val="00344EC6"/>
    <w:rsid w:val="003454D4"/>
    <w:rsid w:val="003457B9"/>
    <w:rsid w:val="00347134"/>
    <w:rsid w:val="00347AF5"/>
    <w:rsid w:val="003508B2"/>
    <w:rsid w:val="00352709"/>
    <w:rsid w:val="003619B5"/>
    <w:rsid w:val="003640AE"/>
    <w:rsid w:val="00365763"/>
    <w:rsid w:val="00371178"/>
    <w:rsid w:val="0037304E"/>
    <w:rsid w:val="00376BA3"/>
    <w:rsid w:val="00387D97"/>
    <w:rsid w:val="003922DD"/>
    <w:rsid w:val="00392E47"/>
    <w:rsid w:val="00396EDE"/>
    <w:rsid w:val="003A380A"/>
    <w:rsid w:val="003A3A0E"/>
    <w:rsid w:val="003A4397"/>
    <w:rsid w:val="003A6810"/>
    <w:rsid w:val="003B13B0"/>
    <w:rsid w:val="003B28B7"/>
    <w:rsid w:val="003B5B01"/>
    <w:rsid w:val="003C083F"/>
    <w:rsid w:val="003C2CC4"/>
    <w:rsid w:val="003C5B97"/>
    <w:rsid w:val="003D30BA"/>
    <w:rsid w:val="003D4B23"/>
    <w:rsid w:val="003E1645"/>
    <w:rsid w:val="003E33BF"/>
    <w:rsid w:val="003E6C3C"/>
    <w:rsid w:val="003F07CA"/>
    <w:rsid w:val="003F50EC"/>
    <w:rsid w:val="004007E0"/>
    <w:rsid w:val="0040640F"/>
    <w:rsid w:val="004074E5"/>
    <w:rsid w:val="00410C89"/>
    <w:rsid w:val="00416282"/>
    <w:rsid w:val="00416D9D"/>
    <w:rsid w:val="00417D70"/>
    <w:rsid w:val="00422E03"/>
    <w:rsid w:val="00422EEE"/>
    <w:rsid w:val="004234FA"/>
    <w:rsid w:val="00423572"/>
    <w:rsid w:val="00426B9B"/>
    <w:rsid w:val="004279FC"/>
    <w:rsid w:val="00427D83"/>
    <w:rsid w:val="004315A1"/>
    <w:rsid w:val="004325CB"/>
    <w:rsid w:val="00436B85"/>
    <w:rsid w:val="004401CE"/>
    <w:rsid w:val="00442A83"/>
    <w:rsid w:val="00443582"/>
    <w:rsid w:val="0045495B"/>
    <w:rsid w:val="00454AED"/>
    <w:rsid w:val="00457F91"/>
    <w:rsid w:val="00464A30"/>
    <w:rsid w:val="004663A4"/>
    <w:rsid w:val="0047604D"/>
    <w:rsid w:val="0047699E"/>
    <w:rsid w:val="00477F33"/>
    <w:rsid w:val="0048397A"/>
    <w:rsid w:val="00485CBB"/>
    <w:rsid w:val="004866B7"/>
    <w:rsid w:val="00487049"/>
    <w:rsid w:val="0049214C"/>
    <w:rsid w:val="004929BA"/>
    <w:rsid w:val="00493C8D"/>
    <w:rsid w:val="00493EAD"/>
    <w:rsid w:val="004A11BF"/>
    <w:rsid w:val="004A5248"/>
    <w:rsid w:val="004B1E32"/>
    <w:rsid w:val="004B65CF"/>
    <w:rsid w:val="004C0276"/>
    <w:rsid w:val="004C1432"/>
    <w:rsid w:val="004C2461"/>
    <w:rsid w:val="004C41DC"/>
    <w:rsid w:val="004C6A47"/>
    <w:rsid w:val="004C7462"/>
    <w:rsid w:val="004D6461"/>
    <w:rsid w:val="004E19BD"/>
    <w:rsid w:val="004E77B2"/>
    <w:rsid w:val="004F0A4B"/>
    <w:rsid w:val="004F5332"/>
    <w:rsid w:val="004F6AFB"/>
    <w:rsid w:val="00504B2D"/>
    <w:rsid w:val="00504DDB"/>
    <w:rsid w:val="005077EC"/>
    <w:rsid w:val="00507C72"/>
    <w:rsid w:val="0051088A"/>
    <w:rsid w:val="005109BE"/>
    <w:rsid w:val="00510DA4"/>
    <w:rsid w:val="00511D2F"/>
    <w:rsid w:val="00512E26"/>
    <w:rsid w:val="0051386E"/>
    <w:rsid w:val="0051532C"/>
    <w:rsid w:val="0052136D"/>
    <w:rsid w:val="00524EA1"/>
    <w:rsid w:val="0052775E"/>
    <w:rsid w:val="005301B6"/>
    <w:rsid w:val="0053049A"/>
    <w:rsid w:val="00535739"/>
    <w:rsid w:val="00537F71"/>
    <w:rsid w:val="00541726"/>
    <w:rsid w:val="005420F2"/>
    <w:rsid w:val="00550B06"/>
    <w:rsid w:val="00550EC4"/>
    <w:rsid w:val="0055254C"/>
    <w:rsid w:val="00554B9A"/>
    <w:rsid w:val="00554C10"/>
    <w:rsid w:val="005628B6"/>
    <w:rsid w:val="0056600D"/>
    <w:rsid w:val="005668E6"/>
    <w:rsid w:val="00567EC7"/>
    <w:rsid w:val="00571086"/>
    <w:rsid w:val="0057287F"/>
    <w:rsid w:val="00572B32"/>
    <w:rsid w:val="00582AE7"/>
    <w:rsid w:val="00583619"/>
    <w:rsid w:val="0058371B"/>
    <w:rsid w:val="0058496F"/>
    <w:rsid w:val="00590D54"/>
    <w:rsid w:val="005919A2"/>
    <w:rsid w:val="00593CE9"/>
    <w:rsid w:val="005941EC"/>
    <w:rsid w:val="0059724D"/>
    <w:rsid w:val="00597777"/>
    <w:rsid w:val="005A38D0"/>
    <w:rsid w:val="005A44A6"/>
    <w:rsid w:val="005A620C"/>
    <w:rsid w:val="005A6214"/>
    <w:rsid w:val="005A6E3A"/>
    <w:rsid w:val="005B0C4C"/>
    <w:rsid w:val="005B3DB3"/>
    <w:rsid w:val="005B4E13"/>
    <w:rsid w:val="005C342F"/>
    <w:rsid w:val="005C661D"/>
    <w:rsid w:val="005D1732"/>
    <w:rsid w:val="005D356C"/>
    <w:rsid w:val="005D357C"/>
    <w:rsid w:val="005D3A50"/>
    <w:rsid w:val="005D6EB9"/>
    <w:rsid w:val="005D7478"/>
    <w:rsid w:val="005D7857"/>
    <w:rsid w:val="005E25A1"/>
    <w:rsid w:val="005F216E"/>
    <w:rsid w:val="005F5371"/>
    <w:rsid w:val="005F5DA7"/>
    <w:rsid w:val="005F7B75"/>
    <w:rsid w:val="006001EE"/>
    <w:rsid w:val="00605042"/>
    <w:rsid w:val="0060632C"/>
    <w:rsid w:val="00607E9D"/>
    <w:rsid w:val="00610FBC"/>
    <w:rsid w:val="00611044"/>
    <w:rsid w:val="00611FC4"/>
    <w:rsid w:val="0061359B"/>
    <w:rsid w:val="006135CE"/>
    <w:rsid w:val="006176FB"/>
    <w:rsid w:val="00620692"/>
    <w:rsid w:val="0062388D"/>
    <w:rsid w:val="00632401"/>
    <w:rsid w:val="0063306C"/>
    <w:rsid w:val="00633142"/>
    <w:rsid w:val="006349C5"/>
    <w:rsid w:val="0063743A"/>
    <w:rsid w:val="00640B26"/>
    <w:rsid w:val="00642652"/>
    <w:rsid w:val="00643351"/>
    <w:rsid w:val="00652D0A"/>
    <w:rsid w:val="00660B28"/>
    <w:rsid w:val="006612E1"/>
    <w:rsid w:val="0066181B"/>
    <w:rsid w:val="00662BB6"/>
    <w:rsid w:val="006636D3"/>
    <w:rsid w:val="00663742"/>
    <w:rsid w:val="00663AD0"/>
    <w:rsid w:val="0066488C"/>
    <w:rsid w:val="00666F0A"/>
    <w:rsid w:val="006718D0"/>
    <w:rsid w:val="00676606"/>
    <w:rsid w:val="00682AAB"/>
    <w:rsid w:val="00683498"/>
    <w:rsid w:val="00683D34"/>
    <w:rsid w:val="00684C21"/>
    <w:rsid w:val="00687913"/>
    <w:rsid w:val="00692692"/>
    <w:rsid w:val="00697C41"/>
    <w:rsid w:val="006A2530"/>
    <w:rsid w:val="006A69ED"/>
    <w:rsid w:val="006A742A"/>
    <w:rsid w:val="006B0719"/>
    <w:rsid w:val="006B3FFD"/>
    <w:rsid w:val="006B42EA"/>
    <w:rsid w:val="006B48B3"/>
    <w:rsid w:val="006B6921"/>
    <w:rsid w:val="006B74BB"/>
    <w:rsid w:val="006C1D68"/>
    <w:rsid w:val="006C32B2"/>
    <w:rsid w:val="006C3589"/>
    <w:rsid w:val="006C78A2"/>
    <w:rsid w:val="006C7B8E"/>
    <w:rsid w:val="006D0E06"/>
    <w:rsid w:val="006D345C"/>
    <w:rsid w:val="006D37AF"/>
    <w:rsid w:val="006D51D0"/>
    <w:rsid w:val="006D5FB9"/>
    <w:rsid w:val="006D6303"/>
    <w:rsid w:val="006E0FEF"/>
    <w:rsid w:val="006E2068"/>
    <w:rsid w:val="006E564B"/>
    <w:rsid w:val="006E7191"/>
    <w:rsid w:val="006F4D5A"/>
    <w:rsid w:val="00702407"/>
    <w:rsid w:val="007034F9"/>
    <w:rsid w:val="00703577"/>
    <w:rsid w:val="00705894"/>
    <w:rsid w:val="00705B62"/>
    <w:rsid w:val="00706E9A"/>
    <w:rsid w:val="00710679"/>
    <w:rsid w:val="00712AA7"/>
    <w:rsid w:val="00712AB0"/>
    <w:rsid w:val="007168D4"/>
    <w:rsid w:val="00721027"/>
    <w:rsid w:val="00721213"/>
    <w:rsid w:val="007217C4"/>
    <w:rsid w:val="00724080"/>
    <w:rsid w:val="00725775"/>
    <w:rsid w:val="007258F6"/>
    <w:rsid w:val="00725CEA"/>
    <w:rsid w:val="0072632A"/>
    <w:rsid w:val="00727DE0"/>
    <w:rsid w:val="00732343"/>
    <w:rsid w:val="007327D5"/>
    <w:rsid w:val="007352A8"/>
    <w:rsid w:val="00736F82"/>
    <w:rsid w:val="0073719A"/>
    <w:rsid w:val="00742A4B"/>
    <w:rsid w:val="0074742B"/>
    <w:rsid w:val="0074787D"/>
    <w:rsid w:val="00752078"/>
    <w:rsid w:val="00757680"/>
    <w:rsid w:val="00760F8B"/>
    <w:rsid w:val="00762564"/>
    <w:rsid w:val="007629C8"/>
    <w:rsid w:val="00765608"/>
    <w:rsid w:val="00766488"/>
    <w:rsid w:val="00767C4D"/>
    <w:rsid w:val="0077047D"/>
    <w:rsid w:val="00772381"/>
    <w:rsid w:val="00775EFC"/>
    <w:rsid w:val="00777160"/>
    <w:rsid w:val="0078197F"/>
    <w:rsid w:val="00782A77"/>
    <w:rsid w:val="00785BAC"/>
    <w:rsid w:val="0079263D"/>
    <w:rsid w:val="00792B6C"/>
    <w:rsid w:val="00796796"/>
    <w:rsid w:val="007A1D75"/>
    <w:rsid w:val="007A24E7"/>
    <w:rsid w:val="007A4101"/>
    <w:rsid w:val="007A7144"/>
    <w:rsid w:val="007B514D"/>
    <w:rsid w:val="007B6BA5"/>
    <w:rsid w:val="007C3390"/>
    <w:rsid w:val="007C36C6"/>
    <w:rsid w:val="007C4F4B"/>
    <w:rsid w:val="007C5431"/>
    <w:rsid w:val="007C6052"/>
    <w:rsid w:val="007C73F8"/>
    <w:rsid w:val="007D22F7"/>
    <w:rsid w:val="007D3257"/>
    <w:rsid w:val="007E01E9"/>
    <w:rsid w:val="007E39FA"/>
    <w:rsid w:val="007E3BFF"/>
    <w:rsid w:val="007E63F3"/>
    <w:rsid w:val="007E7463"/>
    <w:rsid w:val="007F277A"/>
    <w:rsid w:val="007F4667"/>
    <w:rsid w:val="007F4B56"/>
    <w:rsid w:val="007F594C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1F60"/>
    <w:rsid w:val="00832334"/>
    <w:rsid w:val="00832D9C"/>
    <w:rsid w:val="00843767"/>
    <w:rsid w:val="00844847"/>
    <w:rsid w:val="00844993"/>
    <w:rsid w:val="00844CF8"/>
    <w:rsid w:val="0084592C"/>
    <w:rsid w:val="00850ABB"/>
    <w:rsid w:val="00852014"/>
    <w:rsid w:val="008524ED"/>
    <w:rsid w:val="00854198"/>
    <w:rsid w:val="0085601B"/>
    <w:rsid w:val="0085657D"/>
    <w:rsid w:val="00857508"/>
    <w:rsid w:val="00860602"/>
    <w:rsid w:val="00864D32"/>
    <w:rsid w:val="008679D9"/>
    <w:rsid w:val="0087248B"/>
    <w:rsid w:val="00872852"/>
    <w:rsid w:val="0087286F"/>
    <w:rsid w:val="00877812"/>
    <w:rsid w:val="0088008B"/>
    <w:rsid w:val="0088453A"/>
    <w:rsid w:val="008878DE"/>
    <w:rsid w:val="00890119"/>
    <w:rsid w:val="00894427"/>
    <w:rsid w:val="008964FB"/>
    <w:rsid w:val="0089757F"/>
    <w:rsid w:val="008979B1"/>
    <w:rsid w:val="008A160B"/>
    <w:rsid w:val="008A3332"/>
    <w:rsid w:val="008A46EA"/>
    <w:rsid w:val="008A49BF"/>
    <w:rsid w:val="008A521D"/>
    <w:rsid w:val="008A6B25"/>
    <w:rsid w:val="008A6C4F"/>
    <w:rsid w:val="008B116C"/>
    <w:rsid w:val="008B2335"/>
    <w:rsid w:val="008B4048"/>
    <w:rsid w:val="008B4DB9"/>
    <w:rsid w:val="008C4324"/>
    <w:rsid w:val="008C44CA"/>
    <w:rsid w:val="008C5303"/>
    <w:rsid w:val="008D4AF2"/>
    <w:rsid w:val="008D5FFC"/>
    <w:rsid w:val="008E0678"/>
    <w:rsid w:val="008E37EF"/>
    <w:rsid w:val="008E5747"/>
    <w:rsid w:val="008F2977"/>
    <w:rsid w:val="008F31D2"/>
    <w:rsid w:val="008F6B41"/>
    <w:rsid w:val="0090004C"/>
    <w:rsid w:val="009011F7"/>
    <w:rsid w:val="009121CF"/>
    <w:rsid w:val="009124A3"/>
    <w:rsid w:val="009223CA"/>
    <w:rsid w:val="00925735"/>
    <w:rsid w:val="009266B2"/>
    <w:rsid w:val="009375C2"/>
    <w:rsid w:val="00940F93"/>
    <w:rsid w:val="00941201"/>
    <w:rsid w:val="00942076"/>
    <w:rsid w:val="00942875"/>
    <w:rsid w:val="00943BE8"/>
    <w:rsid w:val="0094574A"/>
    <w:rsid w:val="00951B84"/>
    <w:rsid w:val="00965857"/>
    <w:rsid w:val="00966CFA"/>
    <w:rsid w:val="009716B1"/>
    <w:rsid w:val="00972A6E"/>
    <w:rsid w:val="009760F3"/>
    <w:rsid w:val="00976CFB"/>
    <w:rsid w:val="00981486"/>
    <w:rsid w:val="0098178D"/>
    <w:rsid w:val="0098189B"/>
    <w:rsid w:val="00982439"/>
    <w:rsid w:val="00990821"/>
    <w:rsid w:val="00996C06"/>
    <w:rsid w:val="009A0830"/>
    <w:rsid w:val="009A0E8D"/>
    <w:rsid w:val="009A269E"/>
    <w:rsid w:val="009A43A9"/>
    <w:rsid w:val="009B0920"/>
    <w:rsid w:val="009B1484"/>
    <w:rsid w:val="009B26E7"/>
    <w:rsid w:val="009B5632"/>
    <w:rsid w:val="009C0397"/>
    <w:rsid w:val="009C0F0F"/>
    <w:rsid w:val="009C1508"/>
    <w:rsid w:val="009C1705"/>
    <w:rsid w:val="009C615F"/>
    <w:rsid w:val="009D35AA"/>
    <w:rsid w:val="009D4F57"/>
    <w:rsid w:val="009E015B"/>
    <w:rsid w:val="009E224F"/>
    <w:rsid w:val="009E6172"/>
    <w:rsid w:val="009E6DCF"/>
    <w:rsid w:val="009F066D"/>
    <w:rsid w:val="009F4F42"/>
    <w:rsid w:val="009F6181"/>
    <w:rsid w:val="009F6480"/>
    <w:rsid w:val="009F7871"/>
    <w:rsid w:val="00A00697"/>
    <w:rsid w:val="00A00A3F"/>
    <w:rsid w:val="00A01489"/>
    <w:rsid w:val="00A0608C"/>
    <w:rsid w:val="00A07F53"/>
    <w:rsid w:val="00A11D27"/>
    <w:rsid w:val="00A16E1C"/>
    <w:rsid w:val="00A27E37"/>
    <w:rsid w:val="00A3026E"/>
    <w:rsid w:val="00A3134B"/>
    <w:rsid w:val="00A326C3"/>
    <w:rsid w:val="00A338F1"/>
    <w:rsid w:val="00A34E4B"/>
    <w:rsid w:val="00A35BE0"/>
    <w:rsid w:val="00A36D07"/>
    <w:rsid w:val="00A3703C"/>
    <w:rsid w:val="00A37AC9"/>
    <w:rsid w:val="00A41B65"/>
    <w:rsid w:val="00A41BA1"/>
    <w:rsid w:val="00A52B86"/>
    <w:rsid w:val="00A567BB"/>
    <w:rsid w:val="00A63559"/>
    <w:rsid w:val="00A65548"/>
    <w:rsid w:val="00A72F22"/>
    <w:rsid w:val="00A7360F"/>
    <w:rsid w:val="00A73B9F"/>
    <w:rsid w:val="00A748A6"/>
    <w:rsid w:val="00A75E32"/>
    <w:rsid w:val="00A769F4"/>
    <w:rsid w:val="00A77391"/>
    <w:rsid w:val="00A776B4"/>
    <w:rsid w:val="00A77FB8"/>
    <w:rsid w:val="00A82ADC"/>
    <w:rsid w:val="00A84DE8"/>
    <w:rsid w:val="00A869D9"/>
    <w:rsid w:val="00A94114"/>
    <w:rsid w:val="00A94361"/>
    <w:rsid w:val="00A94463"/>
    <w:rsid w:val="00A972F7"/>
    <w:rsid w:val="00AA105B"/>
    <w:rsid w:val="00AA293C"/>
    <w:rsid w:val="00AB1516"/>
    <w:rsid w:val="00AB1F65"/>
    <w:rsid w:val="00AB2DE5"/>
    <w:rsid w:val="00AC03B8"/>
    <w:rsid w:val="00AC3854"/>
    <w:rsid w:val="00AC4838"/>
    <w:rsid w:val="00AC772A"/>
    <w:rsid w:val="00AD1CC0"/>
    <w:rsid w:val="00AD351A"/>
    <w:rsid w:val="00AD78BE"/>
    <w:rsid w:val="00AE5115"/>
    <w:rsid w:val="00AF6E13"/>
    <w:rsid w:val="00B02445"/>
    <w:rsid w:val="00B041E2"/>
    <w:rsid w:val="00B04D4C"/>
    <w:rsid w:val="00B116A8"/>
    <w:rsid w:val="00B135D5"/>
    <w:rsid w:val="00B30179"/>
    <w:rsid w:val="00B337FD"/>
    <w:rsid w:val="00B421C1"/>
    <w:rsid w:val="00B45EA0"/>
    <w:rsid w:val="00B522C8"/>
    <w:rsid w:val="00B55C71"/>
    <w:rsid w:val="00B56E4A"/>
    <w:rsid w:val="00B56E9C"/>
    <w:rsid w:val="00B62F09"/>
    <w:rsid w:val="00B64B1F"/>
    <w:rsid w:val="00B65090"/>
    <w:rsid w:val="00B65508"/>
    <w:rsid w:val="00B6553F"/>
    <w:rsid w:val="00B678E9"/>
    <w:rsid w:val="00B7428C"/>
    <w:rsid w:val="00B770E0"/>
    <w:rsid w:val="00B77D05"/>
    <w:rsid w:val="00B8064E"/>
    <w:rsid w:val="00B81206"/>
    <w:rsid w:val="00B81E12"/>
    <w:rsid w:val="00B828DE"/>
    <w:rsid w:val="00B83786"/>
    <w:rsid w:val="00B84692"/>
    <w:rsid w:val="00B86C67"/>
    <w:rsid w:val="00B900AD"/>
    <w:rsid w:val="00B9477C"/>
    <w:rsid w:val="00B94957"/>
    <w:rsid w:val="00BA062A"/>
    <w:rsid w:val="00BA6D63"/>
    <w:rsid w:val="00BA7513"/>
    <w:rsid w:val="00BB1624"/>
    <w:rsid w:val="00BB6619"/>
    <w:rsid w:val="00BC04D4"/>
    <w:rsid w:val="00BC1485"/>
    <w:rsid w:val="00BC15E4"/>
    <w:rsid w:val="00BC2BA2"/>
    <w:rsid w:val="00BC3FA0"/>
    <w:rsid w:val="00BC74E9"/>
    <w:rsid w:val="00BD26E2"/>
    <w:rsid w:val="00BD3218"/>
    <w:rsid w:val="00BD745C"/>
    <w:rsid w:val="00BE379F"/>
    <w:rsid w:val="00BE3DF1"/>
    <w:rsid w:val="00BE3E20"/>
    <w:rsid w:val="00BE4504"/>
    <w:rsid w:val="00BF01F3"/>
    <w:rsid w:val="00BF0266"/>
    <w:rsid w:val="00BF68A8"/>
    <w:rsid w:val="00C01EC4"/>
    <w:rsid w:val="00C03F52"/>
    <w:rsid w:val="00C1016B"/>
    <w:rsid w:val="00C11A03"/>
    <w:rsid w:val="00C13948"/>
    <w:rsid w:val="00C152B9"/>
    <w:rsid w:val="00C15C0A"/>
    <w:rsid w:val="00C22C0C"/>
    <w:rsid w:val="00C238C1"/>
    <w:rsid w:val="00C26946"/>
    <w:rsid w:val="00C370D4"/>
    <w:rsid w:val="00C43DBE"/>
    <w:rsid w:val="00C4527F"/>
    <w:rsid w:val="00C463DD"/>
    <w:rsid w:val="00C4724C"/>
    <w:rsid w:val="00C53074"/>
    <w:rsid w:val="00C6049D"/>
    <w:rsid w:val="00C60CF9"/>
    <w:rsid w:val="00C629A0"/>
    <w:rsid w:val="00C630C5"/>
    <w:rsid w:val="00C64629"/>
    <w:rsid w:val="00C661CB"/>
    <w:rsid w:val="00C675E2"/>
    <w:rsid w:val="00C70455"/>
    <w:rsid w:val="00C70AC5"/>
    <w:rsid w:val="00C745C3"/>
    <w:rsid w:val="00C7560C"/>
    <w:rsid w:val="00C76480"/>
    <w:rsid w:val="00C76999"/>
    <w:rsid w:val="00C77217"/>
    <w:rsid w:val="00C80765"/>
    <w:rsid w:val="00C87FFC"/>
    <w:rsid w:val="00C94717"/>
    <w:rsid w:val="00C95511"/>
    <w:rsid w:val="00C95FEC"/>
    <w:rsid w:val="00C96113"/>
    <w:rsid w:val="00C96DF2"/>
    <w:rsid w:val="00CA0681"/>
    <w:rsid w:val="00CA5531"/>
    <w:rsid w:val="00CA64B5"/>
    <w:rsid w:val="00CB3C29"/>
    <w:rsid w:val="00CB3E03"/>
    <w:rsid w:val="00CB7DD8"/>
    <w:rsid w:val="00CC3982"/>
    <w:rsid w:val="00CC534B"/>
    <w:rsid w:val="00CD19D6"/>
    <w:rsid w:val="00CD419B"/>
    <w:rsid w:val="00CD4AA6"/>
    <w:rsid w:val="00CD4BB1"/>
    <w:rsid w:val="00CE11DE"/>
    <w:rsid w:val="00CE2D3D"/>
    <w:rsid w:val="00CE4A8F"/>
    <w:rsid w:val="00CF03B6"/>
    <w:rsid w:val="00CF727F"/>
    <w:rsid w:val="00D00E41"/>
    <w:rsid w:val="00D022F4"/>
    <w:rsid w:val="00D03F3E"/>
    <w:rsid w:val="00D04AC0"/>
    <w:rsid w:val="00D112CD"/>
    <w:rsid w:val="00D11F98"/>
    <w:rsid w:val="00D14CD6"/>
    <w:rsid w:val="00D151B5"/>
    <w:rsid w:val="00D15296"/>
    <w:rsid w:val="00D2031B"/>
    <w:rsid w:val="00D2113B"/>
    <w:rsid w:val="00D248B6"/>
    <w:rsid w:val="00D25CEE"/>
    <w:rsid w:val="00D25FE2"/>
    <w:rsid w:val="00D274FF"/>
    <w:rsid w:val="00D306BD"/>
    <w:rsid w:val="00D36D96"/>
    <w:rsid w:val="00D43252"/>
    <w:rsid w:val="00D43BB6"/>
    <w:rsid w:val="00D45BBD"/>
    <w:rsid w:val="00D47EEA"/>
    <w:rsid w:val="00D51D19"/>
    <w:rsid w:val="00D531EC"/>
    <w:rsid w:val="00D53BD6"/>
    <w:rsid w:val="00D540EC"/>
    <w:rsid w:val="00D55BAE"/>
    <w:rsid w:val="00D62D6B"/>
    <w:rsid w:val="00D64C5D"/>
    <w:rsid w:val="00D67D40"/>
    <w:rsid w:val="00D74FB0"/>
    <w:rsid w:val="00D75766"/>
    <w:rsid w:val="00D75F9D"/>
    <w:rsid w:val="00D773DF"/>
    <w:rsid w:val="00D777F1"/>
    <w:rsid w:val="00D866D2"/>
    <w:rsid w:val="00D87941"/>
    <w:rsid w:val="00D9240A"/>
    <w:rsid w:val="00D9475A"/>
    <w:rsid w:val="00D95303"/>
    <w:rsid w:val="00D95F4C"/>
    <w:rsid w:val="00D978C6"/>
    <w:rsid w:val="00DA3C1C"/>
    <w:rsid w:val="00DB2AD8"/>
    <w:rsid w:val="00DC0D47"/>
    <w:rsid w:val="00DC2454"/>
    <w:rsid w:val="00DC2534"/>
    <w:rsid w:val="00DC2F18"/>
    <w:rsid w:val="00DC3666"/>
    <w:rsid w:val="00DC5317"/>
    <w:rsid w:val="00DD113C"/>
    <w:rsid w:val="00DD2C2C"/>
    <w:rsid w:val="00DD7770"/>
    <w:rsid w:val="00DF7937"/>
    <w:rsid w:val="00E0021B"/>
    <w:rsid w:val="00E01957"/>
    <w:rsid w:val="00E03B60"/>
    <w:rsid w:val="00E03DAA"/>
    <w:rsid w:val="00E0467A"/>
    <w:rsid w:val="00E046DF"/>
    <w:rsid w:val="00E10502"/>
    <w:rsid w:val="00E10663"/>
    <w:rsid w:val="00E10D73"/>
    <w:rsid w:val="00E148C5"/>
    <w:rsid w:val="00E16E3D"/>
    <w:rsid w:val="00E17EEF"/>
    <w:rsid w:val="00E205A8"/>
    <w:rsid w:val="00E20775"/>
    <w:rsid w:val="00E21AC9"/>
    <w:rsid w:val="00E23EEF"/>
    <w:rsid w:val="00E24E17"/>
    <w:rsid w:val="00E27346"/>
    <w:rsid w:val="00E273D0"/>
    <w:rsid w:val="00E323E7"/>
    <w:rsid w:val="00E37570"/>
    <w:rsid w:val="00E4319A"/>
    <w:rsid w:val="00E5328E"/>
    <w:rsid w:val="00E54DEC"/>
    <w:rsid w:val="00E60A43"/>
    <w:rsid w:val="00E64E4C"/>
    <w:rsid w:val="00E659A4"/>
    <w:rsid w:val="00E71BC8"/>
    <w:rsid w:val="00E7260F"/>
    <w:rsid w:val="00E73F5D"/>
    <w:rsid w:val="00E75A16"/>
    <w:rsid w:val="00E75B13"/>
    <w:rsid w:val="00E75F3D"/>
    <w:rsid w:val="00E77BBC"/>
    <w:rsid w:val="00E77CD9"/>
    <w:rsid w:val="00E77E4E"/>
    <w:rsid w:val="00E8624D"/>
    <w:rsid w:val="00E870B1"/>
    <w:rsid w:val="00E96630"/>
    <w:rsid w:val="00EA0DC7"/>
    <w:rsid w:val="00EB2AFD"/>
    <w:rsid w:val="00EB3AFE"/>
    <w:rsid w:val="00EB60B7"/>
    <w:rsid w:val="00EB73FB"/>
    <w:rsid w:val="00EC4CC0"/>
    <w:rsid w:val="00EC6CC6"/>
    <w:rsid w:val="00ED345D"/>
    <w:rsid w:val="00ED38B0"/>
    <w:rsid w:val="00ED3B19"/>
    <w:rsid w:val="00ED6993"/>
    <w:rsid w:val="00ED70F5"/>
    <w:rsid w:val="00ED7A2A"/>
    <w:rsid w:val="00EE2261"/>
    <w:rsid w:val="00EF1D7F"/>
    <w:rsid w:val="00EF62B3"/>
    <w:rsid w:val="00F01FBE"/>
    <w:rsid w:val="00F02B6B"/>
    <w:rsid w:val="00F02BC3"/>
    <w:rsid w:val="00F108D2"/>
    <w:rsid w:val="00F10A4D"/>
    <w:rsid w:val="00F206C2"/>
    <w:rsid w:val="00F21483"/>
    <w:rsid w:val="00F24F0C"/>
    <w:rsid w:val="00F26DA8"/>
    <w:rsid w:val="00F3040C"/>
    <w:rsid w:val="00F31E5F"/>
    <w:rsid w:val="00F46A4A"/>
    <w:rsid w:val="00F51FBC"/>
    <w:rsid w:val="00F52438"/>
    <w:rsid w:val="00F52D37"/>
    <w:rsid w:val="00F55775"/>
    <w:rsid w:val="00F57820"/>
    <w:rsid w:val="00F6100A"/>
    <w:rsid w:val="00F61D19"/>
    <w:rsid w:val="00F72661"/>
    <w:rsid w:val="00F73BA0"/>
    <w:rsid w:val="00F77013"/>
    <w:rsid w:val="00F81690"/>
    <w:rsid w:val="00F93781"/>
    <w:rsid w:val="00F97624"/>
    <w:rsid w:val="00FA04ED"/>
    <w:rsid w:val="00FA0824"/>
    <w:rsid w:val="00FA19F3"/>
    <w:rsid w:val="00FA1BEC"/>
    <w:rsid w:val="00FA2EAF"/>
    <w:rsid w:val="00FA2EC4"/>
    <w:rsid w:val="00FA6BB7"/>
    <w:rsid w:val="00FB1239"/>
    <w:rsid w:val="00FB4A79"/>
    <w:rsid w:val="00FB613B"/>
    <w:rsid w:val="00FC0235"/>
    <w:rsid w:val="00FC2028"/>
    <w:rsid w:val="00FC68B7"/>
    <w:rsid w:val="00FC7FD2"/>
    <w:rsid w:val="00FD08C0"/>
    <w:rsid w:val="00FD1C37"/>
    <w:rsid w:val="00FD1D1E"/>
    <w:rsid w:val="00FD3F98"/>
    <w:rsid w:val="00FD5B3A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9CA93"/>
  <w15:docId w15:val="{938AA7AF-9163-442E-9016-7110C82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qFormat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  <w:style w:type="table" w:customStyle="1" w:styleId="Grilledutableau1">
    <w:name w:val="Grille du tableau1"/>
    <w:basedOn w:val="TableNormal"/>
    <w:next w:val="TableGrid"/>
    <w:rsid w:val="00CB3C29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B1624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C2766BF4-5591-47B9-913D-19DFFF2CC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ECE/TRANS/WP.15/AC.2/79/Add.1</vt:lpstr>
    </vt:vector>
  </TitlesOfParts>
  <Company>CSD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subject>2116474</dc:subject>
  <dc:creator>Una Philippa GILTSOFF</dc:creator>
  <cp:keywords/>
  <dc:description/>
  <cp:lastModifiedBy>Editorial</cp:lastModifiedBy>
  <cp:revision>23</cp:revision>
  <cp:lastPrinted>2022-12-01T11:34:00Z</cp:lastPrinted>
  <dcterms:created xsi:type="dcterms:W3CDTF">2022-12-12T11:09:00Z</dcterms:created>
  <dcterms:modified xsi:type="dcterms:W3CDTF">2022-12-12T11:22:00Z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