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692350" w14:paraId="03E8A3E3" w14:textId="77777777" w:rsidTr="00F01738">
        <w:trPr>
          <w:trHeight w:hRule="exact" w:val="851"/>
        </w:trPr>
        <w:tc>
          <w:tcPr>
            <w:tcW w:w="1276" w:type="dxa"/>
            <w:tcBorders>
              <w:bottom w:val="single" w:sz="4" w:space="0" w:color="auto"/>
            </w:tcBorders>
          </w:tcPr>
          <w:p w14:paraId="4022B317" w14:textId="77777777" w:rsidR="00132EA9" w:rsidRPr="00DB58B5" w:rsidRDefault="00132EA9" w:rsidP="00F01738"/>
        </w:tc>
        <w:tc>
          <w:tcPr>
            <w:tcW w:w="2268" w:type="dxa"/>
            <w:tcBorders>
              <w:bottom w:val="single" w:sz="4" w:space="0" w:color="auto"/>
            </w:tcBorders>
            <w:vAlign w:val="bottom"/>
          </w:tcPr>
          <w:p w14:paraId="0E3D56CB" w14:textId="77777777" w:rsidR="00132EA9" w:rsidRPr="00692350" w:rsidRDefault="00132EA9" w:rsidP="00F01738">
            <w:pPr>
              <w:spacing w:after="80" w:line="300" w:lineRule="exact"/>
              <w:rPr>
                <w:sz w:val="28"/>
              </w:rPr>
            </w:pPr>
            <w:r w:rsidRPr="00692350">
              <w:rPr>
                <w:sz w:val="28"/>
              </w:rPr>
              <w:t>Nations Unies</w:t>
            </w:r>
          </w:p>
        </w:tc>
        <w:tc>
          <w:tcPr>
            <w:tcW w:w="6095" w:type="dxa"/>
            <w:gridSpan w:val="2"/>
            <w:tcBorders>
              <w:bottom w:val="single" w:sz="4" w:space="0" w:color="auto"/>
            </w:tcBorders>
            <w:vAlign w:val="bottom"/>
          </w:tcPr>
          <w:p w14:paraId="623770A0" w14:textId="376DD12F" w:rsidR="00132EA9" w:rsidRPr="00692350" w:rsidRDefault="00D35A4A" w:rsidP="00D35A4A">
            <w:pPr>
              <w:jc w:val="right"/>
            </w:pPr>
            <w:r w:rsidRPr="00692350">
              <w:rPr>
                <w:sz w:val="40"/>
              </w:rPr>
              <w:t>ST</w:t>
            </w:r>
            <w:r w:rsidRPr="00692350">
              <w:t>/SG/AC.10/C.3/1</w:t>
            </w:r>
            <w:r w:rsidR="00551F81">
              <w:t>22</w:t>
            </w:r>
            <w:r w:rsidRPr="00692350">
              <w:t>/Add.1</w:t>
            </w:r>
          </w:p>
        </w:tc>
      </w:tr>
      <w:tr w:rsidR="00132EA9" w:rsidRPr="00692350" w14:paraId="5F51FAE8" w14:textId="77777777" w:rsidTr="00F01738">
        <w:trPr>
          <w:trHeight w:hRule="exact" w:val="2835"/>
        </w:trPr>
        <w:tc>
          <w:tcPr>
            <w:tcW w:w="1276" w:type="dxa"/>
            <w:tcBorders>
              <w:top w:val="single" w:sz="4" w:space="0" w:color="auto"/>
              <w:bottom w:val="single" w:sz="12" w:space="0" w:color="auto"/>
            </w:tcBorders>
          </w:tcPr>
          <w:p w14:paraId="0EE3F550" w14:textId="77777777" w:rsidR="00132EA9" w:rsidRPr="00692350" w:rsidRDefault="00132EA9" w:rsidP="00F01738">
            <w:pPr>
              <w:spacing w:before="120"/>
              <w:jc w:val="center"/>
            </w:pPr>
            <w:r w:rsidRPr="00692350">
              <w:rPr>
                <w:noProof/>
                <w:lang w:eastAsia="fr-CH"/>
              </w:rPr>
              <w:drawing>
                <wp:inline distT="0" distB="0" distL="0" distR="0" wp14:anchorId="718121F0" wp14:editId="01FFF8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46BA3B" w14:textId="77777777" w:rsidR="00132EA9" w:rsidRPr="00692350" w:rsidRDefault="00132EA9" w:rsidP="00F01738">
            <w:pPr>
              <w:spacing w:before="120" w:line="420" w:lineRule="exact"/>
              <w:rPr>
                <w:b/>
                <w:sz w:val="40"/>
                <w:szCs w:val="40"/>
              </w:rPr>
            </w:pPr>
            <w:r w:rsidRPr="00692350">
              <w:rPr>
                <w:b/>
                <w:sz w:val="40"/>
                <w:szCs w:val="40"/>
              </w:rPr>
              <w:t>Secrétariat</w:t>
            </w:r>
          </w:p>
        </w:tc>
        <w:tc>
          <w:tcPr>
            <w:tcW w:w="2835" w:type="dxa"/>
            <w:tcBorders>
              <w:top w:val="single" w:sz="4" w:space="0" w:color="auto"/>
              <w:bottom w:val="single" w:sz="12" w:space="0" w:color="auto"/>
            </w:tcBorders>
          </w:tcPr>
          <w:p w14:paraId="66633DCD" w14:textId="77777777" w:rsidR="00132EA9" w:rsidRPr="00692350" w:rsidRDefault="00D35A4A" w:rsidP="00D35A4A">
            <w:pPr>
              <w:spacing w:before="240" w:line="240" w:lineRule="exact"/>
            </w:pPr>
            <w:r w:rsidRPr="00692350">
              <w:t>Distr. générale</w:t>
            </w:r>
          </w:p>
          <w:p w14:paraId="0846CF8C" w14:textId="4374727D" w:rsidR="00D35A4A" w:rsidRPr="00692350" w:rsidRDefault="00551F81" w:rsidP="00D35A4A">
            <w:pPr>
              <w:spacing w:line="240" w:lineRule="exact"/>
            </w:pPr>
            <w:r>
              <w:t>2</w:t>
            </w:r>
            <w:r w:rsidR="007D43A5">
              <w:t>1</w:t>
            </w:r>
            <w:r w:rsidR="00140592">
              <w:t xml:space="preserve"> décembre 202</w:t>
            </w:r>
            <w:r>
              <w:t>2</w:t>
            </w:r>
          </w:p>
          <w:p w14:paraId="1F94DAD2" w14:textId="77777777" w:rsidR="00D35A4A" w:rsidRPr="00692350" w:rsidRDefault="0038761F" w:rsidP="00D35A4A">
            <w:pPr>
              <w:spacing w:line="240" w:lineRule="exact"/>
            </w:pPr>
            <w:r w:rsidRPr="00692350">
              <w:t>Français</w:t>
            </w:r>
          </w:p>
          <w:p w14:paraId="2C9B5D2B" w14:textId="77777777" w:rsidR="00D35A4A" w:rsidRPr="00692350" w:rsidRDefault="00D35A4A" w:rsidP="00D35A4A">
            <w:pPr>
              <w:spacing w:line="240" w:lineRule="exact"/>
            </w:pPr>
            <w:r w:rsidRPr="00692350">
              <w:t xml:space="preserve">Original : </w:t>
            </w:r>
            <w:r w:rsidR="0038761F" w:rsidRPr="00692350">
              <w:t xml:space="preserve">anglais et </w:t>
            </w:r>
            <w:r w:rsidRPr="00692350">
              <w:t>français</w:t>
            </w:r>
          </w:p>
        </w:tc>
      </w:tr>
    </w:tbl>
    <w:p w14:paraId="671390A3" w14:textId="77777777" w:rsidR="002D50BF" w:rsidRPr="00692350" w:rsidRDefault="002D50BF" w:rsidP="002D50BF">
      <w:pPr>
        <w:spacing w:before="120"/>
        <w:rPr>
          <w:b/>
          <w:sz w:val="24"/>
          <w:szCs w:val="24"/>
          <w:lang w:val="fr-FR"/>
        </w:rPr>
      </w:pPr>
      <w:r w:rsidRPr="00692350">
        <w:rPr>
          <w:b/>
          <w:sz w:val="24"/>
          <w:szCs w:val="24"/>
          <w:lang w:val="fr-FR"/>
        </w:rPr>
        <w:t>Comité d’experts du transport des marchandises dangereuses</w:t>
      </w:r>
      <w:r w:rsidRPr="00692350">
        <w:rPr>
          <w:b/>
          <w:sz w:val="24"/>
          <w:szCs w:val="24"/>
          <w:lang w:val="fr-FR"/>
        </w:rPr>
        <w:br/>
        <w:t>et du Système général harmonisé de classification</w:t>
      </w:r>
      <w:r w:rsidRPr="00692350">
        <w:rPr>
          <w:b/>
          <w:sz w:val="24"/>
          <w:szCs w:val="24"/>
          <w:lang w:val="fr-FR"/>
        </w:rPr>
        <w:br/>
        <w:t>et d’étiquetage des produits chimiques</w:t>
      </w:r>
    </w:p>
    <w:p w14:paraId="74A0AECE" w14:textId="77777777" w:rsidR="002D50BF" w:rsidRPr="00692350" w:rsidRDefault="002D50BF" w:rsidP="002D50BF">
      <w:pPr>
        <w:spacing w:before="120"/>
        <w:rPr>
          <w:b/>
          <w:lang w:val="fr-FR"/>
        </w:rPr>
      </w:pPr>
      <w:r w:rsidRPr="00692350">
        <w:rPr>
          <w:b/>
          <w:lang w:val="fr-FR"/>
        </w:rPr>
        <w:t>Sous-Comité d’experts du transport des marchandises dangereuses</w:t>
      </w:r>
    </w:p>
    <w:p w14:paraId="535EFCC3" w14:textId="04B1808E" w:rsidR="002D50BF" w:rsidRPr="00692350" w:rsidRDefault="002D50BF" w:rsidP="002D50BF">
      <w:pPr>
        <w:pStyle w:val="HChG"/>
        <w:rPr>
          <w:lang w:val="fr-FR"/>
        </w:rPr>
      </w:pPr>
      <w:r w:rsidRPr="00692350">
        <w:rPr>
          <w:lang w:val="fr-FR"/>
        </w:rPr>
        <w:tab/>
      </w:r>
      <w:r w:rsidRPr="00692350">
        <w:rPr>
          <w:lang w:val="fr-FR"/>
        </w:rPr>
        <w:tab/>
        <w:t xml:space="preserve">Rapport du Sous-Comité d’experts du transport </w:t>
      </w:r>
      <w:r w:rsidRPr="00692350">
        <w:rPr>
          <w:lang w:val="fr-FR"/>
        </w:rPr>
        <w:br/>
        <w:t xml:space="preserve">des marchandises dangereuses sur sa </w:t>
      </w:r>
      <w:r w:rsidRPr="00692350">
        <w:rPr>
          <w:lang w:val="fr-FR"/>
        </w:rPr>
        <w:br/>
      </w:r>
      <w:r w:rsidR="00B93CCC">
        <w:t>soixante et unième session</w:t>
      </w:r>
    </w:p>
    <w:p w14:paraId="7E139C47" w14:textId="0D3CBFEB" w:rsidR="002D50BF" w:rsidRPr="00692350" w:rsidRDefault="002D50BF" w:rsidP="002D50BF">
      <w:pPr>
        <w:pStyle w:val="H56G"/>
        <w:rPr>
          <w:lang w:val="fr-FR"/>
        </w:rPr>
      </w:pPr>
      <w:r w:rsidRPr="00692350">
        <w:rPr>
          <w:lang w:val="fr-FR"/>
        </w:rPr>
        <w:tab/>
      </w:r>
      <w:r w:rsidRPr="00692350">
        <w:rPr>
          <w:lang w:val="fr-FR"/>
        </w:rPr>
        <w:tab/>
        <w:t xml:space="preserve">tenue à </w:t>
      </w:r>
      <w:r w:rsidR="00C0684E" w:rsidRPr="00837B90">
        <w:t xml:space="preserve">Geneva </w:t>
      </w:r>
      <w:r w:rsidR="00C0684E">
        <w:t>du</w:t>
      </w:r>
      <w:r w:rsidR="00C0684E" w:rsidRPr="00837B90">
        <w:t xml:space="preserve"> </w:t>
      </w:r>
      <w:r w:rsidR="00C0684E">
        <w:t>28 novembre au 6 décembre 2022</w:t>
      </w:r>
    </w:p>
    <w:p w14:paraId="515F4F05" w14:textId="77777777" w:rsidR="002D50BF" w:rsidRPr="00692350" w:rsidRDefault="002D50BF" w:rsidP="002D50BF">
      <w:pPr>
        <w:pStyle w:val="H23G"/>
        <w:rPr>
          <w:sz w:val="24"/>
          <w:szCs w:val="24"/>
          <w:lang w:val="fr-FR"/>
        </w:rPr>
      </w:pPr>
      <w:r w:rsidRPr="00692350">
        <w:rPr>
          <w:sz w:val="24"/>
          <w:szCs w:val="24"/>
          <w:lang w:val="fr-FR"/>
        </w:rPr>
        <w:tab/>
      </w:r>
      <w:r w:rsidRPr="00692350">
        <w:rPr>
          <w:sz w:val="24"/>
          <w:szCs w:val="24"/>
          <w:lang w:val="fr-FR"/>
        </w:rPr>
        <w:tab/>
        <w:t>Additif</w:t>
      </w:r>
    </w:p>
    <w:p w14:paraId="50675D24" w14:textId="77777777" w:rsidR="002D50BF" w:rsidRPr="00692350" w:rsidRDefault="002D50BF" w:rsidP="002D50BF">
      <w:pPr>
        <w:spacing w:after="120"/>
        <w:rPr>
          <w:sz w:val="28"/>
          <w:lang w:val="fr-FR"/>
        </w:rPr>
      </w:pPr>
      <w:r w:rsidRPr="00692350">
        <w:rPr>
          <w:sz w:val="28"/>
          <w:lang w:val="fr-FR"/>
        </w:rPr>
        <w:t>Table des matières</w:t>
      </w:r>
    </w:p>
    <w:p w14:paraId="286CFE41" w14:textId="77777777" w:rsidR="002D50BF" w:rsidRPr="00692350" w:rsidRDefault="002D50BF" w:rsidP="002D50BF">
      <w:pPr>
        <w:tabs>
          <w:tab w:val="right" w:pos="9638"/>
        </w:tabs>
        <w:spacing w:after="120"/>
        <w:ind w:left="283"/>
        <w:rPr>
          <w:sz w:val="18"/>
          <w:lang w:val="fr-FR"/>
        </w:rPr>
      </w:pPr>
      <w:r w:rsidRPr="00692350">
        <w:rPr>
          <w:i/>
          <w:sz w:val="18"/>
          <w:lang w:val="fr-FR"/>
        </w:rPr>
        <w:tab/>
        <w:t>Page</w:t>
      </w:r>
    </w:p>
    <w:p w14:paraId="7862C4B9" w14:textId="77777777" w:rsidR="002D50BF" w:rsidRPr="00692350" w:rsidRDefault="002D50BF" w:rsidP="002D50BF">
      <w:pPr>
        <w:pStyle w:val="SingleTxtG"/>
        <w:spacing w:after="60"/>
        <w:ind w:left="0"/>
        <w:rPr>
          <w:sz w:val="24"/>
          <w:szCs w:val="24"/>
          <w:lang w:val="fr-FR"/>
        </w:rPr>
      </w:pPr>
      <w:r w:rsidRPr="00692350">
        <w:rPr>
          <w:sz w:val="24"/>
          <w:szCs w:val="24"/>
          <w:lang w:val="fr-FR"/>
        </w:rPr>
        <w:t>Annexes</w:t>
      </w:r>
    </w:p>
    <w:p w14:paraId="50D21BA4" w14:textId="6A4B42BC" w:rsidR="00FE22A1" w:rsidRDefault="003B2887" w:rsidP="004401DE">
      <w:pPr>
        <w:pStyle w:val="SingleTxtG"/>
        <w:numPr>
          <w:ilvl w:val="0"/>
          <w:numId w:val="18"/>
        </w:numPr>
        <w:tabs>
          <w:tab w:val="left" w:pos="1134"/>
          <w:tab w:val="left" w:leader="dot" w:pos="7655"/>
          <w:tab w:val="right" w:pos="8930"/>
          <w:tab w:val="left" w:pos="9356"/>
          <w:tab w:val="right" w:pos="9639"/>
        </w:tabs>
        <w:spacing w:before="120"/>
        <w:ind w:left="1134" w:right="282" w:hanging="567"/>
        <w:jc w:val="left"/>
        <w:rPr>
          <w:lang w:val="fr-FR"/>
        </w:rPr>
      </w:pPr>
      <w:r w:rsidRPr="003338FD">
        <w:rPr>
          <w:lang w:val="fr-FR"/>
        </w:rPr>
        <w:t xml:space="preserve">Projet d'amendements à la vingt-deuxième édition révisée des </w:t>
      </w:r>
      <w:r>
        <w:rPr>
          <w:lang w:val="fr-FR"/>
        </w:rPr>
        <w:br/>
      </w:r>
      <w:r w:rsidRPr="003338FD">
        <w:rPr>
          <w:lang w:val="fr-FR"/>
        </w:rPr>
        <w:t xml:space="preserve">Recommandations relatives au transport des marchandises dangereuses, </w:t>
      </w:r>
      <w:r>
        <w:rPr>
          <w:lang w:val="fr-FR"/>
        </w:rPr>
        <w:br/>
      </w:r>
      <w:r w:rsidRPr="003338FD">
        <w:rPr>
          <w:lang w:val="fr-FR"/>
        </w:rPr>
        <w:t>Règlement type (ST/SG/AC.10/1/Rev.22)</w:t>
      </w:r>
      <w:r w:rsidR="009F367F">
        <w:rPr>
          <w:rStyle w:val="FootnoteReference"/>
        </w:rPr>
        <w:footnoteReference w:id="2"/>
      </w:r>
      <w:r w:rsidR="00A76ACF">
        <w:rPr>
          <w:lang w:val="fr-FR"/>
        </w:rPr>
        <w:t xml:space="preserve"> </w:t>
      </w:r>
      <w:r w:rsidR="005D1617">
        <w:rPr>
          <w:lang w:val="fr-FR"/>
        </w:rPr>
        <w:t>………</w:t>
      </w:r>
      <w:r w:rsidR="00032FCC">
        <w:rPr>
          <w:lang w:val="fr-FR"/>
        </w:rPr>
        <w:t>…………………………………………….</w:t>
      </w:r>
      <w:r w:rsidR="00614255">
        <w:rPr>
          <w:lang w:val="fr-FR"/>
        </w:rPr>
        <w:tab/>
      </w:r>
      <w:r w:rsidR="00614255">
        <w:rPr>
          <w:lang w:val="fr-FR"/>
        </w:rPr>
        <w:tab/>
      </w:r>
      <w:r w:rsidR="00C85C63">
        <w:rPr>
          <w:lang w:val="fr-FR"/>
        </w:rPr>
        <w:t>2</w:t>
      </w:r>
    </w:p>
    <w:p w14:paraId="0021E77F" w14:textId="4DE7C2C7" w:rsidR="002D50BF" w:rsidRPr="00692350" w:rsidRDefault="003B2887" w:rsidP="004401DE">
      <w:pPr>
        <w:pStyle w:val="SingleTxtG"/>
        <w:numPr>
          <w:ilvl w:val="0"/>
          <w:numId w:val="18"/>
        </w:numPr>
        <w:tabs>
          <w:tab w:val="left" w:pos="1134"/>
          <w:tab w:val="left" w:leader="dot" w:pos="7655"/>
          <w:tab w:val="right" w:pos="8930"/>
          <w:tab w:val="left" w:pos="9356"/>
          <w:tab w:val="right" w:pos="9639"/>
        </w:tabs>
        <w:spacing w:before="120"/>
        <w:ind w:left="1134" w:right="282" w:hanging="567"/>
        <w:jc w:val="left"/>
        <w:rPr>
          <w:lang w:val="fr-FR"/>
        </w:rPr>
      </w:pPr>
      <w:r w:rsidRPr="003338FD">
        <w:rPr>
          <w:lang w:val="fr-FR"/>
        </w:rPr>
        <w:t xml:space="preserve">Projet d’amendements à la septième édition révisée du Manuel d’épreuves </w:t>
      </w:r>
      <w:r>
        <w:rPr>
          <w:lang w:val="fr-FR"/>
        </w:rPr>
        <w:br/>
      </w:r>
      <w:r w:rsidRPr="003338FD">
        <w:rPr>
          <w:lang w:val="fr-FR"/>
        </w:rPr>
        <w:t>et de critères (ST/SG/AC.10/11/Rev.7 et Amend.1)</w:t>
      </w:r>
      <w:r w:rsidR="00667963" w:rsidRPr="00667963">
        <w:rPr>
          <w:vertAlign w:val="superscript"/>
          <w:lang w:val="fr-FR"/>
        </w:rPr>
        <w:t>1</w:t>
      </w:r>
      <w:r w:rsidR="00A76ACF">
        <w:rPr>
          <w:lang w:val="fr-FR"/>
        </w:rPr>
        <w:t xml:space="preserve"> </w:t>
      </w:r>
      <w:r w:rsidR="005D1617">
        <w:rPr>
          <w:lang w:val="fr-FR"/>
        </w:rPr>
        <w:t>…………………………………………</w:t>
      </w:r>
      <w:r w:rsidR="00A76ACF">
        <w:rPr>
          <w:lang w:val="fr-FR"/>
        </w:rPr>
        <w:t>….</w:t>
      </w:r>
      <w:r w:rsidR="00E17B8C">
        <w:rPr>
          <w:lang w:val="fr-FR"/>
        </w:rPr>
        <w:tab/>
      </w:r>
      <w:r w:rsidR="00E17B8C">
        <w:rPr>
          <w:lang w:val="fr-FR"/>
        </w:rPr>
        <w:tab/>
      </w:r>
      <w:r w:rsidR="00D01B55">
        <w:rPr>
          <w:lang w:val="fr-FR"/>
        </w:rPr>
        <w:t>1</w:t>
      </w:r>
      <w:r w:rsidR="00165A8F">
        <w:rPr>
          <w:lang w:val="fr-FR"/>
        </w:rPr>
        <w:t>4</w:t>
      </w:r>
    </w:p>
    <w:p w14:paraId="0EF7E68A" w14:textId="0C3BCF96" w:rsidR="008E450D" w:rsidRPr="00692350" w:rsidRDefault="00165A8F" w:rsidP="004401DE">
      <w:pPr>
        <w:pStyle w:val="SingleTxtG"/>
        <w:numPr>
          <w:ilvl w:val="0"/>
          <w:numId w:val="18"/>
        </w:numPr>
        <w:tabs>
          <w:tab w:val="left" w:pos="1134"/>
          <w:tab w:val="right" w:pos="8930"/>
          <w:tab w:val="left" w:pos="9356"/>
          <w:tab w:val="right" w:pos="9639"/>
        </w:tabs>
        <w:spacing w:before="120"/>
        <w:ind w:left="1134" w:right="282" w:hanging="567"/>
        <w:jc w:val="left"/>
        <w:rPr>
          <w:lang w:val="fr-FR"/>
        </w:rPr>
      </w:pPr>
      <w:r w:rsidRPr="003338FD">
        <w:rPr>
          <w:lang w:val="fr-FR" w:eastAsia="en-US"/>
        </w:rPr>
        <w:t xml:space="preserve">Amendements aux principes directeurs à appliquer pour le </w:t>
      </w:r>
      <w:r>
        <w:rPr>
          <w:lang w:val="fr-FR" w:eastAsia="en-US"/>
        </w:rPr>
        <w:br/>
      </w:r>
      <w:r w:rsidRPr="003338FD">
        <w:rPr>
          <w:lang w:val="fr-FR" w:eastAsia="en-US"/>
        </w:rPr>
        <w:t xml:space="preserve">développement du </w:t>
      </w:r>
      <w:r w:rsidRPr="002F16CC">
        <w:t>Règlement</w:t>
      </w:r>
      <w:r w:rsidRPr="003338FD">
        <w:rPr>
          <w:lang w:val="fr-FR" w:eastAsia="en-US"/>
        </w:rPr>
        <w:t xml:space="preserve"> type</w:t>
      </w:r>
      <w:r>
        <w:rPr>
          <w:lang w:val="fr-FR" w:eastAsia="en-US"/>
        </w:rPr>
        <w:t xml:space="preserve"> </w:t>
      </w:r>
      <w:r w:rsidRPr="003338FD">
        <w:rPr>
          <w:lang w:val="fr-FR" w:eastAsia="en-US"/>
        </w:rPr>
        <w:t>[English only]</w:t>
      </w:r>
      <w:r w:rsidR="008E450D" w:rsidRPr="00667963">
        <w:rPr>
          <w:vertAlign w:val="superscript"/>
          <w:lang w:val="fr-FR"/>
        </w:rPr>
        <w:t>1</w:t>
      </w:r>
      <w:r w:rsidR="008E450D">
        <w:rPr>
          <w:lang w:val="fr-FR"/>
        </w:rPr>
        <w:t xml:space="preserve"> </w:t>
      </w:r>
      <w:r w:rsidR="00C0445E">
        <w:rPr>
          <w:lang w:val="fr-FR"/>
        </w:rPr>
        <w:t>…………………………………………</w:t>
      </w:r>
      <w:r w:rsidR="008E450D">
        <w:rPr>
          <w:lang w:val="fr-FR"/>
        </w:rPr>
        <w:t>…….</w:t>
      </w:r>
      <w:r w:rsidR="008E450D">
        <w:rPr>
          <w:lang w:val="fr-FR"/>
        </w:rPr>
        <w:tab/>
      </w:r>
      <w:r w:rsidR="008E450D">
        <w:rPr>
          <w:lang w:val="fr-FR"/>
        </w:rPr>
        <w:tab/>
      </w:r>
      <w:r>
        <w:rPr>
          <w:lang w:val="fr-FR"/>
        </w:rPr>
        <w:t>17</w:t>
      </w:r>
    </w:p>
    <w:p w14:paraId="6D4F3504" w14:textId="1E95F47C" w:rsidR="002D50BF" w:rsidRDefault="002D50BF">
      <w:pPr>
        <w:suppressAutoHyphens w:val="0"/>
        <w:kinsoku/>
        <w:overflowPunct/>
        <w:autoSpaceDE/>
        <w:autoSpaceDN/>
        <w:adjustRightInd/>
        <w:snapToGrid/>
        <w:spacing w:after="200" w:line="276" w:lineRule="auto"/>
        <w:rPr>
          <w:b/>
          <w:lang w:val="fr-FR"/>
        </w:rPr>
      </w:pPr>
      <w:r w:rsidRPr="00692350">
        <w:rPr>
          <w:b/>
          <w:lang w:val="fr-FR"/>
        </w:rPr>
        <w:br w:type="page"/>
      </w:r>
    </w:p>
    <w:p w14:paraId="6CBCB7C5" w14:textId="34E6D65B" w:rsidR="003B2887" w:rsidRPr="003338FD" w:rsidRDefault="003B2887" w:rsidP="003B2887">
      <w:pPr>
        <w:pStyle w:val="HChG"/>
        <w:rPr>
          <w:lang w:val="fr-FR"/>
        </w:rPr>
      </w:pPr>
      <w:r>
        <w:rPr>
          <w:lang w:val="fr-FR"/>
        </w:rPr>
        <w:lastRenderedPageBreak/>
        <w:tab/>
      </w:r>
      <w:r w:rsidRPr="003338FD">
        <w:rPr>
          <w:lang w:val="fr-FR"/>
        </w:rPr>
        <w:t>I.</w:t>
      </w:r>
      <w:r w:rsidRPr="003338FD">
        <w:rPr>
          <w:lang w:val="fr-FR"/>
        </w:rPr>
        <w:tab/>
        <w:t>Projet d'amendements à la vingt-deuxième édition révisée des Recommandations relatives au transport des marchandises dangereuses, Règlement type (ST/SG/AC.10/1/Rev.22)</w:t>
      </w:r>
    </w:p>
    <w:p w14:paraId="1EE3009F" w14:textId="30387398" w:rsidR="003B2887" w:rsidRPr="009021BD" w:rsidRDefault="003B2887" w:rsidP="003B2887">
      <w:pPr>
        <w:keepNext/>
        <w:keepLines/>
        <w:tabs>
          <w:tab w:val="right" w:pos="851"/>
        </w:tabs>
        <w:spacing w:before="360" w:after="240" w:line="270" w:lineRule="exact"/>
        <w:ind w:left="1134" w:right="1134" w:hanging="1134"/>
        <w:outlineLvl w:val="2"/>
        <w:rPr>
          <w:rFonts w:eastAsiaTheme="minorHAnsi"/>
          <w:b/>
          <w:sz w:val="24"/>
          <w:lang w:val="fr-FR" w:eastAsia="en-US"/>
        </w:rPr>
      </w:pPr>
      <w:r w:rsidRPr="009021BD">
        <w:rPr>
          <w:rFonts w:eastAsiaTheme="minorHAnsi"/>
          <w:b/>
          <w:sz w:val="24"/>
          <w:lang w:val="fr-FR" w:eastAsia="en-US"/>
        </w:rPr>
        <w:tab/>
      </w:r>
      <w:r w:rsidRPr="009021BD">
        <w:rPr>
          <w:rFonts w:eastAsiaTheme="minorHAnsi"/>
          <w:b/>
          <w:sz w:val="24"/>
          <w:lang w:val="fr-FR" w:eastAsia="en-US"/>
        </w:rPr>
        <w:tab/>
        <w:t xml:space="preserve">Chapitre </w:t>
      </w:r>
      <w:r>
        <w:rPr>
          <w:rFonts w:eastAsiaTheme="minorHAnsi"/>
          <w:b/>
          <w:sz w:val="24"/>
          <w:lang w:val="fr-FR" w:eastAsia="en-US"/>
        </w:rPr>
        <w:t>1.2</w:t>
      </w:r>
    </w:p>
    <w:p w14:paraId="059B9793" w14:textId="77777777" w:rsidR="003B2887" w:rsidRPr="00A1119E" w:rsidRDefault="003B2887" w:rsidP="003B2887">
      <w:pPr>
        <w:tabs>
          <w:tab w:val="left" w:pos="1701"/>
          <w:tab w:val="left" w:pos="2268"/>
          <w:tab w:val="left" w:pos="2835"/>
        </w:tabs>
        <w:spacing w:after="120"/>
        <w:ind w:left="1134" w:right="1134"/>
        <w:jc w:val="both"/>
        <w:rPr>
          <w:iCs/>
        </w:rPr>
      </w:pPr>
      <w:r>
        <w:rPr>
          <w:iCs/>
        </w:rPr>
        <w:t>1.2.1</w:t>
      </w:r>
      <w:r>
        <w:rPr>
          <w:iCs/>
        </w:rPr>
        <w:tab/>
      </w:r>
      <w:r>
        <w:rPr>
          <w:iCs/>
        </w:rPr>
        <w:tab/>
        <w:t xml:space="preserve">Modifier la définition de </w:t>
      </w:r>
      <w:r w:rsidRPr="00042993">
        <w:rPr>
          <w:i/>
        </w:rPr>
        <w:t>Matières plastiques recyclées</w:t>
      </w:r>
      <w:r>
        <w:rPr>
          <w:i/>
        </w:rPr>
        <w:t xml:space="preserve"> </w:t>
      </w:r>
      <w:r>
        <w:rPr>
          <w:iCs/>
        </w:rPr>
        <w:t>pour lire comme suit :</w:t>
      </w:r>
    </w:p>
    <w:p w14:paraId="3D12A4A4" w14:textId="77777777" w:rsidR="003B2887" w:rsidRDefault="003B2887" w:rsidP="003B2887">
      <w:pPr>
        <w:tabs>
          <w:tab w:val="left" w:pos="1701"/>
          <w:tab w:val="left" w:pos="2268"/>
          <w:tab w:val="left" w:pos="2835"/>
        </w:tabs>
        <w:spacing w:after="120"/>
        <w:ind w:left="1134" w:right="1134"/>
        <w:jc w:val="both"/>
      </w:pPr>
      <w:r w:rsidRPr="00A1119E">
        <w:rPr>
          <w:iCs/>
        </w:rPr>
        <w:t>«</w:t>
      </w:r>
      <w:r>
        <w:rPr>
          <w:i/>
        </w:rPr>
        <w:t> </w:t>
      </w:r>
      <w:r w:rsidRPr="00042993">
        <w:rPr>
          <w:i/>
        </w:rPr>
        <w:t>Matières plastiques recyclées</w:t>
      </w:r>
      <w:r w:rsidRPr="00042993">
        <w:t xml:space="preserve">, des matières récupérées à partir d'emballages industriels usagés </w:t>
      </w:r>
      <w:r>
        <w:t xml:space="preserve">ou d’autres matières plastiques </w:t>
      </w:r>
      <w:r w:rsidRPr="00042993">
        <w:t xml:space="preserve">qui ont été </w:t>
      </w:r>
      <w:r>
        <w:t>préalablement triés</w:t>
      </w:r>
      <w:r w:rsidRPr="00042993">
        <w:t xml:space="preserve"> et préparés pour être transformés en emballages neufs</w:t>
      </w:r>
      <w:r>
        <w:t>, y compris en GRV</w:t>
      </w:r>
      <w:r w:rsidRPr="00042993">
        <w:t>. Les propriétés spécifiques du matériau recyclé utilisé pour fabriquer des emballages neufs</w:t>
      </w:r>
      <w:r>
        <w:t>, y compris des GRV,</w:t>
      </w:r>
      <w:r w:rsidRPr="00042993">
        <w:t xml:space="preserve"> doivent être garanties et attestées régulièrement dans le cadre d'un programme d'assurance qualité reconnu par l'autorité compétente. Ce programme doit inclure un compte rendu du tri préalable effectué et la vérification que tous les lots de matières plastiques recyclées</w:t>
      </w:r>
      <w:r>
        <w:t>, de composition homogène,</w:t>
      </w:r>
      <w:r w:rsidRPr="00042993">
        <w:t xml:space="preserve"> </w:t>
      </w:r>
      <w:r>
        <w:t xml:space="preserve">sont </w:t>
      </w:r>
      <w:r w:rsidRPr="00B52D8D">
        <w:t>conforme</w:t>
      </w:r>
      <w:r>
        <w:t>s</w:t>
      </w:r>
      <w:r w:rsidRPr="00B52D8D">
        <w:t xml:space="preserve"> aux spécifications du matériau (indice de fluidité, densité et propriété de traction)</w:t>
      </w:r>
      <w:r>
        <w:t xml:space="preserve"> </w:t>
      </w:r>
      <w:r w:rsidRPr="00042993">
        <w:t>du modèle type fabriqué à partir d'un tel matériau recyclé. Les informations d'assurance qualité incluent obligatoirement des informations sur </w:t>
      </w:r>
      <w:r>
        <w:t>les matières plastiques</w:t>
      </w:r>
      <w:r w:rsidRPr="00042993">
        <w:t xml:space="preserve"> dont provien</w:t>
      </w:r>
      <w:r>
        <w:t>nen</w:t>
      </w:r>
      <w:r w:rsidRPr="00042993">
        <w:t>t l</w:t>
      </w:r>
      <w:r>
        <w:t>es</w:t>
      </w:r>
      <w:r w:rsidRPr="00042993">
        <w:t xml:space="preserve"> matière</w:t>
      </w:r>
      <w:r>
        <w:t>s</w:t>
      </w:r>
      <w:r w:rsidRPr="00042993">
        <w:t xml:space="preserve"> plastique</w:t>
      </w:r>
      <w:r>
        <w:t>s</w:t>
      </w:r>
      <w:r w:rsidRPr="00042993">
        <w:t xml:space="preserve"> recyclée</w:t>
      </w:r>
      <w:r>
        <w:t>s</w:t>
      </w:r>
      <w:r w:rsidRPr="00042993">
        <w:t xml:space="preserve">, ainsi que </w:t>
      </w:r>
      <w:r>
        <w:t>la</w:t>
      </w:r>
      <w:r w:rsidRPr="00042993">
        <w:t xml:space="preserve"> </w:t>
      </w:r>
      <w:r w:rsidRPr="005A0F50">
        <w:t xml:space="preserve">connaissance de l'utilisation antérieure, y compris du contenu antérieur, </w:t>
      </w:r>
      <w:r>
        <w:t>des matières plastiques</w:t>
      </w:r>
      <w:r w:rsidRPr="005A0F50">
        <w:t xml:space="preserve"> si cette utilisation antérieure est susceptible de réduire la capacité des nouveaux emballages, y compris les GRV, produits à l'aide de ce</w:t>
      </w:r>
      <w:r>
        <w:t>s</w:t>
      </w:r>
      <w:r w:rsidRPr="005A0F50">
        <w:t xml:space="preserve"> matière</w:t>
      </w:r>
      <w:r>
        <w:t>s</w:t>
      </w:r>
      <w:r w:rsidRPr="00042993">
        <w:t>. En outre, le programme d'assurance qualité appliqué par le fabricant d'emballage</w:t>
      </w:r>
      <w:r>
        <w:t xml:space="preserve"> ou de GRV, </w:t>
      </w:r>
      <w:r w:rsidRPr="00042993">
        <w:t>conformément au 6.1.1.4</w:t>
      </w:r>
      <w:r>
        <w:t xml:space="preserve"> ou 6.5.4.1,</w:t>
      </w:r>
      <w:r w:rsidRPr="00042993">
        <w:t xml:space="preserve"> doit comprendre l'exécution des épreuves mécaniques </w:t>
      </w:r>
      <w:r>
        <w:t xml:space="preserve">appropriées </w:t>
      </w:r>
      <w:r w:rsidRPr="00042993">
        <w:t>du 6.1.5</w:t>
      </w:r>
      <w:r>
        <w:t xml:space="preserve"> ou du 6.5.6</w:t>
      </w:r>
      <w:r w:rsidRPr="00042993">
        <w:t xml:space="preserve"> sur modèle type des emballages </w:t>
      </w:r>
      <w:r>
        <w:t xml:space="preserve">ou GRV </w:t>
      </w:r>
      <w:r w:rsidRPr="00042993">
        <w:t>fabriqués à partir de chaque lot de matières plastiques recyclées. Dans ces épreuves, la résistance au gerbage peut être vérifiée par une épreuve appropriée de compression dynamique, au lieu d'une épreuve statique de charge appliquée à la face supérieure de l'emballage ;</w:t>
      </w:r>
      <w:r>
        <w:t> »</w:t>
      </w:r>
    </w:p>
    <w:p w14:paraId="0F42F0F0" w14:textId="77777777" w:rsidR="003B2887" w:rsidRPr="00042993" w:rsidRDefault="003B2887" w:rsidP="003B2887">
      <w:pPr>
        <w:tabs>
          <w:tab w:val="left" w:pos="1701"/>
          <w:tab w:val="left" w:pos="2268"/>
          <w:tab w:val="left" w:pos="2835"/>
        </w:tabs>
        <w:spacing w:after="120"/>
        <w:ind w:left="2268" w:right="1134" w:hanging="1134"/>
        <w:jc w:val="both"/>
      </w:pPr>
      <w:r>
        <w:tab/>
      </w:r>
      <w:r>
        <w:tab/>
        <w:t>Dans le Nota sous cette définition, dans la première phrase, remplacer « procédures à suivre » par « procédures pouvant être suivies ».</w:t>
      </w:r>
    </w:p>
    <w:p w14:paraId="1621D3FF" w14:textId="77777777" w:rsidR="003B2887" w:rsidRPr="00391D0D" w:rsidRDefault="003B2887" w:rsidP="003B2887">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 xml:space="preserve">(Document de référence : </w:t>
      </w:r>
      <w:r>
        <w:rPr>
          <w:rFonts w:eastAsiaTheme="minorHAnsi"/>
          <w:i/>
          <w:iCs/>
          <w:lang w:val="fr-FR" w:eastAsia="en-US"/>
        </w:rPr>
        <w:t>document informel INF.57</w:t>
      </w:r>
      <w:r w:rsidRPr="00304358">
        <w:rPr>
          <w:rFonts w:eastAsiaTheme="minorHAnsi"/>
          <w:i/>
          <w:iCs/>
          <w:lang w:val="fr-FR" w:eastAsia="en-US"/>
        </w:rPr>
        <w:t>)</w:t>
      </w:r>
    </w:p>
    <w:p w14:paraId="2ACEA8F1" w14:textId="77777777" w:rsidR="003B2887" w:rsidRPr="003338FD" w:rsidRDefault="003B2887" w:rsidP="003B2887">
      <w:pPr>
        <w:pStyle w:val="H1G"/>
        <w:rPr>
          <w:lang w:val="fr-FR" w:eastAsia="en-US"/>
        </w:rPr>
      </w:pPr>
      <w:r w:rsidRPr="003338FD">
        <w:rPr>
          <w:lang w:val="fr-FR" w:eastAsia="en-US"/>
        </w:rPr>
        <w:tab/>
      </w:r>
      <w:r w:rsidRPr="003338FD">
        <w:rPr>
          <w:lang w:val="fr-FR" w:eastAsia="en-US"/>
        </w:rPr>
        <w:tab/>
        <w:t>Chapitre 2.1</w:t>
      </w:r>
    </w:p>
    <w:p w14:paraId="5533EE15" w14:textId="77777777" w:rsidR="003B2887" w:rsidRPr="003338FD" w:rsidRDefault="003B2887" w:rsidP="003B2887">
      <w:pPr>
        <w:kinsoku/>
        <w:overflowPunct/>
        <w:autoSpaceDE/>
        <w:autoSpaceDN/>
        <w:adjustRightInd/>
        <w:snapToGrid/>
        <w:spacing w:after="120"/>
        <w:ind w:left="2268" w:right="1134" w:hanging="1134"/>
        <w:jc w:val="both"/>
        <w:rPr>
          <w:lang w:val="fr-FR" w:eastAsia="en-US"/>
        </w:rPr>
      </w:pPr>
      <w:r w:rsidRPr="003338FD">
        <w:rPr>
          <w:lang w:val="fr-FR" w:eastAsia="en-US"/>
        </w:rPr>
        <w:t>2.1.1.3</w:t>
      </w:r>
      <w:r w:rsidRPr="003338FD">
        <w:rPr>
          <w:lang w:val="fr-FR" w:eastAsia="en-US"/>
        </w:rPr>
        <w:tab/>
        <w:t>À l’alinéa b), au début, remplacer « une matière (ou un mélange de matières) » par « une matière explosible ».</w:t>
      </w:r>
    </w:p>
    <w:p w14:paraId="44416EE0" w14:textId="77777777" w:rsidR="003B2887" w:rsidRPr="003338FD" w:rsidRDefault="003B2887" w:rsidP="003B2887">
      <w:pPr>
        <w:kinsoku/>
        <w:overflowPunct/>
        <w:autoSpaceDE/>
        <w:autoSpaceDN/>
        <w:adjustRightInd/>
        <w:snapToGrid/>
        <w:spacing w:after="120"/>
        <w:ind w:left="2268" w:right="1134" w:hanging="1134"/>
        <w:jc w:val="both"/>
        <w:rPr>
          <w:lang w:val="fr-FR" w:eastAsia="en-US"/>
        </w:rPr>
      </w:pPr>
      <w:r w:rsidRPr="003338FD">
        <w:rPr>
          <w:lang w:val="fr-FR" w:eastAsia="en-US"/>
        </w:rPr>
        <w:tab/>
        <w:t>Ajouter un nouvel alinéa e) pour lire :</w:t>
      </w:r>
    </w:p>
    <w:p w14:paraId="1D4759A6" w14:textId="77777777" w:rsidR="003B2887" w:rsidRPr="003338FD" w:rsidRDefault="003B2887" w:rsidP="003B2887">
      <w:pPr>
        <w:tabs>
          <w:tab w:val="left" w:pos="1701"/>
          <w:tab w:val="left" w:pos="2268"/>
          <w:tab w:val="left" w:pos="2835"/>
        </w:tabs>
        <w:spacing w:after="120"/>
        <w:ind w:left="1134" w:right="1134"/>
        <w:jc w:val="both"/>
        <w:rPr>
          <w:rFonts w:eastAsiaTheme="minorHAnsi"/>
          <w:lang w:val="fr-FR" w:eastAsia="en-US"/>
        </w:rPr>
      </w:pPr>
      <w:r w:rsidRPr="003338FD">
        <w:rPr>
          <w:rFonts w:eastAsiaTheme="minorHAnsi"/>
          <w:lang w:val="fr-FR" w:eastAsia="en-US"/>
        </w:rPr>
        <w:t>« e)</w:t>
      </w:r>
      <w:r w:rsidRPr="003338FD">
        <w:rPr>
          <w:rFonts w:eastAsiaTheme="minorHAnsi"/>
          <w:lang w:val="fr-FR" w:eastAsia="en-US"/>
        </w:rPr>
        <w:tab/>
      </w:r>
      <w:r w:rsidRPr="003338FD">
        <w:rPr>
          <w:rFonts w:eastAsiaTheme="minorHAnsi"/>
          <w:i/>
          <w:iCs/>
          <w:lang w:val="fr-FR" w:eastAsia="en-US"/>
        </w:rPr>
        <w:t>Effet par explosion ou effet pyrotechnique</w:t>
      </w:r>
      <w:r w:rsidRPr="003338FD">
        <w:rPr>
          <w:rFonts w:eastAsiaTheme="minorHAnsi"/>
          <w:lang w:val="fr-FR" w:eastAsia="en-US"/>
        </w:rPr>
        <w:t xml:space="preserve"> au sens du 2.1.1.1 c) : un effet produit par des réactions chimiques exothermiques auto-entretenues, y compris un effet de choc, de souffle, de fragmentation ou de projection ou un effet calorifique, lumineux, sonore, gazeux ou fumigène. »</w:t>
      </w:r>
    </w:p>
    <w:p w14:paraId="5546F9B7"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ST/SG/AC.10/C.3/2022/47)</w:t>
      </w:r>
    </w:p>
    <w:p w14:paraId="1EE6B51A" w14:textId="77777777" w:rsidR="003B2887" w:rsidRPr="003338FD" w:rsidRDefault="003B2887" w:rsidP="003B2887">
      <w:pPr>
        <w:pStyle w:val="H1G"/>
        <w:rPr>
          <w:lang w:val="fr-FR" w:eastAsia="en-US"/>
        </w:rPr>
      </w:pPr>
      <w:r w:rsidRPr="003338FD">
        <w:rPr>
          <w:lang w:val="fr-FR" w:eastAsia="en-US"/>
        </w:rPr>
        <w:tab/>
      </w:r>
      <w:r w:rsidRPr="003338FD">
        <w:rPr>
          <w:lang w:val="fr-FR" w:eastAsia="en-US"/>
        </w:rPr>
        <w:tab/>
        <w:t>Chapitre 2.</w:t>
      </w:r>
      <w:r>
        <w:rPr>
          <w:lang w:val="fr-FR" w:eastAsia="en-US"/>
        </w:rPr>
        <w:t>4</w:t>
      </w:r>
    </w:p>
    <w:p w14:paraId="13BE7533" w14:textId="77777777" w:rsidR="003B2887" w:rsidRDefault="003B2887" w:rsidP="003B2887">
      <w:pPr>
        <w:pStyle w:val="SingleTxtG"/>
        <w:tabs>
          <w:tab w:val="left" w:pos="2268"/>
        </w:tabs>
        <w:ind w:left="2268" w:hanging="1134"/>
        <w:rPr>
          <w:lang w:val="fr-FR"/>
        </w:rPr>
      </w:pPr>
      <w:r w:rsidRPr="00FB4F43">
        <w:rPr>
          <w:lang w:val="fr-FR"/>
        </w:rPr>
        <w:t>2.4.2.2.1</w:t>
      </w:r>
      <w:r w:rsidRPr="00FB4F43">
        <w:rPr>
          <w:lang w:val="fr-FR"/>
        </w:rPr>
        <w:tab/>
        <w:t>Ajouter le nouveau 2.4.2.2.1.3 suivant :</w:t>
      </w:r>
    </w:p>
    <w:p w14:paraId="0CA2D556" w14:textId="77777777" w:rsidR="003B2887" w:rsidRDefault="003B2887" w:rsidP="003B2887">
      <w:pPr>
        <w:pStyle w:val="SingleTxtG"/>
        <w:tabs>
          <w:tab w:val="left" w:pos="2268"/>
        </w:tabs>
        <w:ind w:left="2268" w:hanging="1134"/>
        <w:rPr>
          <w:lang w:val="fr-FR"/>
        </w:rPr>
      </w:pPr>
      <w:r>
        <w:rPr>
          <w:lang w:val="fr-FR"/>
        </w:rPr>
        <w:t>« 2.4.2.2.1.3</w:t>
      </w:r>
      <w:r>
        <w:rPr>
          <w:lang w:val="fr-FR"/>
        </w:rPr>
        <w:tab/>
        <w:t xml:space="preserve">Les </w:t>
      </w:r>
      <w:r w:rsidRPr="000B6B99">
        <w:rPr>
          <w:i/>
          <w:iCs/>
          <w:lang w:val="fr-FR"/>
        </w:rPr>
        <w:t>poudres métalliques</w:t>
      </w:r>
      <w:r>
        <w:rPr>
          <w:lang w:val="fr-FR"/>
        </w:rPr>
        <w:t xml:space="preserve"> sont des </w:t>
      </w:r>
      <w:r w:rsidRPr="00E661EC">
        <w:rPr>
          <w:lang w:val="fr-FR"/>
        </w:rPr>
        <w:t>poudres de métaux ou d'alliages métalliques.</w:t>
      </w:r>
      <w:r>
        <w:rPr>
          <w:lang w:val="fr-FR"/>
        </w:rPr>
        <w:t> »</w:t>
      </w:r>
    </w:p>
    <w:p w14:paraId="5DDEF35F" w14:textId="77777777" w:rsidR="003B2887" w:rsidRPr="00870A4B" w:rsidRDefault="003B2887" w:rsidP="003B2887">
      <w:pPr>
        <w:kinsoku/>
        <w:overflowPunct/>
        <w:autoSpaceDE/>
        <w:adjustRightInd/>
        <w:snapToGrid/>
        <w:spacing w:after="120"/>
        <w:ind w:left="1134" w:right="1134"/>
        <w:jc w:val="both"/>
        <w:rPr>
          <w:i/>
          <w:iCs/>
          <w:lang w:val="fr-FR" w:eastAsia="en-US"/>
        </w:rPr>
      </w:pPr>
      <w:r w:rsidRPr="00870A4B">
        <w:rPr>
          <w:i/>
          <w:iCs/>
          <w:lang w:val="fr-FR" w:eastAsia="en-US"/>
        </w:rPr>
        <w:t>(Document de référence : document informel INF.44</w:t>
      </w:r>
      <w:r>
        <w:rPr>
          <w:i/>
          <w:iCs/>
          <w:lang w:val="fr-FR" w:eastAsia="en-US"/>
        </w:rPr>
        <w:t xml:space="preserve">, </w:t>
      </w:r>
      <w:r w:rsidRPr="00FB4F43">
        <w:rPr>
          <w:i/>
          <w:iCs/>
          <w:lang w:val="fr-FR" w:eastAsia="en-US"/>
        </w:rPr>
        <w:t>avec une modification éditoriale</w:t>
      </w:r>
      <w:r w:rsidRPr="00870A4B">
        <w:rPr>
          <w:i/>
          <w:iCs/>
          <w:lang w:val="fr-FR" w:eastAsia="en-US"/>
        </w:rPr>
        <w:t>)</w:t>
      </w:r>
    </w:p>
    <w:p w14:paraId="4D2B6704" w14:textId="77777777" w:rsidR="003B2887" w:rsidRDefault="003B2887" w:rsidP="003B2887">
      <w:pPr>
        <w:pStyle w:val="SingleTxtG"/>
        <w:tabs>
          <w:tab w:val="left" w:pos="2268"/>
        </w:tabs>
        <w:ind w:left="2268" w:hanging="1134"/>
        <w:rPr>
          <w:lang w:val="fr-FR"/>
        </w:rPr>
      </w:pPr>
      <w:r w:rsidRPr="00782499">
        <w:rPr>
          <w:lang w:val="fr-FR"/>
        </w:rPr>
        <w:t>2.4.2.2.2.1</w:t>
      </w:r>
      <w:r>
        <w:rPr>
          <w:lang w:val="fr-FR"/>
        </w:rPr>
        <w:tab/>
        <w:t xml:space="preserve">Dans la deuxième phrase, </w:t>
      </w:r>
      <w:r w:rsidRPr="0001101A">
        <w:rPr>
          <w:lang w:val="fr-FR"/>
        </w:rPr>
        <w:t>remplacer « Les poudres de métaux ou d'alliages métalliques » par « Les poudres métalliques ».</w:t>
      </w:r>
    </w:p>
    <w:p w14:paraId="151BE6B0" w14:textId="77777777" w:rsidR="003B2887" w:rsidRPr="00870A4B" w:rsidRDefault="003B2887" w:rsidP="003B2887">
      <w:pPr>
        <w:kinsoku/>
        <w:overflowPunct/>
        <w:autoSpaceDE/>
        <w:adjustRightInd/>
        <w:snapToGrid/>
        <w:spacing w:after="120"/>
        <w:ind w:left="1134" w:right="1134"/>
        <w:jc w:val="both"/>
        <w:rPr>
          <w:i/>
          <w:iCs/>
          <w:lang w:val="fr-FR" w:eastAsia="en-US"/>
        </w:rPr>
      </w:pPr>
      <w:r w:rsidRPr="00870A4B">
        <w:rPr>
          <w:i/>
          <w:iCs/>
          <w:lang w:val="fr-FR" w:eastAsia="en-US"/>
        </w:rPr>
        <w:t>(Document de référence : document informel INF.44)</w:t>
      </w:r>
    </w:p>
    <w:p w14:paraId="6A6DA66E" w14:textId="77777777" w:rsidR="003B2887" w:rsidRPr="00B16C67" w:rsidRDefault="003B2887" w:rsidP="003B2887">
      <w:pPr>
        <w:pStyle w:val="SingleTxtG"/>
        <w:tabs>
          <w:tab w:val="left" w:pos="2268"/>
        </w:tabs>
        <w:ind w:left="2268" w:hanging="1134"/>
        <w:rPr>
          <w:b/>
          <w:bCs/>
          <w:lang w:val="fr-FR"/>
        </w:rPr>
      </w:pPr>
      <w:r w:rsidRPr="00B61713">
        <w:rPr>
          <w:lang w:val="fr-FR"/>
        </w:rPr>
        <w:t>2.4.2.2.3.1</w:t>
      </w:r>
      <w:r>
        <w:rPr>
          <w:lang w:val="fr-FR"/>
        </w:rPr>
        <w:tab/>
        <w:t>Dans la troisième phrase, remplacer « </w:t>
      </w:r>
      <w:r w:rsidRPr="00B16C67">
        <w:rPr>
          <w:lang w:val="fr-FR"/>
        </w:rPr>
        <w:t>Les poudres de métaux ou les poudres d'alliages de métaux</w:t>
      </w:r>
      <w:r>
        <w:rPr>
          <w:lang w:val="fr-FR"/>
        </w:rPr>
        <w:t xml:space="preserve"> » par </w:t>
      </w:r>
      <w:r w:rsidRPr="0001101A">
        <w:rPr>
          <w:lang w:val="fr-FR"/>
        </w:rPr>
        <w:t>« Les poudres métalliques ».</w:t>
      </w:r>
    </w:p>
    <w:p w14:paraId="0B96C885" w14:textId="77777777" w:rsidR="003B2887" w:rsidRPr="00870A4B" w:rsidRDefault="003B2887" w:rsidP="003B2887">
      <w:pPr>
        <w:kinsoku/>
        <w:overflowPunct/>
        <w:autoSpaceDE/>
        <w:adjustRightInd/>
        <w:snapToGrid/>
        <w:spacing w:after="120"/>
        <w:ind w:left="1134" w:right="1134"/>
        <w:jc w:val="both"/>
        <w:rPr>
          <w:i/>
          <w:iCs/>
          <w:lang w:val="fr-FR" w:eastAsia="en-US"/>
        </w:rPr>
      </w:pPr>
      <w:r w:rsidRPr="00870A4B">
        <w:rPr>
          <w:i/>
          <w:iCs/>
          <w:lang w:val="fr-FR" w:eastAsia="en-US"/>
        </w:rPr>
        <w:t>(Document de référence : document informel INF.44)</w:t>
      </w:r>
    </w:p>
    <w:p w14:paraId="329741C7" w14:textId="77777777" w:rsidR="003B2887" w:rsidRPr="003338FD" w:rsidRDefault="003B2887" w:rsidP="003B2887">
      <w:pPr>
        <w:pStyle w:val="H1G"/>
        <w:rPr>
          <w:lang w:val="fr-FR" w:eastAsia="en-US"/>
        </w:rPr>
      </w:pPr>
      <w:r w:rsidRPr="003338FD">
        <w:rPr>
          <w:lang w:val="fr-FR" w:eastAsia="en-US"/>
        </w:rPr>
        <w:tab/>
      </w:r>
      <w:r w:rsidRPr="003338FD">
        <w:rPr>
          <w:lang w:val="fr-FR" w:eastAsia="en-US"/>
        </w:rPr>
        <w:tab/>
        <w:t>Chapitre 2.7</w:t>
      </w:r>
    </w:p>
    <w:p w14:paraId="6FC33041" w14:textId="77777777" w:rsidR="003B2887" w:rsidRPr="003338FD" w:rsidRDefault="003B2887" w:rsidP="003B2887">
      <w:pPr>
        <w:kinsoku/>
        <w:overflowPunct/>
        <w:autoSpaceDE/>
        <w:autoSpaceDN/>
        <w:adjustRightInd/>
        <w:snapToGrid/>
        <w:spacing w:after="120"/>
        <w:ind w:left="2268" w:right="1134" w:hanging="1134"/>
        <w:jc w:val="both"/>
        <w:rPr>
          <w:rFonts w:eastAsiaTheme="minorHAnsi"/>
          <w:lang w:val="fr-FR" w:eastAsia="en-US"/>
        </w:rPr>
      </w:pPr>
      <w:r w:rsidRPr="003338FD">
        <w:rPr>
          <w:rFonts w:eastAsiaTheme="minorHAnsi"/>
          <w:lang w:val="fr-FR" w:eastAsia="en-US"/>
        </w:rPr>
        <w:t>2.7.1.3</w:t>
      </w:r>
      <w:r w:rsidRPr="003338FD">
        <w:rPr>
          <w:rFonts w:eastAsiaTheme="minorHAnsi"/>
          <w:lang w:val="fr-FR" w:eastAsia="en-US"/>
        </w:rPr>
        <w:tab/>
      </w:r>
      <w:r w:rsidRPr="003338FD">
        <w:rPr>
          <w:rFonts w:eastAsiaTheme="minorHAnsi"/>
          <w:lang w:val="fr-FR" w:eastAsia="en-US"/>
        </w:rPr>
        <w:tab/>
        <w:t>Sous la définition de « Activité spécifique d’un radionucléide », ajouter le nouveau NOTA suivant :</w:t>
      </w:r>
    </w:p>
    <w:p w14:paraId="2E1F19F6" w14:textId="77777777" w:rsidR="003B2887" w:rsidRPr="003338FD" w:rsidRDefault="003B2887" w:rsidP="003B2887">
      <w:pPr>
        <w:tabs>
          <w:tab w:val="left" w:pos="1701"/>
          <w:tab w:val="left" w:pos="2268"/>
          <w:tab w:val="left" w:pos="2835"/>
        </w:tabs>
        <w:spacing w:after="120"/>
        <w:ind w:left="1134" w:right="1134"/>
        <w:jc w:val="both"/>
        <w:rPr>
          <w:rFonts w:eastAsiaTheme="minorHAnsi"/>
          <w:lang w:val="fr-FR" w:eastAsia="en-US"/>
        </w:rPr>
      </w:pPr>
      <w:r w:rsidRPr="003338FD">
        <w:rPr>
          <w:rFonts w:eastAsiaTheme="minorHAnsi"/>
          <w:bCs/>
          <w:lang w:val="fr-FR" w:eastAsia="en-US"/>
        </w:rPr>
        <w:t>« </w:t>
      </w:r>
      <w:r w:rsidRPr="003338FD">
        <w:rPr>
          <w:rFonts w:eastAsiaTheme="minorHAnsi"/>
          <w:b/>
          <w:i/>
          <w:iCs/>
          <w:lang w:val="fr-FR" w:eastAsia="en-US"/>
        </w:rPr>
        <w:t>NOTA :</w:t>
      </w:r>
      <w:r w:rsidRPr="003338FD">
        <w:rPr>
          <w:rFonts w:eastAsiaTheme="minorHAnsi"/>
          <w:i/>
          <w:lang w:val="fr-FR" w:eastAsia="en-US"/>
        </w:rPr>
        <w:t xml:space="preserve"> </w:t>
      </w:r>
      <w:r w:rsidRPr="003338FD">
        <w:rPr>
          <w:rFonts w:eastAsiaTheme="minorHAnsi"/>
          <w:i/>
          <w:lang w:val="fr-FR" w:eastAsia="en-US"/>
        </w:rPr>
        <w:tab/>
        <w:t>Les termes “activité massique” et “activité spécifique” sont synonymes aux fins du présent Règlement.</w:t>
      </w:r>
      <w:r w:rsidRPr="003338FD">
        <w:rPr>
          <w:rFonts w:eastAsiaTheme="minorHAnsi"/>
          <w:lang w:val="fr-FR" w:eastAsia="en-US"/>
        </w:rPr>
        <w:t> »</w:t>
      </w:r>
    </w:p>
    <w:p w14:paraId="7A33BF04"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ST/SG/AC.10/C.3/2022/46)</w:t>
      </w:r>
    </w:p>
    <w:p w14:paraId="2E33F5B0" w14:textId="77777777" w:rsidR="003B2887" w:rsidRPr="009021BD" w:rsidRDefault="003B2887" w:rsidP="003B2887">
      <w:pPr>
        <w:keepNext/>
        <w:keepLines/>
        <w:tabs>
          <w:tab w:val="right" w:pos="851"/>
        </w:tabs>
        <w:spacing w:before="360" w:after="240" w:line="270" w:lineRule="exact"/>
        <w:ind w:left="1134" w:right="1134" w:hanging="1134"/>
        <w:outlineLvl w:val="2"/>
        <w:rPr>
          <w:rFonts w:eastAsiaTheme="minorHAnsi"/>
          <w:b/>
          <w:sz w:val="24"/>
          <w:lang w:val="fr-FR" w:eastAsia="en-US"/>
        </w:rPr>
      </w:pPr>
      <w:r w:rsidRPr="009021BD">
        <w:rPr>
          <w:rFonts w:eastAsiaTheme="minorHAnsi"/>
          <w:b/>
          <w:sz w:val="24"/>
          <w:lang w:val="fr-FR" w:eastAsia="en-US"/>
        </w:rPr>
        <w:tab/>
      </w:r>
      <w:r w:rsidRPr="009021BD">
        <w:rPr>
          <w:rFonts w:eastAsiaTheme="minorHAnsi"/>
          <w:b/>
          <w:sz w:val="24"/>
          <w:lang w:val="fr-FR" w:eastAsia="en-US"/>
        </w:rPr>
        <w:tab/>
        <w:t>Chapitre 2.9</w:t>
      </w:r>
    </w:p>
    <w:p w14:paraId="1A6536E2" w14:textId="77777777" w:rsidR="003B2887" w:rsidRPr="009021BD" w:rsidRDefault="003B2887" w:rsidP="003B2887">
      <w:pPr>
        <w:suppressAutoHyphens w:val="0"/>
        <w:kinsoku/>
        <w:overflowPunct/>
        <w:snapToGrid/>
        <w:spacing w:after="120" w:line="240" w:lineRule="auto"/>
        <w:ind w:left="2268" w:right="1134" w:hanging="1134"/>
        <w:jc w:val="both"/>
        <w:rPr>
          <w:rFonts w:eastAsiaTheme="minorHAnsi"/>
          <w:lang w:eastAsia="en-US"/>
        </w:rPr>
      </w:pPr>
      <w:r w:rsidRPr="009021BD">
        <w:rPr>
          <w:rFonts w:eastAsiaTheme="minorHAnsi"/>
          <w:lang w:eastAsia="en-US"/>
        </w:rPr>
        <w:t>2.9.2</w:t>
      </w:r>
      <w:r w:rsidRPr="009021BD">
        <w:rPr>
          <w:rFonts w:eastAsiaTheme="minorHAnsi"/>
          <w:lang w:eastAsia="en-US"/>
        </w:rPr>
        <w:tab/>
        <w:t xml:space="preserve">Dans la section </w:t>
      </w:r>
      <w:r>
        <w:rPr>
          <w:rFonts w:eastAsiaTheme="minorHAnsi"/>
          <w:lang w:eastAsia="en-US"/>
        </w:rPr>
        <w:t>relative</w:t>
      </w:r>
      <w:r w:rsidRPr="009021BD">
        <w:rPr>
          <w:rFonts w:eastAsiaTheme="minorHAnsi"/>
          <w:lang w:eastAsia="en-US"/>
        </w:rPr>
        <w:t xml:space="preserve"> aux « </w:t>
      </w:r>
      <w:r w:rsidRPr="009021BD">
        <w:rPr>
          <w:rFonts w:eastAsiaTheme="minorHAnsi"/>
          <w:b/>
          <w:bCs/>
          <w:i/>
          <w:iCs/>
          <w:lang w:eastAsia="en-US"/>
        </w:rPr>
        <w:t>Autres matières et objets présentant un danger au cours du transport, mais ne relevant pas de la définition d’une autre classe</w:t>
      </w:r>
      <w:r w:rsidRPr="009021BD">
        <w:rPr>
          <w:rFonts w:eastAsiaTheme="minorHAnsi"/>
          <w:lang w:eastAsia="en-US"/>
        </w:rPr>
        <w:t> », ajouter les nouvelles rubriques suivantes :</w:t>
      </w:r>
    </w:p>
    <w:p w14:paraId="37F73CB1" w14:textId="77777777" w:rsidR="003B2887" w:rsidRPr="009021BD" w:rsidRDefault="003B2887" w:rsidP="003B2887">
      <w:pPr>
        <w:tabs>
          <w:tab w:val="left" w:pos="1701"/>
          <w:tab w:val="left" w:pos="2268"/>
          <w:tab w:val="left" w:pos="2835"/>
        </w:tabs>
        <w:spacing w:after="120"/>
        <w:ind w:left="2268" w:right="1134" w:hanging="1134"/>
        <w:jc w:val="both"/>
        <w:rPr>
          <w:rFonts w:eastAsiaTheme="minorHAnsi"/>
          <w:lang w:eastAsia="en-US"/>
        </w:rPr>
      </w:pPr>
      <w:r w:rsidRPr="009021BD">
        <w:rPr>
          <w:rFonts w:eastAsiaTheme="minorHAnsi"/>
          <w:lang w:eastAsia="en-US"/>
        </w:rPr>
        <w:t>« 35</w:t>
      </w:r>
      <w:r>
        <w:rPr>
          <w:rFonts w:eastAsiaTheme="minorHAnsi"/>
          <w:lang w:eastAsia="en-US"/>
        </w:rPr>
        <w:t>56</w:t>
      </w:r>
      <w:r w:rsidRPr="009021BD">
        <w:rPr>
          <w:rFonts w:eastAsiaTheme="minorHAnsi"/>
          <w:lang w:eastAsia="en-US"/>
        </w:rPr>
        <w:tab/>
      </w:r>
      <w:r>
        <w:rPr>
          <w:rFonts w:eastAsiaTheme="minorHAnsi"/>
          <w:lang w:eastAsia="en-US"/>
        </w:rPr>
        <w:tab/>
      </w:r>
      <w:r w:rsidRPr="009021BD">
        <w:rPr>
          <w:rFonts w:eastAsiaTheme="minorHAnsi"/>
          <w:lang w:val="fr-FR" w:eastAsia="en-US"/>
        </w:rPr>
        <w:t>VÉHICULE MÛ PAR UNE BATTERIE AU LITHIUM IONIQUE</w:t>
      </w:r>
    </w:p>
    <w:p w14:paraId="22E01BCF" w14:textId="77777777" w:rsidR="003B2887" w:rsidRDefault="003B2887" w:rsidP="003B2887">
      <w:pPr>
        <w:spacing w:after="120"/>
        <w:ind w:left="2268" w:right="1134" w:hanging="1134"/>
        <w:jc w:val="both"/>
        <w:rPr>
          <w:rFonts w:eastAsiaTheme="minorHAnsi"/>
          <w:lang w:eastAsia="en-US"/>
        </w:rPr>
      </w:pPr>
      <w:r w:rsidRPr="009021BD">
        <w:rPr>
          <w:rFonts w:eastAsiaTheme="minorHAnsi"/>
          <w:lang w:eastAsia="en-US"/>
        </w:rPr>
        <w:t>35</w:t>
      </w:r>
      <w:r>
        <w:rPr>
          <w:rFonts w:eastAsiaTheme="minorHAnsi"/>
          <w:lang w:eastAsia="en-US"/>
        </w:rPr>
        <w:t>57</w:t>
      </w:r>
      <w:r w:rsidRPr="009021BD">
        <w:rPr>
          <w:rFonts w:eastAsiaTheme="minorHAnsi"/>
          <w:lang w:eastAsia="en-US"/>
        </w:rPr>
        <w:tab/>
      </w:r>
      <w:r w:rsidRPr="009021BD">
        <w:rPr>
          <w:rFonts w:eastAsiaTheme="minorHAnsi"/>
          <w:lang w:val="fr-FR" w:eastAsia="en-US"/>
        </w:rPr>
        <w:t>VÉHICULE MÛ PAR UNE BATTERIE AU LITHIUM MÉTAL</w:t>
      </w:r>
    </w:p>
    <w:p w14:paraId="0A978EF2" w14:textId="77777777" w:rsidR="003B2887" w:rsidRPr="009021BD" w:rsidRDefault="003B2887" w:rsidP="003B2887">
      <w:pPr>
        <w:spacing w:after="120"/>
        <w:ind w:left="2268" w:right="1134" w:hanging="1134"/>
        <w:jc w:val="both"/>
        <w:rPr>
          <w:rFonts w:eastAsiaTheme="minorHAnsi"/>
          <w:lang w:eastAsia="en-US"/>
        </w:rPr>
      </w:pPr>
      <w:r>
        <w:rPr>
          <w:rFonts w:eastAsiaTheme="minorHAnsi"/>
          <w:lang w:eastAsia="en-US"/>
        </w:rPr>
        <w:t>3558</w:t>
      </w:r>
      <w:r>
        <w:rPr>
          <w:rFonts w:eastAsiaTheme="minorHAnsi"/>
          <w:lang w:eastAsia="en-US"/>
        </w:rPr>
        <w:tab/>
      </w:r>
      <w:r w:rsidRPr="009021BD">
        <w:rPr>
          <w:rFonts w:eastAsiaTheme="minorHAnsi"/>
          <w:lang w:eastAsia="en-US"/>
        </w:rPr>
        <w:t>VÉHICULE MÛ PAR UNE BATTERIE AU SODIUM IONIQUE</w:t>
      </w:r>
      <w:r>
        <w:rPr>
          <w:rFonts w:eastAsiaTheme="minorHAnsi"/>
          <w:lang w:eastAsia="en-US"/>
        </w:rPr>
        <w:t> »</w:t>
      </w:r>
    </w:p>
    <w:p w14:paraId="73539CF9" w14:textId="77777777" w:rsidR="003B2887" w:rsidRPr="00391D0D" w:rsidRDefault="003B2887" w:rsidP="003B2887">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 xml:space="preserve">(Document de référence : </w:t>
      </w:r>
      <w:r>
        <w:rPr>
          <w:rFonts w:eastAsiaTheme="minorHAnsi"/>
          <w:i/>
          <w:iCs/>
          <w:lang w:val="fr-FR" w:eastAsia="en-US"/>
        </w:rPr>
        <w:t>document informel INF.51/Rev.1</w:t>
      </w:r>
      <w:r w:rsidRPr="00304358">
        <w:rPr>
          <w:rFonts w:eastAsiaTheme="minorHAnsi"/>
          <w:i/>
          <w:iCs/>
          <w:lang w:val="fr-FR" w:eastAsia="en-US"/>
        </w:rPr>
        <w:t>)</w:t>
      </w:r>
    </w:p>
    <w:p w14:paraId="69B9EC19" w14:textId="77777777" w:rsidR="003B2887" w:rsidRPr="003338FD" w:rsidRDefault="003B2887" w:rsidP="003B2887">
      <w:pPr>
        <w:pStyle w:val="H1G"/>
        <w:rPr>
          <w:lang w:val="fr-FR" w:eastAsia="en-US"/>
        </w:rPr>
      </w:pPr>
      <w:r w:rsidRPr="003338FD">
        <w:rPr>
          <w:lang w:val="fr-FR" w:eastAsia="en-US"/>
        </w:rPr>
        <w:tab/>
      </w:r>
      <w:r w:rsidRPr="003338FD">
        <w:rPr>
          <w:lang w:val="fr-FR" w:eastAsia="en-US"/>
        </w:rPr>
        <w:tab/>
        <w:t>Chapitre 3.1</w:t>
      </w:r>
    </w:p>
    <w:p w14:paraId="1CA36DCD" w14:textId="77777777" w:rsidR="003B2887" w:rsidRPr="003338FD" w:rsidRDefault="003B2887" w:rsidP="003B2887">
      <w:pPr>
        <w:kinsoku/>
        <w:overflowPunct/>
        <w:autoSpaceDE/>
        <w:autoSpaceDN/>
        <w:adjustRightInd/>
        <w:snapToGrid/>
        <w:spacing w:after="120"/>
        <w:ind w:left="2268" w:right="1134" w:hanging="1134"/>
        <w:jc w:val="both"/>
        <w:rPr>
          <w:rFonts w:eastAsiaTheme="minorHAnsi"/>
          <w:lang w:val="fr-FR" w:eastAsia="en-US"/>
        </w:rPr>
      </w:pPr>
      <w:r w:rsidRPr="003338FD">
        <w:rPr>
          <w:rFonts w:eastAsiaTheme="minorHAnsi"/>
          <w:lang w:val="fr-FR" w:eastAsia="en-US"/>
        </w:rPr>
        <w:t>3.1.2.2</w:t>
      </w:r>
      <w:r w:rsidRPr="003338FD">
        <w:rPr>
          <w:rFonts w:eastAsiaTheme="minorHAnsi"/>
          <w:lang w:val="fr-FR" w:eastAsia="en-US"/>
        </w:rPr>
        <w:tab/>
        <w:t>Dans la première phrase, remplacer « les conjonctions "et" ou "ou" » par « la conjonction "ou" ».</w:t>
      </w:r>
    </w:p>
    <w:p w14:paraId="44B80878"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ST/SG/AC.10/C.3/2022/65)</w:t>
      </w:r>
    </w:p>
    <w:p w14:paraId="6329C9DE" w14:textId="77777777" w:rsidR="003B2887" w:rsidRPr="003338FD" w:rsidRDefault="003B2887" w:rsidP="003B2887">
      <w:pPr>
        <w:pStyle w:val="H1G"/>
        <w:rPr>
          <w:lang w:val="fr-FR" w:eastAsia="en-US"/>
        </w:rPr>
      </w:pPr>
      <w:r w:rsidRPr="003338FD">
        <w:rPr>
          <w:lang w:val="fr-FR" w:eastAsia="en-US"/>
        </w:rPr>
        <w:tab/>
      </w:r>
      <w:r w:rsidRPr="003338FD">
        <w:rPr>
          <w:lang w:val="fr-FR" w:eastAsia="en-US"/>
        </w:rPr>
        <w:tab/>
        <w:t>Chapitre 3.2</w:t>
      </w:r>
      <w:r w:rsidRPr="003338FD">
        <w:rPr>
          <w:rFonts w:eastAsiaTheme="minorHAnsi"/>
          <w:lang w:val="fr-FR" w:eastAsia="en-US"/>
        </w:rPr>
        <w:t>, Liste des marchandises dangereuses</w:t>
      </w:r>
    </w:p>
    <w:p w14:paraId="55324787" w14:textId="77777777" w:rsidR="003B2887" w:rsidRPr="003338FD" w:rsidRDefault="003B2887" w:rsidP="003B2887">
      <w:pPr>
        <w:tabs>
          <w:tab w:val="left" w:pos="1701"/>
          <w:tab w:val="left" w:pos="2268"/>
          <w:tab w:val="left" w:pos="2835"/>
        </w:tabs>
        <w:spacing w:after="120"/>
        <w:ind w:left="1134" w:right="1134"/>
        <w:jc w:val="both"/>
        <w:rPr>
          <w:rFonts w:eastAsiaTheme="minorHAnsi"/>
          <w:lang w:val="fr-FR" w:eastAsia="en-US"/>
        </w:rPr>
      </w:pPr>
      <w:r w:rsidRPr="003338FD">
        <w:rPr>
          <w:rFonts w:eastAsiaTheme="minorHAnsi"/>
          <w:lang w:val="fr-FR" w:eastAsia="en-US"/>
        </w:rPr>
        <w:t>Pour le No ONU 0331, dans la colonne (11), supprimer « TP1 ».</w:t>
      </w:r>
    </w:p>
    <w:p w14:paraId="04EEE5E1"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ST/SG/AC.10/C.3/2022/77, proposition 1)</w:t>
      </w:r>
    </w:p>
    <w:p w14:paraId="5BF5A86D" w14:textId="77777777" w:rsidR="003B2887" w:rsidRPr="003338FD" w:rsidRDefault="003B2887" w:rsidP="003B2887">
      <w:pPr>
        <w:tabs>
          <w:tab w:val="left" w:pos="1701"/>
          <w:tab w:val="left" w:pos="2268"/>
          <w:tab w:val="left" w:pos="2835"/>
        </w:tabs>
        <w:spacing w:after="120"/>
        <w:ind w:left="1134" w:right="1134"/>
        <w:jc w:val="both"/>
        <w:rPr>
          <w:rFonts w:eastAsiaTheme="minorHAnsi"/>
          <w:lang w:val="fr-FR" w:eastAsia="en-US"/>
        </w:rPr>
      </w:pPr>
      <w:r w:rsidRPr="003338FD">
        <w:rPr>
          <w:rFonts w:eastAsiaTheme="minorHAnsi"/>
          <w:lang w:val="fr-FR" w:eastAsia="en-US"/>
        </w:rPr>
        <w:t>Pour le</w:t>
      </w:r>
      <w:r>
        <w:rPr>
          <w:rFonts w:eastAsiaTheme="minorHAnsi"/>
          <w:lang w:val="fr-FR" w:eastAsia="en-US"/>
        </w:rPr>
        <w:t>s</w:t>
      </w:r>
      <w:r w:rsidRPr="003338FD">
        <w:rPr>
          <w:rFonts w:eastAsiaTheme="minorHAnsi"/>
          <w:lang w:val="fr-FR" w:eastAsia="en-US"/>
        </w:rPr>
        <w:t xml:space="preserve"> No</w:t>
      </w:r>
      <w:r>
        <w:rPr>
          <w:rFonts w:eastAsiaTheme="minorHAnsi"/>
          <w:lang w:val="fr-FR" w:eastAsia="en-US"/>
        </w:rPr>
        <w:t>s</w:t>
      </w:r>
      <w:r w:rsidRPr="003338FD">
        <w:rPr>
          <w:rFonts w:eastAsiaTheme="minorHAnsi"/>
          <w:lang w:val="fr-FR" w:eastAsia="en-US"/>
        </w:rPr>
        <w:t xml:space="preserve"> ONU </w:t>
      </w:r>
      <w:r>
        <w:rPr>
          <w:rFonts w:eastAsiaTheme="minorHAnsi"/>
          <w:lang w:val="fr-FR" w:eastAsia="en-US"/>
        </w:rPr>
        <w:t>1006</w:t>
      </w:r>
      <w:r w:rsidRPr="003338FD">
        <w:rPr>
          <w:rFonts w:eastAsiaTheme="minorHAnsi"/>
          <w:lang w:val="fr-FR" w:eastAsia="en-US"/>
        </w:rPr>
        <w:t>,</w:t>
      </w:r>
      <w:r>
        <w:rPr>
          <w:rFonts w:eastAsiaTheme="minorHAnsi"/>
          <w:lang w:val="fr-FR" w:eastAsia="en-US"/>
        </w:rPr>
        <w:t xml:space="preserve"> 1013, 1046 et 1066,</w:t>
      </w:r>
      <w:r w:rsidRPr="003338FD">
        <w:rPr>
          <w:rFonts w:eastAsiaTheme="minorHAnsi"/>
          <w:lang w:val="fr-FR" w:eastAsia="en-US"/>
        </w:rPr>
        <w:t xml:space="preserve"> dans la colonne (</w:t>
      </w:r>
      <w:r>
        <w:rPr>
          <w:rFonts w:eastAsiaTheme="minorHAnsi"/>
          <w:lang w:val="fr-FR" w:eastAsia="en-US"/>
        </w:rPr>
        <w:t>6</w:t>
      </w:r>
      <w:r w:rsidRPr="003338FD">
        <w:rPr>
          <w:rFonts w:eastAsiaTheme="minorHAnsi"/>
          <w:lang w:val="fr-FR" w:eastAsia="en-US"/>
        </w:rPr>
        <w:t xml:space="preserve">), </w:t>
      </w:r>
      <w:r>
        <w:rPr>
          <w:rFonts w:eastAsiaTheme="minorHAnsi"/>
          <w:lang w:val="fr-FR" w:eastAsia="en-US"/>
        </w:rPr>
        <w:t>ajouter</w:t>
      </w:r>
      <w:r w:rsidRPr="003338FD">
        <w:rPr>
          <w:rFonts w:eastAsiaTheme="minorHAnsi"/>
          <w:lang w:val="fr-FR" w:eastAsia="en-US"/>
        </w:rPr>
        <w:t xml:space="preserve"> « </w:t>
      </w:r>
      <w:r>
        <w:rPr>
          <w:rFonts w:eastAsiaTheme="minorHAnsi"/>
          <w:lang w:val="fr-FR" w:eastAsia="en-US"/>
        </w:rPr>
        <w:t>406</w:t>
      </w:r>
      <w:r w:rsidRPr="003338FD">
        <w:rPr>
          <w:rFonts w:eastAsiaTheme="minorHAnsi"/>
          <w:lang w:val="fr-FR" w:eastAsia="en-US"/>
        </w:rPr>
        <w:t> ».</w:t>
      </w:r>
    </w:p>
    <w:p w14:paraId="7A4B4692" w14:textId="77777777" w:rsidR="003B2887"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 xml:space="preserve">(Document de référence : </w:t>
      </w:r>
      <w:r>
        <w:rPr>
          <w:rFonts w:eastAsiaTheme="minorHAnsi"/>
          <w:i/>
          <w:iCs/>
          <w:lang w:val="fr-FR" w:eastAsia="en-US"/>
        </w:rPr>
        <w:t>document informel INF.52</w:t>
      </w:r>
      <w:r w:rsidRPr="003338FD">
        <w:rPr>
          <w:i/>
          <w:iCs/>
          <w:lang w:val="fr-FR" w:eastAsia="en-US"/>
        </w:rPr>
        <w:t>)</w:t>
      </w:r>
    </w:p>
    <w:p w14:paraId="34DF3B3D" w14:textId="77777777" w:rsidR="003B2887" w:rsidRPr="003338FD" w:rsidRDefault="003B2887" w:rsidP="003B2887">
      <w:pPr>
        <w:tabs>
          <w:tab w:val="left" w:pos="1701"/>
          <w:tab w:val="left" w:pos="2268"/>
          <w:tab w:val="left" w:pos="2835"/>
        </w:tabs>
        <w:spacing w:after="120"/>
        <w:ind w:left="1134" w:right="1134"/>
        <w:jc w:val="both"/>
        <w:rPr>
          <w:rFonts w:eastAsiaTheme="minorHAnsi"/>
          <w:lang w:val="fr-FR" w:eastAsia="en-US"/>
        </w:rPr>
      </w:pPr>
      <w:r w:rsidRPr="003338FD">
        <w:rPr>
          <w:rFonts w:eastAsiaTheme="minorHAnsi"/>
          <w:lang w:val="fr-FR" w:eastAsia="en-US"/>
        </w:rPr>
        <w:t>Pour les Nos ONU 1204, 2059, 2555, 2556, 2907, 3064, 3319, 3343, 3344 et 3357, dans la colonne (6), ajouter « 28 ».</w:t>
      </w:r>
    </w:p>
    <w:p w14:paraId="72F051B9"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document informel INF.48)</w:t>
      </w:r>
    </w:p>
    <w:p w14:paraId="087C19C0" w14:textId="77777777" w:rsidR="003B2887" w:rsidRPr="003338FD" w:rsidRDefault="003B2887" w:rsidP="003B2887">
      <w:pPr>
        <w:tabs>
          <w:tab w:val="left" w:pos="1701"/>
          <w:tab w:val="left" w:pos="2268"/>
          <w:tab w:val="left" w:pos="2835"/>
        </w:tabs>
        <w:spacing w:after="120"/>
        <w:ind w:left="1134" w:right="1134"/>
        <w:jc w:val="both"/>
        <w:rPr>
          <w:rFonts w:eastAsiaTheme="minorHAnsi"/>
          <w:lang w:val="fr-FR" w:eastAsia="en-US"/>
        </w:rPr>
      </w:pPr>
      <w:r w:rsidRPr="003338FD">
        <w:rPr>
          <w:rFonts w:eastAsiaTheme="minorHAnsi"/>
          <w:lang w:val="fr-FR" w:eastAsia="en-US"/>
        </w:rPr>
        <w:t>Pour le</w:t>
      </w:r>
      <w:r>
        <w:rPr>
          <w:rFonts w:eastAsiaTheme="minorHAnsi"/>
          <w:lang w:val="fr-FR" w:eastAsia="en-US"/>
        </w:rPr>
        <w:t>s</w:t>
      </w:r>
      <w:r w:rsidRPr="003338FD">
        <w:rPr>
          <w:rFonts w:eastAsiaTheme="minorHAnsi"/>
          <w:lang w:val="fr-FR" w:eastAsia="en-US"/>
        </w:rPr>
        <w:t xml:space="preserve"> No</w:t>
      </w:r>
      <w:r>
        <w:rPr>
          <w:rFonts w:eastAsiaTheme="minorHAnsi"/>
          <w:lang w:val="fr-FR" w:eastAsia="en-US"/>
        </w:rPr>
        <w:t>s</w:t>
      </w:r>
      <w:r w:rsidRPr="003338FD">
        <w:rPr>
          <w:rFonts w:eastAsiaTheme="minorHAnsi"/>
          <w:lang w:val="fr-FR" w:eastAsia="en-US"/>
        </w:rPr>
        <w:t xml:space="preserve"> ONU</w:t>
      </w:r>
      <w:r>
        <w:rPr>
          <w:rFonts w:eastAsiaTheme="minorHAnsi"/>
          <w:lang w:val="fr-FR" w:eastAsia="en-US"/>
        </w:rPr>
        <w:t xml:space="preserve"> 1391 et 3482,</w:t>
      </w:r>
      <w:r w:rsidRPr="003338FD">
        <w:rPr>
          <w:rFonts w:eastAsiaTheme="minorHAnsi"/>
          <w:lang w:val="fr-FR" w:eastAsia="en-US"/>
        </w:rPr>
        <w:t xml:space="preserve"> dans la colonne (</w:t>
      </w:r>
      <w:r>
        <w:rPr>
          <w:rFonts w:eastAsiaTheme="minorHAnsi"/>
          <w:lang w:val="fr-FR" w:eastAsia="en-US"/>
        </w:rPr>
        <w:t>10</w:t>
      </w:r>
      <w:r w:rsidRPr="003338FD">
        <w:rPr>
          <w:rFonts w:eastAsiaTheme="minorHAnsi"/>
          <w:lang w:val="fr-FR" w:eastAsia="en-US"/>
        </w:rPr>
        <w:t xml:space="preserve">), </w:t>
      </w:r>
      <w:r>
        <w:rPr>
          <w:rFonts w:eastAsiaTheme="minorHAnsi"/>
          <w:lang w:val="fr-FR" w:eastAsia="en-US"/>
        </w:rPr>
        <w:t>ajouter</w:t>
      </w:r>
      <w:r w:rsidRPr="003338FD">
        <w:rPr>
          <w:rFonts w:eastAsiaTheme="minorHAnsi"/>
          <w:lang w:val="fr-FR" w:eastAsia="en-US"/>
        </w:rPr>
        <w:t xml:space="preserve"> « </w:t>
      </w:r>
      <w:r>
        <w:rPr>
          <w:rFonts w:eastAsiaTheme="minorHAnsi"/>
          <w:lang w:val="fr-FR" w:eastAsia="en-US"/>
        </w:rPr>
        <w:t>T13</w:t>
      </w:r>
      <w:r w:rsidRPr="003338FD">
        <w:rPr>
          <w:rFonts w:eastAsiaTheme="minorHAnsi"/>
          <w:lang w:val="fr-FR" w:eastAsia="en-US"/>
        </w:rPr>
        <w:t> »</w:t>
      </w:r>
      <w:r>
        <w:rPr>
          <w:rFonts w:eastAsiaTheme="minorHAnsi"/>
          <w:lang w:val="fr-FR" w:eastAsia="en-US"/>
        </w:rPr>
        <w:t xml:space="preserve"> et dans la colonne (11), ajouter « TP2 TP7 TP42 »</w:t>
      </w:r>
      <w:r w:rsidRPr="003338FD">
        <w:rPr>
          <w:rFonts w:eastAsiaTheme="minorHAnsi"/>
          <w:lang w:val="fr-FR" w:eastAsia="en-US"/>
        </w:rPr>
        <w:t>.</w:t>
      </w:r>
    </w:p>
    <w:p w14:paraId="1BF491D3"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 xml:space="preserve">(Document de référence : </w:t>
      </w:r>
      <w:r>
        <w:rPr>
          <w:rFonts w:eastAsiaTheme="minorHAnsi"/>
          <w:i/>
          <w:iCs/>
          <w:lang w:val="fr-FR" w:eastAsia="en-US"/>
        </w:rPr>
        <w:t>document informel INF.56</w:t>
      </w:r>
      <w:r w:rsidRPr="003338FD">
        <w:rPr>
          <w:i/>
          <w:iCs/>
          <w:lang w:val="fr-FR" w:eastAsia="en-US"/>
        </w:rPr>
        <w:t>)</w:t>
      </w:r>
    </w:p>
    <w:p w14:paraId="108B128A" w14:textId="77777777" w:rsidR="003B2887" w:rsidRPr="00D71D11" w:rsidRDefault="003B2887" w:rsidP="003B2887">
      <w:pPr>
        <w:pStyle w:val="SingleTxtG"/>
      </w:pPr>
      <w:r>
        <w:rPr>
          <w:lang w:val="fr-FR"/>
        </w:rPr>
        <w:t xml:space="preserve">Pour le </w:t>
      </w:r>
      <w:r w:rsidRPr="00D71D11">
        <w:rPr>
          <w:lang w:val="fr-FR"/>
        </w:rPr>
        <w:t xml:space="preserve">No ONU 1835, GE II : dans la colonne (2), remplacer </w:t>
      </w:r>
      <w:r>
        <w:rPr>
          <w:lang w:val="fr-FR"/>
        </w:rPr>
        <w:t>« </w:t>
      </w:r>
      <w:r w:rsidRPr="00D71D11">
        <w:rPr>
          <w:lang w:val="fr-FR"/>
        </w:rPr>
        <w:t>SOLUTION</w:t>
      </w:r>
      <w:r>
        <w:rPr>
          <w:lang w:val="fr-FR"/>
        </w:rPr>
        <w:t> »</w:t>
      </w:r>
      <w:r w:rsidRPr="00D71D11">
        <w:rPr>
          <w:lang w:val="fr-FR"/>
        </w:rPr>
        <w:t xml:space="preserve"> par </w:t>
      </w:r>
      <w:r>
        <w:rPr>
          <w:lang w:val="fr-FR"/>
        </w:rPr>
        <w:t>« </w:t>
      </w:r>
      <w:r w:rsidRPr="00D71D11">
        <w:rPr>
          <w:lang w:val="fr-FR"/>
        </w:rPr>
        <w:t>SOLUTION AQUEUSE contenant plus de 2,5 % mais moins de 25 % d’hydroxyde de tétraméthylammonium</w:t>
      </w:r>
      <w:r>
        <w:rPr>
          <w:lang w:val="fr-FR"/>
        </w:rPr>
        <w:t> »</w:t>
      </w:r>
      <w:r w:rsidRPr="00D71D11">
        <w:rPr>
          <w:lang w:val="fr-FR"/>
        </w:rPr>
        <w:t xml:space="preserve"> ; dans la colonne (4), ajouter </w:t>
      </w:r>
      <w:r>
        <w:rPr>
          <w:lang w:val="fr-FR"/>
        </w:rPr>
        <w:t>« </w:t>
      </w:r>
      <w:r w:rsidRPr="00D71D11">
        <w:rPr>
          <w:lang w:val="fr-FR"/>
        </w:rPr>
        <w:t>6.1</w:t>
      </w:r>
      <w:r>
        <w:rPr>
          <w:lang w:val="fr-FR"/>
        </w:rPr>
        <w:t> »</w:t>
      </w:r>
      <w:r w:rsidRPr="00D71D11">
        <w:rPr>
          <w:lang w:val="fr-FR"/>
        </w:rPr>
        <w:t xml:space="preserve"> ; dans la colonne (6) ajouter </w:t>
      </w:r>
      <w:r>
        <w:rPr>
          <w:lang w:val="fr-FR"/>
        </w:rPr>
        <w:t>« </w:t>
      </w:r>
      <w:r w:rsidRPr="00D71D11">
        <w:rPr>
          <w:lang w:val="fr-FR"/>
        </w:rPr>
        <w:t>279</w:t>
      </w:r>
      <w:r>
        <w:rPr>
          <w:lang w:val="fr-FR"/>
        </w:rPr>
        <w:t> </w:t>
      </w:r>
      <w:r w:rsidRPr="00D71D11">
        <w:rPr>
          <w:lang w:val="fr-FR"/>
        </w:rPr>
        <w:t>408</w:t>
      </w:r>
      <w:r>
        <w:rPr>
          <w:lang w:val="fr-FR"/>
        </w:rPr>
        <w:t> </w:t>
      </w:r>
      <w:r w:rsidRPr="00D71D11">
        <w:rPr>
          <w:lang w:val="fr-FR"/>
        </w:rPr>
        <w:t>409</w:t>
      </w:r>
      <w:r>
        <w:rPr>
          <w:lang w:val="fr-FR"/>
        </w:rPr>
        <w:t> »</w:t>
      </w:r>
      <w:r w:rsidRPr="00D71D11">
        <w:rPr>
          <w:lang w:val="fr-FR"/>
        </w:rPr>
        <w:t>.</w:t>
      </w:r>
    </w:p>
    <w:p w14:paraId="4252E52A" w14:textId="77777777" w:rsidR="003B2887" w:rsidRPr="00D71D11" w:rsidRDefault="003B2887" w:rsidP="003B2887">
      <w:pPr>
        <w:pStyle w:val="SingleTxtG"/>
        <w:rPr>
          <w:i/>
          <w:iCs/>
        </w:rPr>
      </w:pPr>
      <w:r w:rsidRPr="00D71D11">
        <w:rPr>
          <w:i/>
          <w:iCs/>
          <w:lang w:val="fr-FR"/>
        </w:rPr>
        <w:t>(Document de référence : document informel INF.54)</w:t>
      </w:r>
    </w:p>
    <w:p w14:paraId="012E5C78" w14:textId="77777777" w:rsidR="003B2887" w:rsidRPr="00D71D11" w:rsidRDefault="003B2887" w:rsidP="003B2887">
      <w:pPr>
        <w:pStyle w:val="SingleTxtG"/>
      </w:pPr>
      <w:r>
        <w:rPr>
          <w:lang w:val="fr-FR"/>
        </w:rPr>
        <w:t xml:space="preserve">Pour le </w:t>
      </w:r>
      <w:r w:rsidRPr="00D71D11">
        <w:rPr>
          <w:lang w:val="fr-FR"/>
        </w:rPr>
        <w:t xml:space="preserve">No ONU 1835, GE III : dans la colonne (2), remplacer </w:t>
      </w:r>
      <w:r>
        <w:rPr>
          <w:lang w:val="fr-FR"/>
        </w:rPr>
        <w:t>« </w:t>
      </w:r>
      <w:r w:rsidRPr="00D71D11">
        <w:rPr>
          <w:lang w:val="fr-FR"/>
        </w:rPr>
        <w:t>SOLUTION</w:t>
      </w:r>
      <w:r>
        <w:rPr>
          <w:lang w:val="fr-FR"/>
        </w:rPr>
        <w:t> »</w:t>
      </w:r>
      <w:r w:rsidRPr="00D71D11">
        <w:rPr>
          <w:lang w:val="fr-FR"/>
        </w:rPr>
        <w:t xml:space="preserve"> par </w:t>
      </w:r>
      <w:r>
        <w:rPr>
          <w:lang w:val="fr-FR"/>
        </w:rPr>
        <w:t>« </w:t>
      </w:r>
      <w:r w:rsidRPr="00D71D11">
        <w:rPr>
          <w:lang w:val="fr-FR"/>
        </w:rPr>
        <w:t>SOLUTION AQUEUSE contenant au plus 2,5 % d’hydroxyde de tétraméthylammonium</w:t>
      </w:r>
      <w:r>
        <w:rPr>
          <w:lang w:val="fr-FR"/>
        </w:rPr>
        <w:t> »</w:t>
      </w:r>
      <w:r w:rsidRPr="00D71D11">
        <w:rPr>
          <w:lang w:val="fr-FR"/>
        </w:rPr>
        <w:t xml:space="preserve"> ; dans la colonne (6), ajouter </w:t>
      </w:r>
      <w:r>
        <w:rPr>
          <w:lang w:val="fr-FR"/>
        </w:rPr>
        <w:t>« </w:t>
      </w:r>
      <w:r w:rsidRPr="00D71D11">
        <w:rPr>
          <w:lang w:val="fr-FR"/>
        </w:rPr>
        <w:t>408</w:t>
      </w:r>
      <w:r>
        <w:rPr>
          <w:lang w:val="fr-FR"/>
        </w:rPr>
        <w:t> </w:t>
      </w:r>
      <w:r w:rsidRPr="00D71D11">
        <w:rPr>
          <w:lang w:val="fr-FR"/>
        </w:rPr>
        <w:t>409</w:t>
      </w:r>
      <w:r>
        <w:rPr>
          <w:lang w:val="fr-FR"/>
        </w:rPr>
        <w:t> »</w:t>
      </w:r>
      <w:r w:rsidRPr="00D71D11">
        <w:rPr>
          <w:lang w:val="fr-FR"/>
        </w:rPr>
        <w:t>.</w:t>
      </w:r>
    </w:p>
    <w:p w14:paraId="6A9E23C2" w14:textId="77777777" w:rsidR="003B2887" w:rsidRPr="00D71D11" w:rsidRDefault="003B2887" w:rsidP="003B2887">
      <w:pPr>
        <w:pStyle w:val="SingleTxtG"/>
        <w:rPr>
          <w:i/>
          <w:iCs/>
        </w:rPr>
      </w:pPr>
      <w:r w:rsidRPr="00D71D11">
        <w:rPr>
          <w:i/>
          <w:iCs/>
          <w:lang w:val="fr-FR"/>
        </w:rPr>
        <w:t>(Document de référence : document informel INF.54)</w:t>
      </w:r>
    </w:p>
    <w:p w14:paraId="4FCEC436" w14:textId="77777777" w:rsidR="003B2887" w:rsidRPr="003338FD" w:rsidRDefault="003B2887" w:rsidP="003B2887">
      <w:pPr>
        <w:tabs>
          <w:tab w:val="left" w:pos="1701"/>
          <w:tab w:val="left" w:pos="2268"/>
          <w:tab w:val="left" w:pos="2835"/>
        </w:tabs>
        <w:spacing w:after="120"/>
        <w:ind w:left="1134" w:right="1134"/>
        <w:jc w:val="both"/>
        <w:rPr>
          <w:rFonts w:eastAsiaTheme="minorHAnsi"/>
          <w:lang w:val="fr-FR" w:eastAsia="en-US"/>
        </w:rPr>
      </w:pPr>
      <w:r w:rsidRPr="003338FD">
        <w:rPr>
          <w:rFonts w:eastAsiaTheme="minorHAnsi"/>
          <w:lang w:val="fr-FR" w:eastAsia="en-US"/>
        </w:rPr>
        <w:t>Pour le No ONU 3270, dans la colonne (6), ajouter « 403 ».</w:t>
      </w:r>
    </w:p>
    <w:p w14:paraId="4A4A1ECA"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ST/SG/AC.10/C.3/2022/59)</w:t>
      </w:r>
    </w:p>
    <w:p w14:paraId="188BF6B0" w14:textId="77777777" w:rsidR="003B2887" w:rsidRPr="00D71D11" w:rsidRDefault="003B2887" w:rsidP="003B2887">
      <w:pPr>
        <w:pStyle w:val="SingleTxtG"/>
      </w:pPr>
      <w:r>
        <w:rPr>
          <w:lang w:val="fr-FR"/>
        </w:rPr>
        <w:t xml:space="preserve">Pour le </w:t>
      </w:r>
      <w:r w:rsidRPr="00D71D11">
        <w:rPr>
          <w:lang w:val="fr-FR"/>
        </w:rPr>
        <w:t xml:space="preserve">No ONU 3423 : dans la colonne (3), remplacer </w:t>
      </w:r>
      <w:r>
        <w:rPr>
          <w:lang w:val="fr-FR"/>
        </w:rPr>
        <w:t>« </w:t>
      </w:r>
      <w:r w:rsidRPr="00D71D11">
        <w:rPr>
          <w:lang w:val="fr-FR"/>
        </w:rPr>
        <w:t>8</w:t>
      </w:r>
      <w:r>
        <w:rPr>
          <w:lang w:val="fr-FR"/>
        </w:rPr>
        <w:t> »</w:t>
      </w:r>
      <w:r w:rsidRPr="00D71D11">
        <w:rPr>
          <w:lang w:val="fr-FR"/>
        </w:rPr>
        <w:t xml:space="preserve"> par </w:t>
      </w:r>
      <w:r>
        <w:rPr>
          <w:lang w:val="fr-FR"/>
        </w:rPr>
        <w:t>« </w:t>
      </w:r>
      <w:r w:rsidRPr="00D71D11">
        <w:rPr>
          <w:lang w:val="fr-FR"/>
        </w:rPr>
        <w:t>6.1</w:t>
      </w:r>
      <w:r>
        <w:rPr>
          <w:lang w:val="fr-FR"/>
        </w:rPr>
        <w:t> »</w:t>
      </w:r>
      <w:r w:rsidRPr="00D71D11">
        <w:rPr>
          <w:lang w:val="fr-FR"/>
        </w:rPr>
        <w:t xml:space="preserve"> ; dans la colonne (4), ajouter </w:t>
      </w:r>
      <w:r>
        <w:rPr>
          <w:lang w:val="fr-FR"/>
        </w:rPr>
        <w:t>« </w:t>
      </w:r>
      <w:r w:rsidRPr="00D71D11">
        <w:rPr>
          <w:lang w:val="fr-FR"/>
        </w:rPr>
        <w:t>8</w:t>
      </w:r>
      <w:r>
        <w:rPr>
          <w:lang w:val="fr-FR"/>
        </w:rPr>
        <w:t> »</w:t>
      </w:r>
      <w:r w:rsidRPr="00D71D11">
        <w:rPr>
          <w:lang w:val="fr-FR"/>
        </w:rPr>
        <w:t xml:space="preserve"> ; dans la colonne (5), remplacer </w:t>
      </w:r>
      <w:r>
        <w:rPr>
          <w:lang w:val="fr-FR"/>
        </w:rPr>
        <w:t>« </w:t>
      </w:r>
      <w:r w:rsidRPr="00D71D11">
        <w:rPr>
          <w:lang w:val="fr-FR"/>
        </w:rPr>
        <w:t>II</w:t>
      </w:r>
      <w:r>
        <w:rPr>
          <w:lang w:val="fr-FR"/>
        </w:rPr>
        <w:t> »</w:t>
      </w:r>
      <w:r w:rsidRPr="00D71D11">
        <w:rPr>
          <w:lang w:val="fr-FR"/>
        </w:rPr>
        <w:t xml:space="preserve"> par </w:t>
      </w:r>
      <w:r>
        <w:rPr>
          <w:lang w:val="fr-FR"/>
        </w:rPr>
        <w:t>« </w:t>
      </w:r>
      <w:r w:rsidRPr="00D71D11">
        <w:rPr>
          <w:lang w:val="fr-FR"/>
        </w:rPr>
        <w:t>I</w:t>
      </w:r>
      <w:r>
        <w:rPr>
          <w:lang w:val="fr-FR"/>
        </w:rPr>
        <w:t> » </w:t>
      </w:r>
      <w:r w:rsidRPr="00D71D11">
        <w:rPr>
          <w:lang w:val="fr-FR"/>
        </w:rPr>
        <w:t xml:space="preserve">; dans la colonne (6), ajouter </w:t>
      </w:r>
      <w:r>
        <w:rPr>
          <w:lang w:val="fr-FR"/>
        </w:rPr>
        <w:t>« </w:t>
      </w:r>
      <w:r w:rsidRPr="00D71D11">
        <w:rPr>
          <w:lang w:val="fr-FR"/>
        </w:rPr>
        <w:t>279</w:t>
      </w:r>
      <w:r>
        <w:rPr>
          <w:lang w:val="fr-FR"/>
        </w:rPr>
        <w:t> </w:t>
      </w:r>
      <w:r w:rsidRPr="00D71D11">
        <w:rPr>
          <w:lang w:val="fr-FR"/>
        </w:rPr>
        <w:t>409</w:t>
      </w:r>
      <w:r>
        <w:rPr>
          <w:lang w:val="fr-FR"/>
        </w:rPr>
        <w:t> »</w:t>
      </w:r>
      <w:r w:rsidRPr="00D71D11">
        <w:rPr>
          <w:lang w:val="fr-FR"/>
        </w:rPr>
        <w:t xml:space="preserve"> ; dans la colonne (7a), remplacer </w:t>
      </w:r>
      <w:r>
        <w:rPr>
          <w:lang w:val="fr-FR"/>
        </w:rPr>
        <w:t>« </w:t>
      </w:r>
      <w:r w:rsidRPr="00D71D11">
        <w:rPr>
          <w:lang w:val="fr-FR"/>
        </w:rPr>
        <w:t>1 kg</w:t>
      </w:r>
      <w:r>
        <w:rPr>
          <w:lang w:val="fr-FR"/>
        </w:rPr>
        <w:t> »</w:t>
      </w:r>
      <w:r w:rsidRPr="00D71D11">
        <w:rPr>
          <w:lang w:val="fr-FR"/>
        </w:rPr>
        <w:t xml:space="preserve"> par </w:t>
      </w:r>
      <w:r>
        <w:rPr>
          <w:lang w:val="fr-FR"/>
        </w:rPr>
        <w:t>« </w:t>
      </w:r>
      <w:r w:rsidRPr="00D71D11">
        <w:rPr>
          <w:lang w:val="fr-FR"/>
        </w:rPr>
        <w:t>0</w:t>
      </w:r>
      <w:r>
        <w:rPr>
          <w:lang w:val="fr-FR"/>
        </w:rPr>
        <w:t> »</w:t>
      </w:r>
      <w:r w:rsidRPr="00D71D11">
        <w:rPr>
          <w:lang w:val="fr-FR"/>
        </w:rPr>
        <w:t xml:space="preserve"> ; dans la colonne (7b), remplacer </w:t>
      </w:r>
      <w:r>
        <w:rPr>
          <w:lang w:val="fr-FR"/>
        </w:rPr>
        <w:t>« </w:t>
      </w:r>
      <w:r w:rsidRPr="00D71D11">
        <w:rPr>
          <w:lang w:val="fr-FR"/>
        </w:rPr>
        <w:t>E2</w:t>
      </w:r>
      <w:r>
        <w:rPr>
          <w:lang w:val="fr-FR"/>
        </w:rPr>
        <w:t> »</w:t>
      </w:r>
      <w:r w:rsidRPr="00D71D11">
        <w:rPr>
          <w:lang w:val="fr-FR"/>
        </w:rPr>
        <w:t xml:space="preserve"> par </w:t>
      </w:r>
      <w:r>
        <w:rPr>
          <w:lang w:val="fr-FR"/>
        </w:rPr>
        <w:t>« </w:t>
      </w:r>
      <w:r w:rsidRPr="00D71D11">
        <w:rPr>
          <w:lang w:val="fr-FR"/>
        </w:rPr>
        <w:t>E5</w:t>
      </w:r>
      <w:r>
        <w:rPr>
          <w:lang w:val="fr-FR"/>
        </w:rPr>
        <w:t> »</w:t>
      </w:r>
      <w:r w:rsidRPr="00D71D11">
        <w:rPr>
          <w:lang w:val="fr-FR"/>
        </w:rPr>
        <w:t xml:space="preserve"> ; dans la colonne (8), remplacer </w:t>
      </w:r>
      <w:r>
        <w:rPr>
          <w:lang w:val="fr-FR"/>
        </w:rPr>
        <w:t>« </w:t>
      </w:r>
      <w:r w:rsidRPr="00D71D11">
        <w:rPr>
          <w:lang w:val="fr-FR"/>
        </w:rPr>
        <w:t>IBC08</w:t>
      </w:r>
      <w:r>
        <w:rPr>
          <w:lang w:val="fr-FR"/>
        </w:rPr>
        <w:t> »</w:t>
      </w:r>
      <w:r w:rsidRPr="00D71D11">
        <w:rPr>
          <w:lang w:val="fr-FR"/>
        </w:rPr>
        <w:t xml:space="preserve"> par </w:t>
      </w:r>
      <w:r>
        <w:rPr>
          <w:lang w:val="fr-FR"/>
        </w:rPr>
        <w:t>« </w:t>
      </w:r>
      <w:r w:rsidRPr="00D71D11">
        <w:rPr>
          <w:lang w:val="fr-FR"/>
        </w:rPr>
        <w:t>IBC99</w:t>
      </w:r>
      <w:r>
        <w:rPr>
          <w:lang w:val="fr-FR"/>
        </w:rPr>
        <w:t> »</w:t>
      </w:r>
      <w:r w:rsidRPr="00D71D11">
        <w:rPr>
          <w:lang w:val="fr-FR"/>
        </w:rPr>
        <w:t xml:space="preserve"> ; dans la colonne (9), supprimer </w:t>
      </w:r>
      <w:r>
        <w:rPr>
          <w:lang w:val="fr-FR"/>
        </w:rPr>
        <w:t>« </w:t>
      </w:r>
      <w:r w:rsidRPr="00D71D11">
        <w:rPr>
          <w:lang w:val="fr-FR"/>
        </w:rPr>
        <w:t>B2, B4</w:t>
      </w:r>
      <w:r>
        <w:rPr>
          <w:lang w:val="fr-FR"/>
        </w:rPr>
        <w:t> »</w:t>
      </w:r>
      <w:r w:rsidRPr="00D71D11">
        <w:rPr>
          <w:lang w:val="fr-FR"/>
        </w:rPr>
        <w:t xml:space="preserve"> ; dans la colonne (10), remplacer </w:t>
      </w:r>
      <w:r>
        <w:rPr>
          <w:lang w:val="fr-FR"/>
        </w:rPr>
        <w:t>« </w:t>
      </w:r>
      <w:r w:rsidRPr="00D71D11">
        <w:rPr>
          <w:lang w:val="fr-FR"/>
        </w:rPr>
        <w:t>T2</w:t>
      </w:r>
      <w:r>
        <w:rPr>
          <w:lang w:val="fr-FR"/>
        </w:rPr>
        <w:t> »</w:t>
      </w:r>
      <w:r w:rsidRPr="00D71D11">
        <w:rPr>
          <w:lang w:val="fr-FR"/>
        </w:rPr>
        <w:t xml:space="preserve"> par </w:t>
      </w:r>
      <w:r>
        <w:rPr>
          <w:lang w:val="fr-FR"/>
        </w:rPr>
        <w:t>« </w:t>
      </w:r>
      <w:r w:rsidRPr="00D71D11">
        <w:rPr>
          <w:lang w:val="fr-FR"/>
        </w:rPr>
        <w:t>T6</w:t>
      </w:r>
      <w:r>
        <w:rPr>
          <w:lang w:val="fr-FR"/>
        </w:rPr>
        <w:t> »</w:t>
      </w:r>
      <w:r w:rsidRPr="00D71D11">
        <w:rPr>
          <w:lang w:val="fr-FR"/>
        </w:rPr>
        <w:t>.</w:t>
      </w:r>
    </w:p>
    <w:p w14:paraId="4C838678" w14:textId="77777777" w:rsidR="003B2887" w:rsidRPr="00D71D11" w:rsidRDefault="003B2887" w:rsidP="003B2887">
      <w:pPr>
        <w:pStyle w:val="SingleTxtG"/>
        <w:rPr>
          <w:i/>
          <w:iCs/>
        </w:rPr>
      </w:pPr>
      <w:r w:rsidRPr="00D71D11">
        <w:rPr>
          <w:i/>
          <w:iCs/>
          <w:lang w:val="fr-FR"/>
        </w:rPr>
        <w:t>(Document de référence : document informel INF.54)</w:t>
      </w:r>
    </w:p>
    <w:p w14:paraId="6CCA7CD6" w14:textId="77777777" w:rsidR="003B2887" w:rsidRPr="00304358" w:rsidRDefault="003B2887" w:rsidP="003B2887">
      <w:pPr>
        <w:tabs>
          <w:tab w:val="left" w:pos="1701"/>
          <w:tab w:val="left" w:pos="2268"/>
          <w:tab w:val="left" w:pos="2835"/>
        </w:tabs>
        <w:spacing w:after="120"/>
        <w:ind w:left="1134" w:right="1134"/>
        <w:jc w:val="both"/>
        <w:rPr>
          <w:rFonts w:eastAsiaTheme="minorHAnsi"/>
          <w:lang w:val="fr-FR" w:eastAsia="en-US"/>
        </w:rPr>
      </w:pPr>
      <w:r w:rsidRPr="00304358">
        <w:rPr>
          <w:rFonts w:eastAsiaTheme="minorHAnsi"/>
          <w:iCs/>
          <w:lang w:val="fr-FR" w:eastAsia="en-US"/>
        </w:rPr>
        <w:t>Ajouter les nouvelles rubriques suivantes :</w:t>
      </w:r>
    </w:p>
    <w:tbl>
      <w:tblPr>
        <w:tblW w:w="9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3"/>
        <w:gridCol w:w="3367"/>
        <w:gridCol w:w="589"/>
        <w:gridCol w:w="486"/>
        <w:gridCol w:w="512"/>
        <w:gridCol w:w="612"/>
        <w:gridCol w:w="562"/>
        <w:gridCol w:w="562"/>
        <w:gridCol w:w="664"/>
        <w:gridCol w:w="502"/>
        <w:gridCol w:w="668"/>
        <w:gridCol w:w="598"/>
      </w:tblGrid>
      <w:tr w:rsidR="003B2887" w:rsidRPr="00304358" w14:paraId="21EEF17F" w14:textId="77777777" w:rsidTr="006932FB">
        <w:trPr>
          <w:cantSplit/>
          <w:tblHeader/>
          <w:jc w:val="center"/>
        </w:trPr>
        <w:tc>
          <w:tcPr>
            <w:tcW w:w="279" w:type="pct"/>
          </w:tcPr>
          <w:p w14:paraId="2F241661" w14:textId="77777777" w:rsidR="003B2887" w:rsidRPr="00843152" w:rsidRDefault="003B2887" w:rsidP="006932FB">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843152">
              <w:rPr>
                <w:rFonts w:eastAsiaTheme="minorHAnsi"/>
                <w:b/>
                <w:bCs/>
                <w:sz w:val="18"/>
                <w:szCs w:val="18"/>
                <w:lang w:val="fr-FR" w:eastAsia="en-US"/>
              </w:rPr>
              <w:t>(1)</w:t>
            </w:r>
          </w:p>
        </w:tc>
        <w:tc>
          <w:tcPr>
            <w:tcW w:w="1747" w:type="pct"/>
            <w:vAlign w:val="bottom"/>
          </w:tcPr>
          <w:p w14:paraId="167B4BCD" w14:textId="77777777" w:rsidR="003B2887" w:rsidRPr="00843152" w:rsidRDefault="003B2887" w:rsidP="006932FB">
            <w:pPr>
              <w:widowControl w:val="0"/>
              <w:suppressAutoHyphens w:val="0"/>
              <w:kinsoku/>
              <w:overflowPunct/>
              <w:adjustRightInd/>
              <w:snapToGrid/>
              <w:spacing w:before="60" w:after="60" w:line="240" w:lineRule="auto"/>
              <w:ind w:left="6" w:right="6"/>
              <w:jc w:val="center"/>
              <w:rPr>
                <w:rFonts w:eastAsiaTheme="minorHAnsi"/>
                <w:sz w:val="18"/>
                <w:szCs w:val="18"/>
                <w:lang w:val="fr-FR" w:eastAsia="en-US"/>
              </w:rPr>
            </w:pPr>
            <w:r w:rsidRPr="00843152">
              <w:rPr>
                <w:rFonts w:eastAsiaTheme="minorHAnsi"/>
                <w:b/>
                <w:bCs/>
                <w:sz w:val="18"/>
                <w:szCs w:val="18"/>
                <w:lang w:val="fr-FR" w:eastAsia="en-US"/>
              </w:rPr>
              <w:t>(2)</w:t>
            </w:r>
          </w:p>
        </w:tc>
        <w:tc>
          <w:tcPr>
            <w:tcW w:w="286" w:type="pct"/>
            <w:vAlign w:val="bottom"/>
          </w:tcPr>
          <w:p w14:paraId="1317B2AB" w14:textId="77777777" w:rsidR="003B2887" w:rsidRPr="00843152" w:rsidRDefault="003B2887" w:rsidP="006932FB">
            <w:pPr>
              <w:widowControl w:val="0"/>
              <w:suppressAutoHyphens w:val="0"/>
              <w:kinsoku/>
              <w:overflowPunct/>
              <w:adjustRightInd/>
              <w:snapToGrid/>
              <w:spacing w:before="60" w:after="60" w:line="240" w:lineRule="auto"/>
              <w:ind w:left="127" w:right="126"/>
              <w:jc w:val="center"/>
              <w:rPr>
                <w:rFonts w:eastAsiaTheme="minorHAnsi"/>
                <w:sz w:val="18"/>
                <w:szCs w:val="18"/>
                <w:lang w:val="fr-FR" w:eastAsia="en-US"/>
              </w:rPr>
            </w:pPr>
            <w:r w:rsidRPr="00843152">
              <w:rPr>
                <w:rFonts w:eastAsiaTheme="minorHAnsi"/>
                <w:b/>
                <w:bCs/>
                <w:sz w:val="18"/>
                <w:szCs w:val="18"/>
                <w:lang w:val="fr-FR" w:eastAsia="en-US"/>
              </w:rPr>
              <w:t>(3)</w:t>
            </w:r>
          </w:p>
        </w:tc>
        <w:tc>
          <w:tcPr>
            <w:tcW w:w="255" w:type="pct"/>
            <w:vAlign w:val="bottom"/>
          </w:tcPr>
          <w:p w14:paraId="0F2E10A2" w14:textId="77777777" w:rsidR="003B2887" w:rsidRPr="00843152" w:rsidRDefault="003B2887" w:rsidP="006932FB">
            <w:pPr>
              <w:widowControl w:val="0"/>
              <w:suppressAutoHyphens w:val="0"/>
              <w:kinsoku/>
              <w:overflowPunct/>
              <w:adjustRightInd/>
              <w:snapToGrid/>
              <w:spacing w:before="60" w:after="60" w:line="240" w:lineRule="auto"/>
              <w:ind w:left="107" w:right="107"/>
              <w:jc w:val="center"/>
              <w:rPr>
                <w:rFonts w:eastAsiaTheme="minorHAnsi"/>
                <w:b/>
                <w:sz w:val="18"/>
                <w:szCs w:val="18"/>
                <w:lang w:val="fr-FR" w:eastAsia="en-US"/>
              </w:rPr>
            </w:pPr>
            <w:r w:rsidRPr="00843152">
              <w:rPr>
                <w:rFonts w:eastAsiaTheme="minorHAnsi"/>
                <w:b/>
                <w:bCs/>
                <w:sz w:val="18"/>
                <w:szCs w:val="18"/>
                <w:lang w:val="fr-FR" w:eastAsia="en-US"/>
              </w:rPr>
              <w:t>(4)</w:t>
            </w:r>
          </w:p>
        </w:tc>
        <w:tc>
          <w:tcPr>
            <w:tcW w:w="268" w:type="pct"/>
            <w:vAlign w:val="bottom"/>
          </w:tcPr>
          <w:p w14:paraId="7540C767" w14:textId="77777777" w:rsidR="003B2887" w:rsidRPr="00843152" w:rsidRDefault="003B2887" w:rsidP="006932FB">
            <w:pPr>
              <w:widowControl w:val="0"/>
              <w:suppressAutoHyphens w:val="0"/>
              <w:kinsoku/>
              <w:overflowPunct/>
              <w:adjustRightInd/>
              <w:snapToGrid/>
              <w:spacing w:before="60" w:after="60" w:line="240" w:lineRule="auto"/>
              <w:ind w:left="67" w:right="67"/>
              <w:jc w:val="center"/>
              <w:rPr>
                <w:rFonts w:eastAsiaTheme="minorHAnsi"/>
                <w:bCs/>
                <w:sz w:val="18"/>
                <w:szCs w:val="18"/>
                <w:lang w:val="fr-FR" w:eastAsia="en-US"/>
              </w:rPr>
            </w:pPr>
            <w:r w:rsidRPr="00843152">
              <w:rPr>
                <w:rFonts w:eastAsiaTheme="minorHAnsi"/>
                <w:b/>
                <w:bCs/>
                <w:sz w:val="18"/>
                <w:szCs w:val="18"/>
                <w:lang w:val="fr-FR" w:eastAsia="en-US"/>
              </w:rPr>
              <w:t>(5)</w:t>
            </w:r>
          </w:p>
        </w:tc>
        <w:tc>
          <w:tcPr>
            <w:tcW w:w="320" w:type="pct"/>
            <w:vAlign w:val="bottom"/>
          </w:tcPr>
          <w:p w14:paraId="512EAF3B" w14:textId="77777777" w:rsidR="003B2887" w:rsidRPr="00843152" w:rsidRDefault="003B2887" w:rsidP="006932FB">
            <w:pPr>
              <w:widowControl w:val="0"/>
              <w:suppressAutoHyphens w:val="0"/>
              <w:kinsoku/>
              <w:overflowPunct/>
              <w:adjustRightInd/>
              <w:snapToGrid/>
              <w:spacing w:before="60" w:after="60" w:line="240" w:lineRule="auto"/>
              <w:ind w:left="106" w:right="102"/>
              <w:jc w:val="center"/>
              <w:rPr>
                <w:rFonts w:eastAsiaTheme="minorHAnsi"/>
                <w:b/>
                <w:sz w:val="18"/>
                <w:szCs w:val="18"/>
                <w:lang w:val="fr-FR" w:eastAsia="en-US"/>
              </w:rPr>
            </w:pPr>
            <w:r w:rsidRPr="00843152">
              <w:rPr>
                <w:rFonts w:eastAsiaTheme="minorHAnsi"/>
                <w:b/>
                <w:bCs/>
                <w:sz w:val="18"/>
                <w:szCs w:val="18"/>
                <w:lang w:val="fr-FR" w:eastAsia="en-US"/>
              </w:rPr>
              <w:t>(6)</w:t>
            </w:r>
          </w:p>
        </w:tc>
        <w:tc>
          <w:tcPr>
            <w:tcW w:w="294" w:type="pct"/>
            <w:vAlign w:val="bottom"/>
          </w:tcPr>
          <w:p w14:paraId="07054B2B" w14:textId="77777777" w:rsidR="003B2887" w:rsidRPr="00843152" w:rsidRDefault="003B2887" w:rsidP="006932FB">
            <w:pPr>
              <w:widowControl w:val="0"/>
              <w:suppressAutoHyphens w:val="0"/>
              <w:kinsoku/>
              <w:overflowPunct/>
              <w:adjustRightInd/>
              <w:snapToGrid/>
              <w:spacing w:before="60" w:after="60" w:line="240" w:lineRule="auto"/>
              <w:ind w:left="-15" w:right="16"/>
              <w:jc w:val="center"/>
              <w:rPr>
                <w:rFonts w:eastAsiaTheme="minorHAnsi"/>
                <w:sz w:val="18"/>
                <w:szCs w:val="18"/>
                <w:lang w:val="fr-FR" w:eastAsia="en-US"/>
              </w:rPr>
            </w:pPr>
            <w:r w:rsidRPr="00843152">
              <w:rPr>
                <w:rFonts w:eastAsiaTheme="minorHAnsi"/>
                <w:b/>
                <w:bCs/>
                <w:spacing w:val="-5"/>
                <w:sz w:val="18"/>
                <w:szCs w:val="18"/>
                <w:lang w:val="fr-FR" w:eastAsia="en-US"/>
              </w:rPr>
              <w:t>(7a)</w:t>
            </w:r>
          </w:p>
        </w:tc>
        <w:tc>
          <w:tcPr>
            <w:tcW w:w="294" w:type="pct"/>
            <w:vAlign w:val="bottom"/>
          </w:tcPr>
          <w:p w14:paraId="71217733" w14:textId="77777777" w:rsidR="003B2887" w:rsidRPr="00843152" w:rsidRDefault="003B2887" w:rsidP="006932FB">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843152">
              <w:rPr>
                <w:rFonts w:eastAsiaTheme="minorHAnsi"/>
                <w:b/>
                <w:bCs/>
                <w:sz w:val="18"/>
                <w:szCs w:val="18"/>
                <w:lang w:val="fr-FR" w:eastAsia="en-US"/>
              </w:rPr>
              <w:t>(7b)</w:t>
            </w:r>
          </w:p>
        </w:tc>
        <w:tc>
          <w:tcPr>
            <w:tcW w:w="347" w:type="pct"/>
            <w:vAlign w:val="bottom"/>
          </w:tcPr>
          <w:p w14:paraId="2BE6E3C7" w14:textId="77777777" w:rsidR="003B2887" w:rsidRPr="00843152"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843152">
              <w:rPr>
                <w:rFonts w:eastAsiaTheme="minorHAnsi"/>
                <w:b/>
                <w:bCs/>
                <w:sz w:val="18"/>
                <w:szCs w:val="18"/>
                <w:lang w:val="fr-FR" w:eastAsia="en-US"/>
              </w:rPr>
              <w:t>(8)</w:t>
            </w:r>
          </w:p>
        </w:tc>
        <w:tc>
          <w:tcPr>
            <w:tcW w:w="248" w:type="pct"/>
            <w:vAlign w:val="bottom"/>
          </w:tcPr>
          <w:p w14:paraId="53BD13B2" w14:textId="77777777" w:rsidR="003B2887" w:rsidRPr="00843152"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843152">
              <w:rPr>
                <w:rFonts w:eastAsiaTheme="minorHAnsi"/>
                <w:b/>
                <w:bCs/>
                <w:sz w:val="18"/>
                <w:szCs w:val="18"/>
                <w:lang w:val="fr-FR" w:eastAsia="en-US"/>
              </w:rPr>
              <w:t>(9)</w:t>
            </w:r>
          </w:p>
        </w:tc>
        <w:tc>
          <w:tcPr>
            <w:tcW w:w="349" w:type="pct"/>
            <w:vAlign w:val="bottom"/>
          </w:tcPr>
          <w:p w14:paraId="17A97BAB" w14:textId="77777777" w:rsidR="003B2887" w:rsidRPr="00843152"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843152">
              <w:rPr>
                <w:rFonts w:eastAsiaTheme="minorHAnsi"/>
                <w:b/>
                <w:bCs/>
                <w:sz w:val="18"/>
                <w:szCs w:val="18"/>
                <w:lang w:val="fr-FR" w:eastAsia="en-US"/>
              </w:rPr>
              <w:t>(10)</w:t>
            </w:r>
          </w:p>
        </w:tc>
        <w:tc>
          <w:tcPr>
            <w:tcW w:w="313" w:type="pct"/>
            <w:vAlign w:val="bottom"/>
          </w:tcPr>
          <w:p w14:paraId="5BFA0717" w14:textId="77777777" w:rsidR="003B2887" w:rsidRPr="00843152"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843152">
              <w:rPr>
                <w:rFonts w:eastAsiaTheme="minorHAnsi"/>
                <w:b/>
                <w:bCs/>
                <w:sz w:val="18"/>
                <w:szCs w:val="18"/>
                <w:lang w:val="fr-FR" w:eastAsia="en-US"/>
              </w:rPr>
              <w:t>(11)</w:t>
            </w:r>
          </w:p>
        </w:tc>
      </w:tr>
      <w:tr w:rsidR="003B2887" w:rsidRPr="003506C4" w14:paraId="5E50635C" w14:textId="77777777" w:rsidTr="006932FB">
        <w:trPr>
          <w:cantSplit/>
          <w:jc w:val="center"/>
        </w:trPr>
        <w:tc>
          <w:tcPr>
            <w:tcW w:w="279" w:type="pct"/>
          </w:tcPr>
          <w:p w14:paraId="66B35D71" w14:textId="77777777" w:rsidR="003B2887" w:rsidRPr="003506C4" w:rsidRDefault="003B2887" w:rsidP="006932FB">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506C4">
              <w:rPr>
                <w:sz w:val="18"/>
                <w:szCs w:val="18"/>
                <w:lang w:val="en-GB"/>
              </w:rPr>
              <w:t>0514</w:t>
            </w:r>
          </w:p>
        </w:tc>
        <w:tc>
          <w:tcPr>
            <w:tcW w:w="1747" w:type="pct"/>
          </w:tcPr>
          <w:p w14:paraId="0A149CC2" w14:textId="77777777" w:rsidR="003B2887" w:rsidRPr="003506C4" w:rsidRDefault="003B2887" w:rsidP="006932FB">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3506C4">
              <w:rPr>
                <w:sz w:val="18"/>
                <w:szCs w:val="18"/>
                <w:lang w:val="en-GB"/>
              </w:rPr>
              <w:t>DISPOSITIFS D’EXTINCTION PAR DISPERSION</w:t>
            </w:r>
          </w:p>
        </w:tc>
        <w:tc>
          <w:tcPr>
            <w:tcW w:w="286" w:type="pct"/>
          </w:tcPr>
          <w:p w14:paraId="53CE76BF" w14:textId="77777777" w:rsidR="003B2887" w:rsidRPr="003506C4" w:rsidRDefault="003B2887" w:rsidP="006932FB">
            <w:pPr>
              <w:widowControl w:val="0"/>
              <w:suppressAutoHyphens w:val="0"/>
              <w:kinsoku/>
              <w:overflowPunct/>
              <w:adjustRightInd/>
              <w:snapToGrid/>
              <w:spacing w:before="60" w:after="60" w:line="240" w:lineRule="auto"/>
              <w:ind w:left="127" w:right="126"/>
              <w:jc w:val="center"/>
              <w:rPr>
                <w:rFonts w:eastAsiaTheme="minorHAnsi"/>
                <w:sz w:val="18"/>
                <w:szCs w:val="18"/>
                <w:lang w:val="fr-FR" w:eastAsia="en-US"/>
              </w:rPr>
            </w:pPr>
            <w:r w:rsidRPr="003506C4">
              <w:rPr>
                <w:sz w:val="18"/>
                <w:szCs w:val="18"/>
                <w:lang w:val="en-GB"/>
              </w:rPr>
              <w:t>1.4S</w:t>
            </w:r>
          </w:p>
        </w:tc>
        <w:tc>
          <w:tcPr>
            <w:tcW w:w="255" w:type="pct"/>
          </w:tcPr>
          <w:p w14:paraId="32AE6709" w14:textId="77777777" w:rsidR="003B2887" w:rsidRPr="003506C4" w:rsidRDefault="003B2887" w:rsidP="006932FB">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p>
        </w:tc>
        <w:tc>
          <w:tcPr>
            <w:tcW w:w="268" w:type="pct"/>
          </w:tcPr>
          <w:p w14:paraId="67B3A274" w14:textId="77777777" w:rsidR="003B2887" w:rsidRPr="003506C4" w:rsidRDefault="003B2887" w:rsidP="006932FB">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p>
        </w:tc>
        <w:tc>
          <w:tcPr>
            <w:tcW w:w="320" w:type="pct"/>
          </w:tcPr>
          <w:p w14:paraId="716C2257" w14:textId="77777777" w:rsidR="003B2887" w:rsidRPr="003506C4" w:rsidRDefault="003B2887" w:rsidP="006932FB">
            <w:pPr>
              <w:widowControl w:val="0"/>
              <w:suppressAutoHyphens w:val="0"/>
              <w:kinsoku/>
              <w:overflowPunct/>
              <w:adjustRightInd/>
              <w:snapToGrid/>
              <w:spacing w:before="60" w:after="60" w:line="240" w:lineRule="auto"/>
              <w:ind w:left="106" w:right="102"/>
              <w:jc w:val="center"/>
              <w:rPr>
                <w:rFonts w:eastAsiaTheme="minorHAnsi"/>
                <w:sz w:val="18"/>
                <w:szCs w:val="18"/>
                <w:lang w:val="fr-FR" w:eastAsia="en-US"/>
              </w:rPr>
            </w:pPr>
            <w:r w:rsidRPr="003506C4">
              <w:rPr>
                <w:sz w:val="18"/>
                <w:szCs w:val="18"/>
                <w:lang w:val="en-GB"/>
              </w:rPr>
              <w:t>407</w:t>
            </w:r>
          </w:p>
        </w:tc>
        <w:tc>
          <w:tcPr>
            <w:tcW w:w="294" w:type="pct"/>
          </w:tcPr>
          <w:p w14:paraId="5C6E5A84" w14:textId="77777777" w:rsidR="003B2887" w:rsidRPr="003506C4" w:rsidRDefault="003B2887" w:rsidP="006932FB">
            <w:pPr>
              <w:widowControl w:val="0"/>
              <w:suppressAutoHyphens w:val="0"/>
              <w:kinsoku/>
              <w:overflowPunct/>
              <w:adjustRightInd/>
              <w:snapToGrid/>
              <w:spacing w:before="60" w:after="60" w:line="240" w:lineRule="auto"/>
              <w:ind w:left="-15" w:right="16"/>
              <w:jc w:val="center"/>
              <w:rPr>
                <w:rFonts w:eastAsiaTheme="minorHAnsi"/>
                <w:sz w:val="18"/>
                <w:szCs w:val="18"/>
                <w:lang w:val="fr-FR" w:eastAsia="en-US"/>
              </w:rPr>
            </w:pPr>
            <w:r w:rsidRPr="003506C4">
              <w:rPr>
                <w:sz w:val="18"/>
                <w:szCs w:val="18"/>
                <w:lang w:val="en-GB"/>
              </w:rPr>
              <w:t>0</w:t>
            </w:r>
          </w:p>
        </w:tc>
        <w:tc>
          <w:tcPr>
            <w:tcW w:w="294" w:type="pct"/>
          </w:tcPr>
          <w:p w14:paraId="10935DFC" w14:textId="77777777" w:rsidR="003B2887" w:rsidRPr="003506C4" w:rsidRDefault="003B2887" w:rsidP="006932FB">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506C4">
              <w:rPr>
                <w:sz w:val="18"/>
                <w:szCs w:val="18"/>
                <w:lang w:val="en-GB"/>
              </w:rPr>
              <w:t>E0</w:t>
            </w:r>
          </w:p>
        </w:tc>
        <w:tc>
          <w:tcPr>
            <w:tcW w:w="347" w:type="pct"/>
          </w:tcPr>
          <w:p w14:paraId="008952D5" w14:textId="77777777" w:rsidR="003B2887" w:rsidRPr="003506C4"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506C4">
              <w:rPr>
                <w:sz w:val="18"/>
                <w:szCs w:val="18"/>
                <w:lang w:val="en-GB"/>
              </w:rPr>
              <w:t>P135</w:t>
            </w:r>
          </w:p>
        </w:tc>
        <w:tc>
          <w:tcPr>
            <w:tcW w:w="248" w:type="pct"/>
          </w:tcPr>
          <w:p w14:paraId="2F3B7764" w14:textId="77777777" w:rsidR="003B2887" w:rsidRPr="003506C4"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349" w:type="pct"/>
          </w:tcPr>
          <w:p w14:paraId="17601225" w14:textId="77777777" w:rsidR="003B2887" w:rsidRPr="003506C4"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313" w:type="pct"/>
          </w:tcPr>
          <w:p w14:paraId="5BA4DA1D" w14:textId="77777777" w:rsidR="003B2887" w:rsidRPr="003506C4"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r w:rsidR="003B2887" w:rsidRPr="003506C4" w14:paraId="5CDB2611" w14:textId="77777777" w:rsidTr="006932FB">
        <w:trPr>
          <w:cantSplit/>
          <w:jc w:val="center"/>
        </w:trPr>
        <w:tc>
          <w:tcPr>
            <w:tcW w:w="279" w:type="pct"/>
          </w:tcPr>
          <w:p w14:paraId="4D00BA41" w14:textId="77777777" w:rsidR="003B2887" w:rsidRPr="003506C4" w:rsidRDefault="003B2887" w:rsidP="006932FB">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506C4">
              <w:rPr>
                <w:sz w:val="18"/>
                <w:szCs w:val="18"/>
                <w:lang w:val="en-US"/>
              </w:rPr>
              <w:t>1835</w:t>
            </w:r>
          </w:p>
        </w:tc>
        <w:tc>
          <w:tcPr>
            <w:tcW w:w="1747" w:type="pct"/>
          </w:tcPr>
          <w:p w14:paraId="2FF636CA" w14:textId="77777777" w:rsidR="003B2887" w:rsidRPr="003506C4" w:rsidRDefault="003B2887" w:rsidP="006932FB">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3506C4">
              <w:rPr>
                <w:sz w:val="18"/>
                <w:szCs w:val="18"/>
              </w:rPr>
              <w:t>HYDROXYDE DE TETRAMÉTHYLAMMONIUM EN SOLUTION AQUEUSE contenant au moins 25 % d’hydroxyde de tétraméthylammonium</w:t>
            </w:r>
          </w:p>
        </w:tc>
        <w:tc>
          <w:tcPr>
            <w:tcW w:w="286" w:type="pct"/>
          </w:tcPr>
          <w:p w14:paraId="13A0C1CC" w14:textId="77777777" w:rsidR="003B2887" w:rsidRPr="003506C4" w:rsidRDefault="003B2887" w:rsidP="006932FB">
            <w:pPr>
              <w:widowControl w:val="0"/>
              <w:suppressAutoHyphens w:val="0"/>
              <w:kinsoku/>
              <w:overflowPunct/>
              <w:adjustRightInd/>
              <w:snapToGrid/>
              <w:spacing w:before="60" w:after="60" w:line="240" w:lineRule="auto"/>
              <w:ind w:left="127" w:right="126"/>
              <w:jc w:val="center"/>
              <w:rPr>
                <w:rFonts w:eastAsiaTheme="minorEastAsia"/>
                <w:sz w:val="18"/>
                <w:szCs w:val="18"/>
                <w:lang w:val="en-GB" w:eastAsia="en-US"/>
              </w:rPr>
            </w:pPr>
            <w:r w:rsidRPr="003506C4">
              <w:rPr>
                <w:sz w:val="18"/>
                <w:szCs w:val="18"/>
                <w:lang w:val="en-US"/>
              </w:rPr>
              <w:t>6.1</w:t>
            </w:r>
          </w:p>
        </w:tc>
        <w:tc>
          <w:tcPr>
            <w:tcW w:w="255" w:type="pct"/>
          </w:tcPr>
          <w:p w14:paraId="19375D7E" w14:textId="77777777" w:rsidR="003B2887" w:rsidRPr="003506C4" w:rsidRDefault="003B2887" w:rsidP="006932FB">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r w:rsidRPr="003506C4">
              <w:rPr>
                <w:sz w:val="18"/>
                <w:szCs w:val="18"/>
                <w:lang w:val="en-US"/>
              </w:rPr>
              <w:t>8</w:t>
            </w:r>
          </w:p>
        </w:tc>
        <w:tc>
          <w:tcPr>
            <w:tcW w:w="268" w:type="pct"/>
          </w:tcPr>
          <w:p w14:paraId="7C0A6EF4" w14:textId="77777777" w:rsidR="003B2887" w:rsidRPr="003506C4" w:rsidRDefault="003B2887" w:rsidP="006932FB">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r w:rsidRPr="003506C4">
              <w:rPr>
                <w:sz w:val="18"/>
                <w:szCs w:val="18"/>
                <w:lang w:val="en-US"/>
              </w:rPr>
              <w:t>I</w:t>
            </w:r>
          </w:p>
        </w:tc>
        <w:tc>
          <w:tcPr>
            <w:tcW w:w="320" w:type="pct"/>
          </w:tcPr>
          <w:p w14:paraId="374F9215" w14:textId="77777777" w:rsidR="003B2887" w:rsidRPr="003506C4" w:rsidRDefault="003B2887" w:rsidP="006932FB">
            <w:pPr>
              <w:widowControl w:val="0"/>
              <w:suppressAutoHyphens w:val="0"/>
              <w:kinsoku/>
              <w:overflowPunct/>
              <w:adjustRightInd/>
              <w:snapToGrid/>
              <w:spacing w:before="60" w:after="60" w:line="240" w:lineRule="auto"/>
              <w:ind w:left="106" w:right="102"/>
              <w:jc w:val="center"/>
              <w:rPr>
                <w:rFonts w:eastAsiaTheme="minorEastAsia"/>
                <w:sz w:val="18"/>
                <w:szCs w:val="18"/>
                <w:lang w:val="en-GB" w:eastAsia="en-US"/>
              </w:rPr>
            </w:pPr>
            <w:r w:rsidRPr="003506C4">
              <w:rPr>
                <w:sz w:val="18"/>
                <w:szCs w:val="18"/>
                <w:lang w:val="en-US"/>
              </w:rPr>
              <w:t>279</w:t>
            </w:r>
            <w:r w:rsidRPr="003506C4">
              <w:rPr>
                <w:sz w:val="18"/>
                <w:szCs w:val="18"/>
                <w:lang w:val="en-US"/>
              </w:rPr>
              <w:br/>
              <w:t>408</w:t>
            </w:r>
            <w:r w:rsidRPr="003506C4">
              <w:rPr>
                <w:sz w:val="18"/>
                <w:szCs w:val="18"/>
                <w:lang w:val="en-US"/>
              </w:rPr>
              <w:br/>
              <w:t>409</w:t>
            </w:r>
          </w:p>
        </w:tc>
        <w:tc>
          <w:tcPr>
            <w:tcW w:w="294" w:type="pct"/>
          </w:tcPr>
          <w:p w14:paraId="02A40AD2" w14:textId="77777777" w:rsidR="003B2887" w:rsidRPr="003506C4" w:rsidRDefault="003B2887" w:rsidP="006932FB">
            <w:pPr>
              <w:widowControl w:val="0"/>
              <w:suppressAutoHyphens w:val="0"/>
              <w:kinsoku/>
              <w:overflowPunct/>
              <w:adjustRightInd/>
              <w:snapToGrid/>
              <w:spacing w:before="60" w:after="60" w:line="240" w:lineRule="auto"/>
              <w:ind w:left="-15" w:right="16"/>
              <w:jc w:val="center"/>
              <w:rPr>
                <w:rFonts w:eastAsiaTheme="minorEastAsia"/>
                <w:sz w:val="18"/>
                <w:szCs w:val="18"/>
                <w:lang w:val="en-GB" w:eastAsia="en-US"/>
              </w:rPr>
            </w:pPr>
            <w:r w:rsidRPr="003506C4">
              <w:rPr>
                <w:sz w:val="18"/>
                <w:szCs w:val="18"/>
                <w:lang w:val="en-US"/>
              </w:rPr>
              <w:t>0</w:t>
            </w:r>
          </w:p>
        </w:tc>
        <w:tc>
          <w:tcPr>
            <w:tcW w:w="294" w:type="pct"/>
          </w:tcPr>
          <w:p w14:paraId="6A3FCFEF" w14:textId="77777777" w:rsidR="003B2887" w:rsidRPr="003506C4" w:rsidRDefault="003B2887" w:rsidP="006932FB">
            <w:pPr>
              <w:widowControl w:val="0"/>
              <w:suppressAutoHyphens w:val="0"/>
              <w:kinsoku/>
              <w:overflowPunct/>
              <w:adjustRightInd/>
              <w:snapToGrid/>
              <w:spacing w:before="60" w:after="60" w:line="240" w:lineRule="auto"/>
              <w:jc w:val="center"/>
              <w:rPr>
                <w:rFonts w:eastAsiaTheme="minorEastAsia"/>
                <w:sz w:val="18"/>
                <w:szCs w:val="18"/>
                <w:lang w:val="en-GB" w:eastAsia="en-US"/>
              </w:rPr>
            </w:pPr>
            <w:r w:rsidRPr="003506C4">
              <w:rPr>
                <w:sz w:val="18"/>
                <w:szCs w:val="18"/>
                <w:lang w:val="en-US"/>
              </w:rPr>
              <w:t>E5</w:t>
            </w:r>
          </w:p>
        </w:tc>
        <w:tc>
          <w:tcPr>
            <w:tcW w:w="347" w:type="pct"/>
          </w:tcPr>
          <w:p w14:paraId="2D190621" w14:textId="77777777" w:rsidR="003B2887" w:rsidRPr="003506C4" w:rsidRDefault="003B2887" w:rsidP="006932FB">
            <w:pPr>
              <w:widowControl w:val="0"/>
              <w:suppressAutoHyphens w:val="0"/>
              <w:kinsoku/>
              <w:overflowPunct/>
              <w:adjustRightInd/>
              <w:snapToGrid/>
              <w:spacing w:before="60" w:after="60" w:line="240" w:lineRule="auto"/>
              <w:ind w:left="141" w:right="141"/>
              <w:jc w:val="center"/>
              <w:rPr>
                <w:rFonts w:eastAsiaTheme="minorEastAsia"/>
                <w:sz w:val="18"/>
                <w:szCs w:val="18"/>
                <w:lang w:val="en-GB" w:eastAsia="en-US"/>
              </w:rPr>
            </w:pPr>
            <w:r w:rsidRPr="003506C4">
              <w:rPr>
                <w:sz w:val="18"/>
                <w:szCs w:val="18"/>
                <w:lang w:val="en-US"/>
              </w:rPr>
              <w:t>P001</w:t>
            </w:r>
          </w:p>
        </w:tc>
        <w:tc>
          <w:tcPr>
            <w:tcW w:w="248" w:type="pct"/>
          </w:tcPr>
          <w:p w14:paraId="340CE599" w14:textId="77777777" w:rsidR="003B2887" w:rsidRPr="003506C4"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349" w:type="pct"/>
          </w:tcPr>
          <w:p w14:paraId="6DD0EE9A" w14:textId="77777777" w:rsidR="003B2887" w:rsidRPr="003506C4"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506C4">
              <w:rPr>
                <w:sz w:val="18"/>
                <w:szCs w:val="18"/>
                <w:lang w:val="en-US"/>
              </w:rPr>
              <w:t>T14</w:t>
            </w:r>
          </w:p>
        </w:tc>
        <w:tc>
          <w:tcPr>
            <w:tcW w:w="313" w:type="pct"/>
          </w:tcPr>
          <w:p w14:paraId="035E89DA" w14:textId="77777777" w:rsidR="003B2887" w:rsidRPr="003506C4"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506C4">
              <w:rPr>
                <w:sz w:val="18"/>
                <w:szCs w:val="18"/>
                <w:lang w:val="en-US"/>
              </w:rPr>
              <w:t>TP2</w:t>
            </w:r>
          </w:p>
        </w:tc>
      </w:tr>
      <w:tr w:rsidR="003B2887" w:rsidRPr="00304358" w14:paraId="04B4F7BF" w14:textId="77777777" w:rsidTr="006932FB">
        <w:trPr>
          <w:cantSplit/>
          <w:jc w:val="center"/>
        </w:trPr>
        <w:tc>
          <w:tcPr>
            <w:tcW w:w="279" w:type="pct"/>
          </w:tcPr>
          <w:p w14:paraId="5E504B04" w14:textId="77777777" w:rsidR="003B2887" w:rsidRPr="003506C4" w:rsidRDefault="003B2887" w:rsidP="006932FB">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506C4">
              <w:rPr>
                <w:rFonts w:eastAsiaTheme="minorHAnsi"/>
                <w:sz w:val="18"/>
                <w:szCs w:val="18"/>
                <w:lang w:val="fr-FR" w:eastAsia="en-US"/>
              </w:rPr>
              <w:t>3556</w:t>
            </w:r>
          </w:p>
        </w:tc>
        <w:tc>
          <w:tcPr>
            <w:tcW w:w="1747" w:type="pct"/>
          </w:tcPr>
          <w:p w14:paraId="495AC76C" w14:textId="77777777" w:rsidR="003B2887" w:rsidRPr="003506C4" w:rsidRDefault="003B2887" w:rsidP="006932FB">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3506C4">
              <w:rPr>
                <w:rFonts w:eastAsiaTheme="minorHAnsi"/>
                <w:sz w:val="18"/>
                <w:szCs w:val="18"/>
                <w:lang w:val="fr-FR" w:eastAsia="en-US"/>
              </w:rPr>
              <w:t>VÉHICULE MÛ PAR UNE BATTERIE AU LITHIUM IONIQUE</w:t>
            </w:r>
          </w:p>
        </w:tc>
        <w:tc>
          <w:tcPr>
            <w:tcW w:w="286" w:type="pct"/>
          </w:tcPr>
          <w:p w14:paraId="3AA15473" w14:textId="77777777" w:rsidR="003B2887" w:rsidRPr="003506C4" w:rsidRDefault="003B2887" w:rsidP="006932FB">
            <w:pPr>
              <w:widowControl w:val="0"/>
              <w:suppressAutoHyphens w:val="0"/>
              <w:kinsoku/>
              <w:overflowPunct/>
              <w:adjustRightInd/>
              <w:snapToGrid/>
              <w:spacing w:before="60" w:after="60" w:line="240" w:lineRule="auto"/>
              <w:ind w:left="127" w:right="126"/>
              <w:jc w:val="center"/>
              <w:rPr>
                <w:rFonts w:eastAsiaTheme="minorEastAsia"/>
                <w:sz w:val="18"/>
                <w:szCs w:val="18"/>
                <w:lang w:val="en-GB" w:eastAsia="en-US"/>
              </w:rPr>
            </w:pPr>
            <w:r w:rsidRPr="003506C4">
              <w:rPr>
                <w:rFonts w:eastAsiaTheme="minorEastAsia"/>
                <w:sz w:val="18"/>
                <w:szCs w:val="18"/>
                <w:lang w:val="en-GB" w:eastAsia="en-US"/>
              </w:rPr>
              <w:t>9</w:t>
            </w:r>
          </w:p>
        </w:tc>
        <w:tc>
          <w:tcPr>
            <w:tcW w:w="255" w:type="pct"/>
          </w:tcPr>
          <w:p w14:paraId="5A318DED" w14:textId="77777777" w:rsidR="003B2887" w:rsidRPr="003506C4" w:rsidRDefault="003B2887" w:rsidP="006932FB">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p>
        </w:tc>
        <w:tc>
          <w:tcPr>
            <w:tcW w:w="268" w:type="pct"/>
          </w:tcPr>
          <w:p w14:paraId="3A1EA83F" w14:textId="77777777" w:rsidR="003B2887" w:rsidRPr="003506C4" w:rsidRDefault="003B2887" w:rsidP="006932FB">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p>
        </w:tc>
        <w:tc>
          <w:tcPr>
            <w:tcW w:w="320" w:type="pct"/>
          </w:tcPr>
          <w:p w14:paraId="452948FC" w14:textId="77777777" w:rsidR="003B2887" w:rsidRPr="003506C4" w:rsidRDefault="003B2887" w:rsidP="006932FB">
            <w:pPr>
              <w:widowControl w:val="0"/>
              <w:suppressAutoHyphens w:val="0"/>
              <w:kinsoku/>
              <w:overflowPunct/>
              <w:adjustRightInd/>
              <w:snapToGrid/>
              <w:spacing w:before="60" w:after="60" w:line="240" w:lineRule="auto"/>
              <w:ind w:left="106" w:right="102"/>
              <w:jc w:val="center"/>
              <w:rPr>
                <w:rFonts w:eastAsiaTheme="minorEastAsia"/>
                <w:sz w:val="18"/>
                <w:szCs w:val="18"/>
                <w:lang w:val="en-GB" w:eastAsia="en-US"/>
              </w:rPr>
            </w:pPr>
            <w:r w:rsidRPr="003506C4">
              <w:rPr>
                <w:rFonts w:eastAsiaTheme="minorEastAsia"/>
                <w:sz w:val="18"/>
                <w:szCs w:val="18"/>
                <w:lang w:val="en-GB" w:eastAsia="en-US"/>
              </w:rPr>
              <w:t>384</w:t>
            </w:r>
            <w:r w:rsidRPr="003506C4">
              <w:rPr>
                <w:rFonts w:eastAsiaTheme="minorEastAsia"/>
                <w:sz w:val="18"/>
                <w:szCs w:val="18"/>
                <w:lang w:val="en-GB" w:eastAsia="en-US"/>
              </w:rPr>
              <w:br/>
              <w:t>388</w:t>
            </w:r>
            <w:r w:rsidRPr="003506C4">
              <w:rPr>
                <w:rFonts w:eastAsiaTheme="minorEastAsia"/>
                <w:sz w:val="18"/>
                <w:szCs w:val="18"/>
                <w:lang w:val="en-GB" w:eastAsia="en-US"/>
              </w:rPr>
              <w:br/>
              <w:t>405</w:t>
            </w:r>
          </w:p>
        </w:tc>
        <w:tc>
          <w:tcPr>
            <w:tcW w:w="294" w:type="pct"/>
          </w:tcPr>
          <w:p w14:paraId="5BE1CC0E" w14:textId="77777777" w:rsidR="003B2887" w:rsidRPr="003506C4" w:rsidRDefault="003B2887" w:rsidP="006932FB">
            <w:pPr>
              <w:widowControl w:val="0"/>
              <w:suppressAutoHyphens w:val="0"/>
              <w:kinsoku/>
              <w:overflowPunct/>
              <w:adjustRightInd/>
              <w:snapToGrid/>
              <w:spacing w:before="60" w:after="60" w:line="240" w:lineRule="auto"/>
              <w:ind w:left="-15" w:right="16"/>
              <w:jc w:val="center"/>
              <w:rPr>
                <w:rFonts w:eastAsiaTheme="minorEastAsia"/>
                <w:sz w:val="18"/>
                <w:szCs w:val="18"/>
                <w:lang w:val="en-GB" w:eastAsia="en-US"/>
              </w:rPr>
            </w:pPr>
            <w:r w:rsidRPr="003506C4">
              <w:rPr>
                <w:rFonts w:eastAsiaTheme="minorEastAsia"/>
                <w:sz w:val="18"/>
                <w:szCs w:val="18"/>
                <w:lang w:val="en-GB" w:eastAsia="en-US"/>
              </w:rPr>
              <w:t>0</w:t>
            </w:r>
          </w:p>
        </w:tc>
        <w:tc>
          <w:tcPr>
            <w:tcW w:w="294" w:type="pct"/>
          </w:tcPr>
          <w:p w14:paraId="005E0D22" w14:textId="77777777" w:rsidR="003B2887" w:rsidRPr="003506C4" w:rsidRDefault="003B2887" w:rsidP="006932FB">
            <w:pPr>
              <w:widowControl w:val="0"/>
              <w:suppressAutoHyphens w:val="0"/>
              <w:kinsoku/>
              <w:overflowPunct/>
              <w:adjustRightInd/>
              <w:snapToGrid/>
              <w:spacing w:before="60" w:after="60" w:line="240" w:lineRule="auto"/>
              <w:jc w:val="center"/>
              <w:rPr>
                <w:rFonts w:eastAsiaTheme="minorEastAsia"/>
                <w:sz w:val="18"/>
                <w:szCs w:val="18"/>
                <w:lang w:val="en-GB" w:eastAsia="en-US"/>
              </w:rPr>
            </w:pPr>
            <w:r w:rsidRPr="003506C4">
              <w:rPr>
                <w:rFonts w:eastAsiaTheme="minorEastAsia"/>
                <w:sz w:val="18"/>
                <w:szCs w:val="18"/>
                <w:lang w:val="en-GB" w:eastAsia="en-US"/>
              </w:rPr>
              <w:t>E0</w:t>
            </w:r>
          </w:p>
        </w:tc>
        <w:tc>
          <w:tcPr>
            <w:tcW w:w="347" w:type="pct"/>
          </w:tcPr>
          <w:p w14:paraId="332A6EE0" w14:textId="77777777" w:rsidR="003B2887" w:rsidRPr="00843152" w:rsidRDefault="003B2887" w:rsidP="006932FB">
            <w:pPr>
              <w:widowControl w:val="0"/>
              <w:suppressAutoHyphens w:val="0"/>
              <w:kinsoku/>
              <w:overflowPunct/>
              <w:adjustRightInd/>
              <w:snapToGrid/>
              <w:spacing w:before="60" w:after="60" w:line="240" w:lineRule="auto"/>
              <w:ind w:left="141" w:right="141"/>
              <w:jc w:val="center"/>
              <w:rPr>
                <w:rFonts w:eastAsiaTheme="minorEastAsia"/>
                <w:sz w:val="18"/>
                <w:szCs w:val="18"/>
                <w:lang w:val="en-GB" w:eastAsia="en-US"/>
              </w:rPr>
            </w:pPr>
            <w:r w:rsidRPr="003506C4">
              <w:rPr>
                <w:rFonts w:eastAsiaTheme="minorEastAsia"/>
                <w:sz w:val="18"/>
                <w:szCs w:val="18"/>
                <w:lang w:val="en-GB" w:eastAsia="en-US"/>
              </w:rPr>
              <w:t>P912</w:t>
            </w:r>
          </w:p>
        </w:tc>
        <w:tc>
          <w:tcPr>
            <w:tcW w:w="248" w:type="pct"/>
          </w:tcPr>
          <w:p w14:paraId="7DEC5094" w14:textId="77777777" w:rsidR="003B2887" w:rsidRPr="00843152"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349" w:type="pct"/>
          </w:tcPr>
          <w:p w14:paraId="6DDC37BF" w14:textId="77777777" w:rsidR="003B2887" w:rsidRPr="00843152"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313" w:type="pct"/>
          </w:tcPr>
          <w:p w14:paraId="34538F80" w14:textId="77777777" w:rsidR="003B2887" w:rsidRPr="00843152"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r w:rsidR="003B2887" w:rsidRPr="003506C4" w14:paraId="6C4D286E" w14:textId="77777777" w:rsidTr="006932FB">
        <w:trPr>
          <w:cantSplit/>
          <w:jc w:val="center"/>
        </w:trPr>
        <w:tc>
          <w:tcPr>
            <w:tcW w:w="279" w:type="pct"/>
          </w:tcPr>
          <w:p w14:paraId="2D91107D" w14:textId="77777777" w:rsidR="003B2887" w:rsidRPr="003506C4" w:rsidRDefault="003B2887" w:rsidP="006932FB">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506C4">
              <w:rPr>
                <w:rFonts w:eastAsiaTheme="minorHAnsi"/>
                <w:sz w:val="18"/>
                <w:szCs w:val="18"/>
                <w:lang w:val="fr-FR" w:eastAsia="en-US"/>
              </w:rPr>
              <w:t>3557</w:t>
            </w:r>
          </w:p>
        </w:tc>
        <w:tc>
          <w:tcPr>
            <w:tcW w:w="1747" w:type="pct"/>
          </w:tcPr>
          <w:p w14:paraId="3132446F" w14:textId="77777777" w:rsidR="003B2887" w:rsidRPr="003506C4" w:rsidRDefault="003B2887" w:rsidP="006932FB">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3506C4">
              <w:rPr>
                <w:rFonts w:eastAsiaTheme="minorHAnsi"/>
                <w:sz w:val="18"/>
                <w:szCs w:val="18"/>
                <w:lang w:val="fr-FR" w:eastAsia="en-US"/>
              </w:rPr>
              <w:t>VÉHICULE MÛ PAR UNE BATTERIE AU LITHIUM MÉTAL</w:t>
            </w:r>
          </w:p>
        </w:tc>
        <w:tc>
          <w:tcPr>
            <w:tcW w:w="286" w:type="pct"/>
          </w:tcPr>
          <w:p w14:paraId="70781290" w14:textId="77777777" w:rsidR="003B2887" w:rsidRPr="003506C4" w:rsidRDefault="003B2887" w:rsidP="006932FB">
            <w:pPr>
              <w:widowControl w:val="0"/>
              <w:suppressAutoHyphens w:val="0"/>
              <w:kinsoku/>
              <w:overflowPunct/>
              <w:adjustRightInd/>
              <w:snapToGrid/>
              <w:spacing w:before="60" w:after="60" w:line="240" w:lineRule="auto"/>
              <w:ind w:left="127" w:right="126"/>
              <w:jc w:val="center"/>
              <w:rPr>
                <w:rFonts w:eastAsiaTheme="minorHAnsi"/>
                <w:sz w:val="18"/>
                <w:szCs w:val="18"/>
                <w:lang w:val="fr-FR" w:eastAsia="en-US"/>
              </w:rPr>
            </w:pPr>
            <w:r w:rsidRPr="003506C4">
              <w:rPr>
                <w:rFonts w:eastAsiaTheme="minorEastAsia"/>
                <w:sz w:val="18"/>
                <w:szCs w:val="18"/>
                <w:lang w:val="en-GB" w:eastAsia="en-US"/>
              </w:rPr>
              <w:t>9</w:t>
            </w:r>
          </w:p>
        </w:tc>
        <w:tc>
          <w:tcPr>
            <w:tcW w:w="255" w:type="pct"/>
          </w:tcPr>
          <w:p w14:paraId="496D2003" w14:textId="77777777" w:rsidR="003B2887" w:rsidRPr="003506C4" w:rsidRDefault="003B2887" w:rsidP="006932FB">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p>
        </w:tc>
        <w:tc>
          <w:tcPr>
            <w:tcW w:w="268" w:type="pct"/>
          </w:tcPr>
          <w:p w14:paraId="7A71FD1C" w14:textId="77777777" w:rsidR="003B2887" w:rsidRPr="003506C4" w:rsidRDefault="003B2887" w:rsidP="006932FB">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p>
        </w:tc>
        <w:tc>
          <w:tcPr>
            <w:tcW w:w="320" w:type="pct"/>
          </w:tcPr>
          <w:p w14:paraId="02081C34" w14:textId="77777777" w:rsidR="003B2887" w:rsidRPr="003506C4" w:rsidRDefault="003B2887" w:rsidP="006932FB">
            <w:pPr>
              <w:widowControl w:val="0"/>
              <w:suppressAutoHyphens w:val="0"/>
              <w:kinsoku/>
              <w:overflowPunct/>
              <w:adjustRightInd/>
              <w:snapToGrid/>
              <w:spacing w:before="60" w:after="60" w:line="240" w:lineRule="auto"/>
              <w:ind w:left="106" w:right="102"/>
              <w:jc w:val="center"/>
              <w:rPr>
                <w:rFonts w:eastAsiaTheme="minorHAnsi"/>
                <w:sz w:val="18"/>
                <w:szCs w:val="18"/>
                <w:lang w:val="fr-FR" w:eastAsia="en-US"/>
              </w:rPr>
            </w:pPr>
            <w:r w:rsidRPr="003506C4">
              <w:rPr>
                <w:rFonts w:eastAsiaTheme="minorEastAsia"/>
                <w:sz w:val="18"/>
                <w:szCs w:val="18"/>
                <w:lang w:val="en-GB" w:eastAsia="en-US"/>
              </w:rPr>
              <w:t>384</w:t>
            </w:r>
            <w:r w:rsidRPr="003506C4">
              <w:rPr>
                <w:rFonts w:eastAsiaTheme="minorEastAsia"/>
                <w:sz w:val="18"/>
                <w:szCs w:val="18"/>
                <w:lang w:val="en-GB" w:eastAsia="en-US"/>
              </w:rPr>
              <w:br/>
              <w:t>388</w:t>
            </w:r>
            <w:r w:rsidRPr="003506C4">
              <w:rPr>
                <w:rFonts w:eastAsiaTheme="minorEastAsia"/>
                <w:sz w:val="18"/>
                <w:szCs w:val="18"/>
                <w:lang w:val="en-GB" w:eastAsia="en-US"/>
              </w:rPr>
              <w:br/>
              <w:t>405</w:t>
            </w:r>
          </w:p>
        </w:tc>
        <w:tc>
          <w:tcPr>
            <w:tcW w:w="294" w:type="pct"/>
          </w:tcPr>
          <w:p w14:paraId="0C2EA247" w14:textId="77777777" w:rsidR="003B2887" w:rsidRPr="003506C4" w:rsidRDefault="003B2887" w:rsidP="006932FB">
            <w:pPr>
              <w:widowControl w:val="0"/>
              <w:suppressAutoHyphens w:val="0"/>
              <w:kinsoku/>
              <w:overflowPunct/>
              <w:adjustRightInd/>
              <w:snapToGrid/>
              <w:spacing w:before="60" w:after="60" w:line="240" w:lineRule="auto"/>
              <w:ind w:left="-15" w:right="16"/>
              <w:jc w:val="center"/>
              <w:rPr>
                <w:rFonts w:eastAsiaTheme="minorHAnsi"/>
                <w:sz w:val="18"/>
                <w:szCs w:val="18"/>
                <w:lang w:val="fr-FR" w:eastAsia="en-US"/>
              </w:rPr>
            </w:pPr>
            <w:r w:rsidRPr="003506C4">
              <w:rPr>
                <w:rFonts w:eastAsiaTheme="minorEastAsia"/>
                <w:sz w:val="18"/>
                <w:szCs w:val="18"/>
                <w:lang w:val="en-GB" w:eastAsia="en-US"/>
              </w:rPr>
              <w:t>0</w:t>
            </w:r>
          </w:p>
        </w:tc>
        <w:tc>
          <w:tcPr>
            <w:tcW w:w="294" w:type="pct"/>
          </w:tcPr>
          <w:p w14:paraId="741437C9" w14:textId="77777777" w:rsidR="003B2887" w:rsidRPr="003506C4" w:rsidRDefault="003B2887" w:rsidP="006932FB">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506C4">
              <w:rPr>
                <w:rFonts w:eastAsiaTheme="minorEastAsia"/>
                <w:sz w:val="18"/>
                <w:szCs w:val="18"/>
                <w:lang w:val="en-GB" w:eastAsia="en-US"/>
              </w:rPr>
              <w:t>E0</w:t>
            </w:r>
          </w:p>
        </w:tc>
        <w:tc>
          <w:tcPr>
            <w:tcW w:w="347" w:type="pct"/>
          </w:tcPr>
          <w:p w14:paraId="46AD217B" w14:textId="77777777" w:rsidR="003B2887" w:rsidRPr="003506C4"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506C4">
              <w:rPr>
                <w:rFonts w:eastAsiaTheme="minorEastAsia"/>
                <w:sz w:val="18"/>
                <w:szCs w:val="18"/>
                <w:lang w:val="en-GB" w:eastAsia="en-US"/>
              </w:rPr>
              <w:t>P912</w:t>
            </w:r>
          </w:p>
        </w:tc>
        <w:tc>
          <w:tcPr>
            <w:tcW w:w="248" w:type="pct"/>
          </w:tcPr>
          <w:p w14:paraId="7AEA45F8" w14:textId="77777777" w:rsidR="003B2887" w:rsidRPr="003506C4"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349" w:type="pct"/>
          </w:tcPr>
          <w:p w14:paraId="088B3694" w14:textId="77777777" w:rsidR="003B2887" w:rsidRPr="003506C4"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313" w:type="pct"/>
          </w:tcPr>
          <w:p w14:paraId="5FB98C6D" w14:textId="77777777" w:rsidR="003B2887" w:rsidRPr="003506C4"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r w:rsidR="003B2887" w:rsidRPr="003506C4" w14:paraId="54A05D8F" w14:textId="77777777" w:rsidTr="006932FB">
        <w:trPr>
          <w:cantSplit/>
          <w:jc w:val="center"/>
        </w:trPr>
        <w:tc>
          <w:tcPr>
            <w:tcW w:w="279" w:type="pct"/>
          </w:tcPr>
          <w:p w14:paraId="6715074F" w14:textId="77777777" w:rsidR="003B2887" w:rsidRPr="003506C4" w:rsidRDefault="003B2887" w:rsidP="006932FB">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506C4">
              <w:rPr>
                <w:rFonts w:eastAsiaTheme="minorHAnsi"/>
                <w:sz w:val="18"/>
                <w:szCs w:val="18"/>
                <w:lang w:val="fr-FR" w:eastAsia="en-US"/>
              </w:rPr>
              <w:t>3558</w:t>
            </w:r>
          </w:p>
        </w:tc>
        <w:tc>
          <w:tcPr>
            <w:tcW w:w="1747" w:type="pct"/>
          </w:tcPr>
          <w:p w14:paraId="2CC64B93" w14:textId="77777777" w:rsidR="003B2887" w:rsidRPr="003506C4" w:rsidRDefault="003B2887" w:rsidP="006932FB">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3506C4">
              <w:rPr>
                <w:rFonts w:eastAsiaTheme="minorHAnsi"/>
                <w:sz w:val="18"/>
                <w:szCs w:val="18"/>
                <w:lang w:val="fr-FR" w:eastAsia="en-US"/>
              </w:rPr>
              <w:t>VÉHICULE MÛ PAR UNE BATTERIE AU SODIUM IONIQUE</w:t>
            </w:r>
          </w:p>
        </w:tc>
        <w:tc>
          <w:tcPr>
            <w:tcW w:w="286" w:type="pct"/>
          </w:tcPr>
          <w:p w14:paraId="4E4E1321" w14:textId="77777777" w:rsidR="003B2887" w:rsidRPr="003506C4" w:rsidRDefault="003B2887" w:rsidP="006932FB">
            <w:pPr>
              <w:widowControl w:val="0"/>
              <w:suppressAutoHyphens w:val="0"/>
              <w:kinsoku/>
              <w:overflowPunct/>
              <w:adjustRightInd/>
              <w:snapToGrid/>
              <w:spacing w:before="60" w:after="60" w:line="240" w:lineRule="auto"/>
              <w:ind w:left="127" w:right="126"/>
              <w:jc w:val="center"/>
              <w:rPr>
                <w:rFonts w:eastAsiaTheme="minorEastAsia"/>
                <w:sz w:val="18"/>
                <w:szCs w:val="18"/>
                <w:lang w:val="en-GB" w:eastAsia="en-US"/>
              </w:rPr>
            </w:pPr>
            <w:r w:rsidRPr="003506C4">
              <w:rPr>
                <w:rFonts w:eastAsiaTheme="minorEastAsia"/>
                <w:sz w:val="18"/>
                <w:szCs w:val="18"/>
                <w:lang w:val="en-GB" w:eastAsia="en-US"/>
              </w:rPr>
              <w:t>9</w:t>
            </w:r>
          </w:p>
        </w:tc>
        <w:tc>
          <w:tcPr>
            <w:tcW w:w="255" w:type="pct"/>
          </w:tcPr>
          <w:p w14:paraId="2440B2D4" w14:textId="77777777" w:rsidR="003B2887" w:rsidRPr="003506C4" w:rsidRDefault="003B2887" w:rsidP="006932FB">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p>
        </w:tc>
        <w:tc>
          <w:tcPr>
            <w:tcW w:w="268" w:type="pct"/>
          </w:tcPr>
          <w:p w14:paraId="611940B0" w14:textId="77777777" w:rsidR="003B2887" w:rsidRPr="003506C4" w:rsidRDefault="003B2887" w:rsidP="006932FB">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p>
        </w:tc>
        <w:tc>
          <w:tcPr>
            <w:tcW w:w="320" w:type="pct"/>
          </w:tcPr>
          <w:p w14:paraId="20D37954" w14:textId="77777777" w:rsidR="003B2887" w:rsidRPr="003506C4" w:rsidRDefault="003B2887" w:rsidP="006932FB">
            <w:pPr>
              <w:widowControl w:val="0"/>
              <w:suppressAutoHyphens w:val="0"/>
              <w:kinsoku/>
              <w:overflowPunct/>
              <w:adjustRightInd/>
              <w:snapToGrid/>
              <w:spacing w:before="60" w:after="60" w:line="240" w:lineRule="auto"/>
              <w:ind w:left="106" w:right="102"/>
              <w:jc w:val="center"/>
              <w:rPr>
                <w:rFonts w:eastAsiaTheme="minorEastAsia"/>
                <w:sz w:val="18"/>
                <w:szCs w:val="18"/>
                <w:lang w:val="en-GB" w:eastAsia="en-US"/>
              </w:rPr>
            </w:pPr>
            <w:r w:rsidRPr="003506C4">
              <w:rPr>
                <w:rFonts w:eastAsiaTheme="minorEastAsia"/>
                <w:sz w:val="18"/>
                <w:szCs w:val="18"/>
                <w:lang w:val="en-GB" w:eastAsia="en-US"/>
              </w:rPr>
              <w:t>384</w:t>
            </w:r>
            <w:r w:rsidRPr="003506C4">
              <w:rPr>
                <w:rFonts w:eastAsiaTheme="minorEastAsia"/>
                <w:sz w:val="18"/>
                <w:szCs w:val="18"/>
                <w:lang w:val="en-GB" w:eastAsia="en-US"/>
              </w:rPr>
              <w:br/>
              <w:t>388</w:t>
            </w:r>
            <w:r w:rsidRPr="003506C4">
              <w:rPr>
                <w:rFonts w:eastAsiaTheme="minorEastAsia"/>
                <w:sz w:val="18"/>
                <w:szCs w:val="18"/>
                <w:lang w:val="en-GB" w:eastAsia="en-US"/>
              </w:rPr>
              <w:br/>
              <w:t>404</w:t>
            </w:r>
            <w:r w:rsidRPr="003506C4">
              <w:rPr>
                <w:rFonts w:eastAsiaTheme="minorEastAsia"/>
                <w:sz w:val="18"/>
                <w:szCs w:val="18"/>
                <w:lang w:val="en-GB" w:eastAsia="en-US"/>
              </w:rPr>
              <w:br/>
              <w:t>405</w:t>
            </w:r>
          </w:p>
        </w:tc>
        <w:tc>
          <w:tcPr>
            <w:tcW w:w="294" w:type="pct"/>
          </w:tcPr>
          <w:p w14:paraId="6BE259BD" w14:textId="77777777" w:rsidR="003B2887" w:rsidRPr="003506C4" w:rsidRDefault="003B2887" w:rsidP="006932FB">
            <w:pPr>
              <w:widowControl w:val="0"/>
              <w:suppressAutoHyphens w:val="0"/>
              <w:kinsoku/>
              <w:overflowPunct/>
              <w:adjustRightInd/>
              <w:snapToGrid/>
              <w:spacing w:before="60" w:after="60" w:line="240" w:lineRule="auto"/>
              <w:ind w:left="-15" w:right="16"/>
              <w:jc w:val="center"/>
              <w:rPr>
                <w:rFonts w:eastAsiaTheme="minorEastAsia"/>
                <w:sz w:val="18"/>
                <w:szCs w:val="18"/>
                <w:lang w:val="en-GB" w:eastAsia="en-US"/>
              </w:rPr>
            </w:pPr>
            <w:r w:rsidRPr="003506C4">
              <w:rPr>
                <w:rFonts w:eastAsiaTheme="minorEastAsia"/>
                <w:sz w:val="18"/>
                <w:szCs w:val="18"/>
                <w:lang w:val="en-GB" w:eastAsia="en-US"/>
              </w:rPr>
              <w:t>0</w:t>
            </w:r>
          </w:p>
        </w:tc>
        <w:tc>
          <w:tcPr>
            <w:tcW w:w="294" w:type="pct"/>
          </w:tcPr>
          <w:p w14:paraId="659999C6" w14:textId="77777777" w:rsidR="003B2887" w:rsidRPr="003506C4" w:rsidRDefault="003B2887" w:rsidP="006932FB">
            <w:pPr>
              <w:widowControl w:val="0"/>
              <w:suppressAutoHyphens w:val="0"/>
              <w:kinsoku/>
              <w:overflowPunct/>
              <w:adjustRightInd/>
              <w:snapToGrid/>
              <w:spacing w:before="60" w:after="60" w:line="240" w:lineRule="auto"/>
              <w:jc w:val="center"/>
              <w:rPr>
                <w:rFonts w:eastAsiaTheme="minorEastAsia"/>
                <w:sz w:val="18"/>
                <w:szCs w:val="18"/>
                <w:lang w:val="en-GB" w:eastAsia="en-US"/>
              </w:rPr>
            </w:pPr>
            <w:r w:rsidRPr="003506C4">
              <w:rPr>
                <w:rFonts w:eastAsiaTheme="minorEastAsia"/>
                <w:sz w:val="18"/>
                <w:szCs w:val="18"/>
                <w:lang w:val="en-GB" w:eastAsia="en-US"/>
              </w:rPr>
              <w:t>E0</w:t>
            </w:r>
          </w:p>
        </w:tc>
        <w:tc>
          <w:tcPr>
            <w:tcW w:w="347" w:type="pct"/>
          </w:tcPr>
          <w:p w14:paraId="50AD3358" w14:textId="77777777" w:rsidR="003B2887" w:rsidRPr="003506C4" w:rsidRDefault="003B2887" w:rsidP="006932FB">
            <w:pPr>
              <w:widowControl w:val="0"/>
              <w:suppressAutoHyphens w:val="0"/>
              <w:kinsoku/>
              <w:overflowPunct/>
              <w:adjustRightInd/>
              <w:snapToGrid/>
              <w:spacing w:before="60" w:after="60" w:line="240" w:lineRule="auto"/>
              <w:ind w:left="141" w:right="141"/>
              <w:jc w:val="center"/>
              <w:rPr>
                <w:rFonts w:eastAsiaTheme="minorEastAsia"/>
                <w:sz w:val="18"/>
                <w:szCs w:val="18"/>
                <w:lang w:val="en-GB" w:eastAsia="en-US"/>
              </w:rPr>
            </w:pPr>
            <w:r w:rsidRPr="003506C4">
              <w:rPr>
                <w:rFonts w:eastAsiaTheme="minorEastAsia"/>
                <w:sz w:val="18"/>
                <w:szCs w:val="18"/>
                <w:lang w:val="en-GB" w:eastAsia="en-US"/>
              </w:rPr>
              <w:t>P912</w:t>
            </w:r>
          </w:p>
        </w:tc>
        <w:tc>
          <w:tcPr>
            <w:tcW w:w="248" w:type="pct"/>
          </w:tcPr>
          <w:p w14:paraId="1F979ED2" w14:textId="77777777" w:rsidR="003B2887" w:rsidRPr="003506C4"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349" w:type="pct"/>
          </w:tcPr>
          <w:p w14:paraId="16B4AEB1" w14:textId="77777777" w:rsidR="003B2887" w:rsidRPr="003506C4"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313" w:type="pct"/>
          </w:tcPr>
          <w:p w14:paraId="2C9E6BF5" w14:textId="77777777" w:rsidR="003B2887" w:rsidRPr="003506C4"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r w:rsidR="003B2887" w:rsidRPr="00304358" w14:paraId="71C09527" w14:textId="77777777" w:rsidTr="006932FB">
        <w:trPr>
          <w:cantSplit/>
          <w:jc w:val="center"/>
        </w:trPr>
        <w:tc>
          <w:tcPr>
            <w:tcW w:w="279" w:type="pct"/>
          </w:tcPr>
          <w:p w14:paraId="273222B3" w14:textId="77777777" w:rsidR="003B2887" w:rsidRPr="003506C4" w:rsidRDefault="003B2887" w:rsidP="006932FB">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506C4">
              <w:rPr>
                <w:sz w:val="18"/>
                <w:szCs w:val="18"/>
                <w:lang w:val="en-US"/>
              </w:rPr>
              <w:t>3559</w:t>
            </w:r>
          </w:p>
        </w:tc>
        <w:tc>
          <w:tcPr>
            <w:tcW w:w="1747" w:type="pct"/>
          </w:tcPr>
          <w:p w14:paraId="4969E825" w14:textId="77777777" w:rsidR="003B2887" w:rsidRPr="003506C4" w:rsidRDefault="003B2887" w:rsidP="006932FB">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3506C4">
              <w:rPr>
                <w:sz w:val="18"/>
                <w:szCs w:val="18"/>
                <w:lang w:val="en-US"/>
              </w:rPr>
              <w:t>DISPOSITIFS D’EXTINCTION PAR DISPERSION</w:t>
            </w:r>
          </w:p>
        </w:tc>
        <w:tc>
          <w:tcPr>
            <w:tcW w:w="286" w:type="pct"/>
          </w:tcPr>
          <w:p w14:paraId="7EFBB957" w14:textId="77777777" w:rsidR="003B2887" w:rsidRPr="003506C4" w:rsidRDefault="003B2887" w:rsidP="006932FB">
            <w:pPr>
              <w:widowControl w:val="0"/>
              <w:suppressAutoHyphens w:val="0"/>
              <w:kinsoku/>
              <w:overflowPunct/>
              <w:adjustRightInd/>
              <w:snapToGrid/>
              <w:spacing w:before="60" w:after="60" w:line="240" w:lineRule="auto"/>
              <w:ind w:left="127" w:right="126"/>
              <w:jc w:val="center"/>
              <w:rPr>
                <w:rFonts w:eastAsiaTheme="minorEastAsia"/>
                <w:sz w:val="18"/>
                <w:szCs w:val="18"/>
                <w:lang w:val="en-GB" w:eastAsia="en-US"/>
              </w:rPr>
            </w:pPr>
            <w:r w:rsidRPr="003506C4">
              <w:rPr>
                <w:sz w:val="18"/>
                <w:szCs w:val="18"/>
                <w:lang w:val="en-US"/>
              </w:rPr>
              <w:t>9</w:t>
            </w:r>
          </w:p>
        </w:tc>
        <w:tc>
          <w:tcPr>
            <w:tcW w:w="255" w:type="pct"/>
          </w:tcPr>
          <w:p w14:paraId="1A024002" w14:textId="77777777" w:rsidR="003B2887" w:rsidRPr="003506C4" w:rsidRDefault="003B2887" w:rsidP="006932FB">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p>
        </w:tc>
        <w:tc>
          <w:tcPr>
            <w:tcW w:w="268" w:type="pct"/>
          </w:tcPr>
          <w:p w14:paraId="635E5AE0" w14:textId="77777777" w:rsidR="003B2887" w:rsidRPr="003506C4" w:rsidRDefault="003B2887" w:rsidP="006932FB">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p>
        </w:tc>
        <w:tc>
          <w:tcPr>
            <w:tcW w:w="320" w:type="pct"/>
          </w:tcPr>
          <w:p w14:paraId="35D12E86" w14:textId="77777777" w:rsidR="003B2887" w:rsidRPr="003506C4" w:rsidRDefault="003B2887" w:rsidP="006932FB">
            <w:pPr>
              <w:widowControl w:val="0"/>
              <w:suppressAutoHyphens w:val="0"/>
              <w:kinsoku/>
              <w:overflowPunct/>
              <w:adjustRightInd/>
              <w:snapToGrid/>
              <w:spacing w:before="60" w:after="60" w:line="240" w:lineRule="auto"/>
              <w:ind w:left="106" w:right="102"/>
              <w:jc w:val="center"/>
              <w:rPr>
                <w:rFonts w:eastAsiaTheme="minorEastAsia"/>
                <w:sz w:val="18"/>
                <w:szCs w:val="18"/>
                <w:lang w:val="en-GB" w:eastAsia="en-US"/>
              </w:rPr>
            </w:pPr>
            <w:r w:rsidRPr="003506C4">
              <w:rPr>
                <w:sz w:val="18"/>
                <w:szCs w:val="18"/>
                <w:lang w:val="en-US"/>
              </w:rPr>
              <w:t>407</w:t>
            </w:r>
          </w:p>
        </w:tc>
        <w:tc>
          <w:tcPr>
            <w:tcW w:w="294" w:type="pct"/>
          </w:tcPr>
          <w:p w14:paraId="34F29AC7" w14:textId="77777777" w:rsidR="003B2887" w:rsidRPr="003506C4" w:rsidRDefault="003B2887" w:rsidP="006932FB">
            <w:pPr>
              <w:widowControl w:val="0"/>
              <w:suppressAutoHyphens w:val="0"/>
              <w:kinsoku/>
              <w:overflowPunct/>
              <w:adjustRightInd/>
              <w:snapToGrid/>
              <w:spacing w:before="60" w:after="60" w:line="240" w:lineRule="auto"/>
              <w:ind w:left="-15" w:right="16"/>
              <w:jc w:val="center"/>
              <w:rPr>
                <w:rFonts w:eastAsiaTheme="minorEastAsia"/>
                <w:sz w:val="18"/>
                <w:szCs w:val="18"/>
                <w:lang w:val="en-GB" w:eastAsia="en-US"/>
              </w:rPr>
            </w:pPr>
            <w:r w:rsidRPr="003506C4">
              <w:rPr>
                <w:sz w:val="18"/>
                <w:szCs w:val="18"/>
                <w:lang w:val="en-US"/>
              </w:rPr>
              <w:t>0</w:t>
            </w:r>
          </w:p>
        </w:tc>
        <w:tc>
          <w:tcPr>
            <w:tcW w:w="294" w:type="pct"/>
          </w:tcPr>
          <w:p w14:paraId="5A28A4CD" w14:textId="77777777" w:rsidR="003B2887" w:rsidRPr="003506C4" w:rsidRDefault="003B2887" w:rsidP="006932FB">
            <w:pPr>
              <w:widowControl w:val="0"/>
              <w:suppressAutoHyphens w:val="0"/>
              <w:kinsoku/>
              <w:overflowPunct/>
              <w:adjustRightInd/>
              <w:snapToGrid/>
              <w:spacing w:before="60" w:after="60" w:line="240" w:lineRule="auto"/>
              <w:jc w:val="center"/>
              <w:rPr>
                <w:rFonts w:eastAsiaTheme="minorEastAsia"/>
                <w:sz w:val="18"/>
                <w:szCs w:val="18"/>
                <w:lang w:val="en-GB" w:eastAsia="en-US"/>
              </w:rPr>
            </w:pPr>
            <w:r w:rsidRPr="003506C4">
              <w:rPr>
                <w:sz w:val="18"/>
                <w:szCs w:val="18"/>
                <w:lang w:val="en-US"/>
              </w:rPr>
              <w:t>E0</w:t>
            </w:r>
          </w:p>
        </w:tc>
        <w:tc>
          <w:tcPr>
            <w:tcW w:w="347" w:type="pct"/>
          </w:tcPr>
          <w:p w14:paraId="64472483" w14:textId="77777777" w:rsidR="003B2887" w:rsidRPr="00843152" w:rsidRDefault="003B2887" w:rsidP="006932FB">
            <w:pPr>
              <w:widowControl w:val="0"/>
              <w:suppressAutoHyphens w:val="0"/>
              <w:kinsoku/>
              <w:overflowPunct/>
              <w:adjustRightInd/>
              <w:snapToGrid/>
              <w:spacing w:before="60" w:after="60" w:line="240" w:lineRule="auto"/>
              <w:ind w:left="141" w:right="141"/>
              <w:jc w:val="center"/>
              <w:rPr>
                <w:rFonts w:eastAsiaTheme="minorEastAsia"/>
                <w:sz w:val="18"/>
                <w:szCs w:val="18"/>
                <w:lang w:val="en-GB" w:eastAsia="en-US"/>
              </w:rPr>
            </w:pPr>
            <w:r w:rsidRPr="003506C4">
              <w:rPr>
                <w:sz w:val="18"/>
                <w:szCs w:val="18"/>
                <w:lang w:val="en-US"/>
              </w:rPr>
              <w:t>P902</w:t>
            </w:r>
          </w:p>
        </w:tc>
        <w:tc>
          <w:tcPr>
            <w:tcW w:w="248" w:type="pct"/>
          </w:tcPr>
          <w:p w14:paraId="18509FD7" w14:textId="77777777" w:rsidR="003B2887" w:rsidRPr="00843152"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349" w:type="pct"/>
          </w:tcPr>
          <w:p w14:paraId="6810C44F" w14:textId="77777777" w:rsidR="003B2887" w:rsidRPr="00843152"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313" w:type="pct"/>
          </w:tcPr>
          <w:p w14:paraId="6647F64B" w14:textId="77777777" w:rsidR="003B2887" w:rsidRPr="00843152" w:rsidRDefault="003B2887" w:rsidP="006932FB">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bl>
    <w:p w14:paraId="0426E751" w14:textId="77777777" w:rsidR="003B2887" w:rsidRPr="00D71D11" w:rsidRDefault="003B2887" w:rsidP="003B2887">
      <w:pPr>
        <w:pStyle w:val="SingleTxtG"/>
        <w:spacing w:before="120"/>
        <w:rPr>
          <w:i/>
          <w:iCs/>
        </w:rPr>
      </w:pPr>
      <w:r w:rsidRPr="00D71D11">
        <w:rPr>
          <w:i/>
          <w:iCs/>
          <w:lang w:val="fr-FR"/>
        </w:rPr>
        <w:t xml:space="preserve">(Documents de référence : documents informels </w:t>
      </w:r>
      <w:r>
        <w:rPr>
          <w:rFonts w:eastAsiaTheme="minorHAnsi"/>
          <w:i/>
          <w:iCs/>
          <w:lang w:val="fr-FR" w:eastAsia="en-US"/>
        </w:rPr>
        <w:t xml:space="preserve">INF.51/Rev.1, </w:t>
      </w:r>
      <w:r w:rsidRPr="00D71D11">
        <w:rPr>
          <w:i/>
          <w:iCs/>
          <w:lang w:val="fr-FR"/>
        </w:rPr>
        <w:t>INF.53/Rev.1 et INF.54)</w:t>
      </w:r>
    </w:p>
    <w:p w14:paraId="6384C280" w14:textId="77777777" w:rsidR="003B2887" w:rsidRPr="003338FD" w:rsidRDefault="003B2887" w:rsidP="003B2887">
      <w:pPr>
        <w:pStyle w:val="H1G"/>
        <w:rPr>
          <w:lang w:val="fr-FR" w:eastAsia="en-US"/>
        </w:rPr>
      </w:pPr>
      <w:r w:rsidRPr="003338FD">
        <w:rPr>
          <w:lang w:val="fr-FR" w:eastAsia="en-US"/>
        </w:rPr>
        <w:tab/>
      </w:r>
      <w:r w:rsidRPr="003338FD">
        <w:rPr>
          <w:lang w:val="fr-FR" w:eastAsia="en-US"/>
        </w:rPr>
        <w:tab/>
        <w:t>Chapitre 3.3</w:t>
      </w:r>
    </w:p>
    <w:p w14:paraId="77268B8D" w14:textId="77777777" w:rsidR="003B2887" w:rsidRPr="003338FD" w:rsidRDefault="003B2887" w:rsidP="003B2887">
      <w:pPr>
        <w:keepNext/>
        <w:keepLines/>
        <w:kinsoku/>
        <w:overflowPunct/>
        <w:autoSpaceDE/>
        <w:autoSpaceDN/>
        <w:adjustRightInd/>
        <w:snapToGrid/>
        <w:spacing w:after="120"/>
        <w:ind w:left="2268" w:right="1134" w:hanging="1134"/>
        <w:jc w:val="both"/>
        <w:rPr>
          <w:rFonts w:eastAsiaTheme="minorHAnsi"/>
          <w:lang w:val="fr-FR" w:eastAsia="en-US"/>
        </w:rPr>
      </w:pPr>
      <w:r w:rsidRPr="003338FD">
        <w:rPr>
          <w:rFonts w:eastAsiaTheme="minorHAnsi"/>
          <w:lang w:val="fr-FR" w:eastAsia="en-US"/>
        </w:rPr>
        <w:t>DS 28</w:t>
      </w:r>
      <w:r w:rsidRPr="003338FD">
        <w:rPr>
          <w:rFonts w:eastAsiaTheme="minorHAnsi"/>
          <w:lang w:val="fr-FR" w:eastAsia="en-US"/>
        </w:rPr>
        <w:tab/>
        <w:t>À la fin, ajouter la nouvelle phrase suivante : « Dans les cas où le diluant n'est pas indiqué, la matière doit être emballée de manière que la quantité de matière explosive ne dépasse pas la valeur indiquée. ».</w:t>
      </w:r>
    </w:p>
    <w:p w14:paraId="1CC4A55F"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document informel INF.48)</w:t>
      </w:r>
    </w:p>
    <w:p w14:paraId="3F08FECF" w14:textId="77777777" w:rsidR="003B2887" w:rsidRPr="00D71D11" w:rsidRDefault="003B2887" w:rsidP="003B2887">
      <w:pPr>
        <w:pStyle w:val="SingleTxtG"/>
        <w:ind w:left="2268" w:hanging="1134"/>
      </w:pPr>
      <w:r w:rsidRPr="00D733C8">
        <w:rPr>
          <w:lang w:val="fr-FR"/>
        </w:rPr>
        <w:t>DS 280</w:t>
      </w:r>
      <w:r w:rsidRPr="00D733C8">
        <w:rPr>
          <w:lang w:val="fr-FR"/>
        </w:rPr>
        <w:tab/>
        <w:t>À la fin de la dernière phrase, ajouter « et aux dispositifs d’extinction par dispersion (Nos ONU 0514 et 3559) ».</w:t>
      </w:r>
    </w:p>
    <w:p w14:paraId="5724281C" w14:textId="77777777" w:rsidR="003B2887" w:rsidRPr="00D71D11" w:rsidRDefault="003B2887" w:rsidP="003B2887">
      <w:pPr>
        <w:pStyle w:val="SingleTxtG"/>
        <w:rPr>
          <w:i/>
          <w:iCs/>
        </w:rPr>
      </w:pPr>
      <w:r w:rsidRPr="00D71D11">
        <w:rPr>
          <w:i/>
          <w:iCs/>
          <w:lang w:val="fr-FR"/>
        </w:rPr>
        <w:t>(Document de référence : document informe</w:t>
      </w:r>
      <w:r>
        <w:rPr>
          <w:i/>
          <w:iCs/>
          <w:lang w:val="fr-FR"/>
        </w:rPr>
        <w:t>l</w:t>
      </w:r>
      <w:r w:rsidRPr="00D71D11">
        <w:rPr>
          <w:i/>
          <w:iCs/>
          <w:lang w:val="fr-FR"/>
        </w:rPr>
        <w:t xml:space="preserve"> INF.53/Rev.1, avec modifications de nature rédactionnelle)</w:t>
      </w:r>
    </w:p>
    <w:p w14:paraId="21239D01" w14:textId="77777777" w:rsidR="003B2887" w:rsidRPr="00304358" w:rsidRDefault="003B2887" w:rsidP="003B2887">
      <w:pPr>
        <w:keepNext/>
        <w:keepLines/>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 xml:space="preserve">DS </w:t>
      </w:r>
      <w:r>
        <w:rPr>
          <w:rFonts w:eastAsiaTheme="minorHAnsi"/>
          <w:lang w:val="fr-FR" w:eastAsia="en-US"/>
        </w:rPr>
        <w:t>360</w:t>
      </w:r>
      <w:r w:rsidRPr="00304358">
        <w:rPr>
          <w:rFonts w:eastAsiaTheme="minorHAnsi"/>
          <w:lang w:val="fr-FR" w:eastAsia="en-US"/>
        </w:rPr>
        <w:tab/>
      </w:r>
      <w:r>
        <w:rPr>
          <w:rFonts w:eastAsiaTheme="minorHAnsi"/>
          <w:lang w:val="fr-FR" w:eastAsia="en-US"/>
        </w:rPr>
        <w:t>Dans la première phrase, remplacer « </w:t>
      </w:r>
      <w:r w:rsidRPr="00702E18">
        <w:rPr>
          <w:rFonts w:eastAsiaTheme="minorHAnsi"/>
          <w:lang w:val="fr-FR" w:eastAsia="en-US"/>
        </w:rPr>
        <w:t xml:space="preserve">ONU 3171 VÉHICULE MÛ PAR </w:t>
      </w:r>
      <w:r w:rsidRPr="00EE169E">
        <w:rPr>
          <w:rFonts w:eastAsiaTheme="minorHAnsi"/>
          <w:lang w:val="fr-FR" w:eastAsia="en-US"/>
        </w:rPr>
        <w:t>ACCUMULATEURS » par « ONU 3556 VÉHICULE MÛ PAR UNE BATTERIE AU LITHIUM IONIQUE ou ONU 3557 VÉHICULE MÛ PAR UNE BATTERIE AU LITHIUM MÉTAL ou ONU 3558 VÉHICULE MÛ PAR UNE BATTERIE AU SODIUM IONIQUE</w:t>
      </w:r>
      <w:r w:rsidRPr="00702C3D">
        <w:rPr>
          <w:rFonts w:eastAsiaTheme="minorHAnsi"/>
          <w:lang w:val="fr-FR" w:eastAsia="en-US"/>
        </w:rPr>
        <w:t xml:space="preserve"> comme approprié</w:t>
      </w:r>
      <w:r w:rsidRPr="00EE169E">
        <w:rPr>
          <w:rFonts w:eastAsiaTheme="minorHAnsi"/>
          <w:lang w:val="fr-FR" w:eastAsia="en-US"/>
        </w:rPr>
        <w:t> »</w:t>
      </w:r>
    </w:p>
    <w:p w14:paraId="6E4AF93D" w14:textId="77777777" w:rsidR="003B2887" w:rsidRPr="00304358" w:rsidRDefault="003B2887" w:rsidP="003B2887">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 xml:space="preserve">(Document de référence : </w:t>
      </w:r>
      <w:r>
        <w:rPr>
          <w:rFonts w:eastAsiaTheme="minorHAnsi"/>
          <w:i/>
          <w:iCs/>
          <w:lang w:val="fr-FR" w:eastAsia="en-US"/>
        </w:rPr>
        <w:t>document informel INF.51/Rev.1</w:t>
      </w:r>
      <w:r w:rsidRPr="00304358">
        <w:rPr>
          <w:rFonts w:eastAsiaTheme="minorHAnsi"/>
          <w:i/>
          <w:iCs/>
          <w:lang w:val="fr-FR" w:eastAsia="en-US"/>
        </w:rPr>
        <w:t>)</w:t>
      </w:r>
    </w:p>
    <w:p w14:paraId="4D489D1C" w14:textId="77777777" w:rsidR="003B2887" w:rsidRPr="003338FD" w:rsidRDefault="003B2887" w:rsidP="003B2887">
      <w:pPr>
        <w:keepNext/>
        <w:keepLines/>
        <w:kinsoku/>
        <w:overflowPunct/>
        <w:autoSpaceDE/>
        <w:autoSpaceDN/>
        <w:adjustRightInd/>
        <w:snapToGrid/>
        <w:spacing w:after="120"/>
        <w:ind w:left="2268" w:right="1134" w:hanging="1134"/>
        <w:jc w:val="both"/>
        <w:rPr>
          <w:rFonts w:eastAsiaTheme="minorHAnsi"/>
          <w:lang w:val="fr-FR" w:eastAsia="en-US"/>
        </w:rPr>
      </w:pPr>
      <w:r w:rsidRPr="003338FD">
        <w:rPr>
          <w:rFonts w:eastAsiaTheme="minorHAnsi"/>
          <w:lang w:val="fr-FR" w:eastAsia="en-US"/>
        </w:rPr>
        <w:t>DS 371</w:t>
      </w:r>
      <w:r w:rsidRPr="003338FD">
        <w:rPr>
          <w:rFonts w:eastAsiaTheme="minorHAnsi"/>
          <w:lang w:val="fr-FR" w:eastAsia="en-US"/>
        </w:rPr>
        <w:tab/>
        <w:t>À l’alinéa 1) f), dans la première phrase, après « 16.6.1.3.1 à » ajouter « 16.6.1.3.4, ».</w:t>
      </w:r>
    </w:p>
    <w:p w14:paraId="75C01010"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ST/SG/AC.10/C.3/2022/64, proposition 1)</w:t>
      </w:r>
    </w:p>
    <w:p w14:paraId="64352E4C" w14:textId="77777777" w:rsidR="003B2887" w:rsidRDefault="003B2887" w:rsidP="003B2887">
      <w:pPr>
        <w:pStyle w:val="SingleTxtG"/>
      </w:pPr>
      <w:r>
        <w:t>DS 388</w:t>
      </w:r>
      <w:r>
        <w:tab/>
        <w:t>Modifier le cinquième paragraphe pour lire :</w:t>
      </w:r>
    </w:p>
    <w:p w14:paraId="673DF672" w14:textId="77777777" w:rsidR="003B2887" w:rsidRDefault="003B2887" w:rsidP="003B2887">
      <w:pPr>
        <w:pStyle w:val="SingleTxtG"/>
        <w:rPr>
          <w:iCs/>
        </w:rPr>
      </w:pPr>
      <w:r>
        <w:t>« </w:t>
      </w:r>
      <w:r w:rsidRPr="00B15687">
        <w:rPr>
          <w:iCs/>
        </w:rPr>
        <w:t xml:space="preserve">La rubrique ONU 3171 ne s’applique qu’aux véhicules </w:t>
      </w:r>
      <w:r>
        <w:rPr>
          <w:iCs/>
        </w:rPr>
        <w:t>et appareils mus </w:t>
      </w:r>
      <w:r w:rsidRPr="00B15687">
        <w:rPr>
          <w:iCs/>
        </w:rPr>
        <w:t>par accumulateurs à électrolyte liquide</w:t>
      </w:r>
      <w:r>
        <w:rPr>
          <w:iCs/>
        </w:rPr>
        <w:t xml:space="preserve">, </w:t>
      </w:r>
      <w:r w:rsidRPr="00B15687">
        <w:rPr>
          <w:iCs/>
        </w:rPr>
        <w:t xml:space="preserve">par des batteries au sodium </w:t>
      </w:r>
      <w:r w:rsidRPr="004A4A1C">
        <w:rPr>
          <w:iCs/>
        </w:rPr>
        <w:t>métallique</w:t>
      </w:r>
      <w:r>
        <w:rPr>
          <w:iCs/>
        </w:rPr>
        <w:t xml:space="preserve"> </w:t>
      </w:r>
      <w:r w:rsidRPr="00B15687">
        <w:rPr>
          <w:iCs/>
        </w:rPr>
        <w:t xml:space="preserve">ou </w:t>
      </w:r>
      <w:r>
        <w:rPr>
          <w:iCs/>
        </w:rPr>
        <w:t xml:space="preserve">par </w:t>
      </w:r>
      <w:r w:rsidRPr="00B15687">
        <w:rPr>
          <w:iCs/>
        </w:rPr>
        <w:t xml:space="preserve">des batteries </w:t>
      </w:r>
      <w:r>
        <w:rPr>
          <w:iCs/>
        </w:rPr>
        <w:t>en alliage de sodium</w:t>
      </w:r>
      <w:r w:rsidRPr="00B15687">
        <w:rPr>
          <w:iCs/>
        </w:rPr>
        <w:t>, qui sont transportés pourvus de ces batteries ou accumulateurs.</w:t>
      </w:r>
      <w:r>
        <w:rPr>
          <w:iCs/>
        </w:rPr>
        <w:t> </w:t>
      </w:r>
      <w:r w:rsidRPr="00B15687">
        <w:rPr>
          <w:iCs/>
        </w:rPr>
        <w:t>»</w:t>
      </w:r>
    </w:p>
    <w:p w14:paraId="4F244F47" w14:textId="77777777" w:rsidR="003B2887" w:rsidRDefault="003B2887" w:rsidP="003B2887">
      <w:pPr>
        <w:pStyle w:val="SingleTxtG"/>
        <w:tabs>
          <w:tab w:val="left" w:pos="2268"/>
        </w:tabs>
        <w:rPr>
          <w:iCs/>
        </w:rPr>
      </w:pPr>
      <w:r>
        <w:rPr>
          <w:iCs/>
        </w:rPr>
        <w:tab/>
      </w:r>
      <w:r>
        <w:rPr>
          <w:iCs/>
        </w:rPr>
        <w:tab/>
        <w:t>Ajouter le nouveau sixième paragraphe suivant :</w:t>
      </w:r>
    </w:p>
    <w:p w14:paraId="3F0224CB" w14:textId="77777777" w:rsidR="003B2887" w:rsidRPr="00B15687" w:rsidRDefault="003B2887" w:rsidP="003B2887">
      <w:pPr>
        <w:pStyle w:val="SingleTxtG"/>
        <w:tabs>
          <w:tab w:val="left" w:pos="2268"/>
        </w:tabs>
        <w:rPr>
          <w:iCs/>
        </w:rPr>
      </w:pPr>
      <w:r>
        <w:rPr>
          <w:iCs/>
        </w:rPr>
        <w:t xml:space="preserve">« Les rubriques </w:t>
      </w:r>
      <w:r w:rsidRPr="00EE169E">
        <w:rPr>
          <w:rFonts w:eastAsiaTheme="minorHAnsi"/>
          <w:lang w:val="fr-FR" w:eastAsia="en-US"/>
        </w:rPr>
        <w:t>ONU 3556 VÉHICULE MÛ PAR UNE BATTERIE AU LITHIUM IONIQUE</w:t>
      </w:r>
      <w:r>
        <w:rPr>
          <w:rFonts w:eastAsiaTheme="minorHAnsi"/>
          <w:lang w:val="fr-FR" w:eastAsia="en-US"/>
        </w:rPr>
        <w:t xml:space="preserve">, </w:t>
      </w:r>
      <w:r w:rsidRPr="00EE169E">
        <w:rPr>
          <w:rFonts w:eastAsiaTheme="minorHAnsi"/>
          <w:lang w:val="fr-FR" w:eastAsia="en-US"/>
        </w:rPr>
        <w:t xml:space="preserve">ONU 3557 VÉHICULE MÛ PAR UNE BATTERIE AU LITHIUM MÉTAL </w:t>
      </w:r>
      <w:r>
        <w:rPr>
          <w:rFonts w:eastAsiaTheme="minorHAnsi"/>
          <w:lang w:val="fr-FR" w:eastAsia="en-US"/>
        </w:rPr>
        <w:t>et</w:t>
      </w:r>
      <w:r w:rsidRPr="00EE169E">
        <w:rPr>
          <w:rFonts w:eastAsiaTheme="minorHAnsi"/>
          <w:lang w:val="fr-FR" w:eastAsia="en-US"/>
        </w:rPr>
        <w:t xml:space="preserve"> ONU 3558 VÉHICULE MÛ PAR UNE BATTERIE AU SODIUM IONIQUE</w:t>
      </w:r>
      <w:r>
        <w:rPr>
          <w:rFonts w:eastAsiaTheme="minorHAnsi"/>
          <w:lang w:val="fr-FR" w:eastAsia="en-US"/>
        </w:rPr>
        <w:t xml:space="preserve">, comme approprié, s’appliquent aux véhicules mus par des batteries au lithium ionique, au lithium métal ou au sodium ionique, </w:t>
      </w:r>
      <w:r w:rsidRPr="00B15687">
        <w:rPr>
          <w:iCs/>
        </w:rPr>
        <w:t>qui sont transportés pourvus de ces batteries.</w:t>
      </w:r>
      <w:r>
        <w:rPr>
          <w:iCs/>
        </w:rPr>
        <w:t> </w:t>
      </w:r>
      <w:r w:rsidRPr="00B15687">
        <w:rPr>
          <w:iCs/>
        </w:rPr>
        <w:t>»</w:t>
      </w:r>
    </w:p>
    <w:p w14:paraId="504A5CF5" w14:textId="77777777" w:rsidR="003B2887" w:rsidRDefault="003B2887" w:rsidP="003B2887">
      <w:pPr>
        <w:keepNext/>
        <w:keepLines/>
        <w:kinsoku/>
        <w:overflowPunct/>
        <w:autoSpaceDE/>
        <w:autoSpaceDN/>
        <w:adjustRightInd/>
        <w:snapToGrid/>
        <w:spacing w:after="120"/>
        <w:ind w:left="2268" w:right="1134" w:hanging="1134"/>
        <w:jc w:val="both"/>
      </w:pPr>
      <w:r>
        <w:tab/>
      </w:r>
      <w:r>
        <w:tab/>
        <w:t xml:space="preserve">Dans le septième paragraphe (auparavant sixième paragraphe), combiner et modifier les deux dernières phrases pour lire : « Lorsque les </w:t>
      </w:r>
      <w:r w:rsidRPr="00B15687">
        <w:t xml:space="preserve">véhicules </w:t>
      </w:r>
      <w:r>
        <w:t xml:space="preserve">sont </w:t>
      </w:r>
      <w:r w:rsidRPr="00B15687">
        <w:t xml:space="preserve">transportés dans un emballage, certaines </w:t>
      </w:r>
      <w:r w:rsidRPr="002C3996">
        <w:rPr>
          <w:rFonts w:eastAsiaTheme="minorHAnsi"/>
          <w:lang w:val="fr-FR" w:eastAsia="en-US"/>
        </w:rPr>
        <w:t>parties</w:t>
      </w:r>
      <w:r w:rsidRPr="00B15687">
        <w:t xml:space="preserve"> du véhicule</w:t>
      </w:r>
      <w:r>
        <w:t>, autres que la batterie,</w:t>
      </w:r>
      <w:r w:rsidRPr="00B15687">
        <w:t xml:space="preserve"> peuvent en être détachées pour tenir dans l’emballage.</w:t>
      </w:r>
      <w:r>
        <w:t> ».</w:t>
      </w:r>
    </w:p>
    <w:p w14:paraId="4FDCFB58" w14:textId="77777777" w:rsidR="003B2887" w:rsidRPr="00304358" w:rsidRDefault="003B2887" w:rsidP="003B2887">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 xml:space="preserve">(Document de référence : </w:t>
      </w:r>
      <w:r>
        <w:rPr>
          <w:rFonts w:eastAsiaTheme="minorHAnsi"/>
          <w:i/>
          <w:iCs/>
          <w:lang w:val="fr-FR" w:eastAsia="en-US"/>
        </w:rPr>
        <w:t>document informel INF.51/Rev.1</w:t>
      </w:r>
      <w:r w:rsidRPr="00304358">
        <w:rPr>
          <w:rFonts w:eastAsiaTheme="minorHAnsi"/>
          <w:i/>
          <w:iCs/>
          <w:lang w:val="fr-FR" w:eastAsia="en-US"/>
        </w:rPr>
        <w:t>)</w:t>
      </w:r>
    </w:p>
    <w:p w14:paraId="6BA33EBA" w14:textId="77777777" w:rsidR="003B2887" w:rsidRPr="003338FD" w:rsidRDefault="003B2887" w:rsidP="003B2887">
      <w:pPr>
        <w:keepNext/>
        <w:keepLines/>
        <w:kinsoku/>
        <w:overflowPunct/>
        <w:autoSpaceDE/>
        <w:autoSpaceDN/>
        <w:adjustRightInd/>
        <w:snapToGrid/>
        <w:spacing w:after="120"/>
        <w:ind w:left="2268" w:right="1134" w:hanging="1134"/>
        <w:jc w:val="both"/>
        <w:rPr>
          <w:rFonts w:eastAsiaTheme="minorHAnsi"/>
          <w:lang w:val="fr-FR" w:eastAsia="en-US"/>
        </w:rPr>
      </w:pPr>
      <w:r w:rsidRPr="003338FD">
        <w:rPr>
          <w:rFonts w:eastAsiaTheme="minorHAnsi"/>
          <w:lang w:val="fr-FR" w:eastAsia="en-US"/>
        </w:rPr>
        <w:t>Ajouter l</w:t>
      </w:r>
      <w:r>
        <w:rPr>
          <w:rFonts w:eastAsiaTheme="minorHAnsi"/>
          <w:lang w:val="fr-FR" w:eastAsia="en-US"/>
        </w:rPr>
        <w:t>es</w:t>
      </w:r>
      <w:r w:rsidRPr="003338FD">
        <w:rPr>
          <w:rFonts w:eastAsiaTheme="minorHAnsi"/>
          <w:lang w:val="fr-FR" w:eastAsia="en-US"/>
        </w:rPr>
        <w:t xml:space="preserve"> nouvelle</w:t>
      </w:r>
      <w:r>
        <w:rPr>
          <w:rFonts w:eastAsiaTheme="minorHAnsi"/>
          <w:lang w:val="fr-FR" w:eastAsia="en-US"/>
        </w:rPr>
        <w:t>s</w:t>
      </w:r>
      <w:r w:rsidRPr="003338FD">
        <w:rPr>
          <w:rFonts w:eastAsiaTheme="minorHAnsi"/>
          <w:lang w:val="fr-FR" w:eastAsia="en-US"/>
        </w:rPr>
        <w:t xml:space="preserve"> disposition</w:t>
      </w:r>
      <w:r>
        <w:rPr>
          <w:rFonts w:eastAsiaTheme="minorHAnsi"/>
          <w:lang w:val="fr-FR" w:eastAsia="en-US"/>
        </w:rPr>
        <w:t>s</w:t>
      </w:r>
      <w:r w:rsidRPr="003338FD">
        <w:rPr>
          <w:rFonts w:eastAsiaTheme="minorHAnsi"/>
          <w:lang w:val="fr-FR" w:eastAsia="en-US"/>
        </w:rPr>
        <w:t xml:space="preserve"> spéciale</w:t>
      </w:r>
      <w:r>
        <w:rPr>
          <w:rFonts w:eastAsiaTheme="minorHAnsi"/>
          <w:lang w:val="fr-FR" w:eastAsia="en-US"/>
        </w:rPr>
        <w:t>s</w:t>
      </w:r>
      <w:r w:rsidRPr="003338FD">
        <w:rPr>
          <w:rFonts w:eastAsiaTheme="minorHAnsi"/>
          <w:lang w:val="fr-FR" w:eastAsia="en-US"/>
        </w:rPr>
        <w:t xml:space="preserve"> suivante</w:t>
      </w:r>
      <w:r>
        <w:rPr>
          <w:rFonts w:eastAsiaTheme="minorHAnsi"/>
          <w:lang w:val="fr-FR" w:eastAsia="en-US"/>
        </w:rPr>
        <w:t>s</w:t>
      </w:r>
      <w:r w:rsidRPr="003338FD">
        <w:rPr>
          <w:rFonts w:eastAsiaTheme="minorHAnsi"/>
          <w:lang w:val="fr-FR" w:eastAsia="en-US"/>
        </w:rPr>
        <w:t> :</w:t>
      </w:r>
    </w:p>
    <w:p w14:paraId="70AA44A7" w14:textId="77777777" w:rsidR="003B2887" w:rsidRPr="003338FD" w:rsidRDefault="003B2887" w:rsidP="003B2887">
      <w:pPr>
        <w:tabs>
          <w:tab w:val="left" w:pos="1701"/>
          <w:tab w:val="left" w:pos="2268"/>
          <w:tab w:val="left" w:pos="2835"/>
        </w:tabs>
        <w:spacing w:after="120"/>
        <w:ind w:left="2268" w:right="1134" w:hanging="1134"/>
        <w:jc w:val="both"/>
        <w:rPr>
          <w:lang w:val="fr-FR" w:eastAsia="en-US"/>
        </w:rPr>
      </w:pPr>
      <w:r w:rsidRPr="003338FD">
        <w:rPr>
          <w:rFonts w:eastAsiaTheme="minorHAnsi"/>
          <w:lang w:val="fr-FR" w:eastAsia="en-US"/>
        </w:rPr>
        <w:t>« DS 403</w:t>
      </w:r>
      <w:r w:rsidRPr="003338FD">
        <w:rPr>
          <w:rFonts w:eastAsiaTheme="minorHAnsi"/>
          <w:lang w:val="fr-FR" w:eastAsia="en-US"/>
        </w:rPr>
        <w:tab/>
        <w:t>Les membranes filtrantes en nitrocellulose de cette rubrique dont la teneur en nitrocellulose ne dépasse pas 53 g/m² et dont le poids net de la nitrocellulose ne dépasse pas 300 g par emballage intérieur ne sont pas soumises aux prescriptions du présent Règlement si elles satisfont aux conditions suivantes :</w:t>
      </w:r>
    </w:p>
    <w:p w14:paraId="4F18A7D7" w14:textId="77777777" w:rsidR="003B2887" w:rsidRPr="003338FD" w:rsidRDefault="003B2887" w:rsidP="003B2887">
      <w:pPr>
        <w:tabs>
          <w:tab w:val="left" w:pos="1701"/>
          <w:tab w:val="left" w:pos="2268"/>
          <w:tab w:val="left" w:pos="2835"/>
        </w:tabs>
        <w:spacing w:after="120"/>
        <w:ind w:left="2835" w:right="1134" w:hanging="567"/>
        <w:jc w:val="both"/>
        <w:rPr>
          <w:lang w:val="fr-FR" w:eastAsia="en-US"/>
        </w:rPr>
      </w:pPr>
      <w:r w:rsidRPr="003338FD">
        <w:rPr>
          <w:rFonts w:eastAsiaTheme="minorHAnsi"/>
          <w:lang w:val="fr-FR" w:eastAsia="en-US"/>
        </w:rPr>
        <w:t>a)</w:t>
      </w:r>
      <w:r w:rsidRPr="003338FD">
        <w:rPr>
          <w:rFonts w:eastAsiaTheme="minorHAnsi"/>
          <w:lang w:val="fr-FR" w:eastAsia="en-US"/>
        </w:rPr>
        <w:tab/>
        <w:t>Elles sont emballées avec des intercalaires en papier d’au moins 80 g/m² placés entre chaque couche de membranes ;</w:t>
      </w:r>
    </w:p>
    <w:p w14:paraId="7FEBAF9B" w14:textId="77777777" w:rsidR="003B2887" w:rsidRPr="003338FD" w:rsidRDefault="003B2887" w:rsidP="003B2887">
      <w:pPr>
        <w:tabs>
          <w:tab w:val="left" w:pos="1701"/>
          <w:tab w:val="left" w:pos="2268"/>
          <w:tab w:val="left" w:pos="2835"/>
        </w:tabs>
        <w:spacing w:after="120"/>
        <w:ind w:left="2835" w:right="1134" w:hanging="567"/>
        <w:jc w:val="both"/>
        <w:rPr>
          <w:lang w:val="fr-FR" w:eastAsia="en-US"/>
        </w:rPr>
      </w:pPr>
      <w:r w:rsidRPr="003338FD">
        <w:rPr>
          <w:rFonts w:eastAsiaTheme="minorHAnsi"/>
          <w:lang w:val="fr-FR" w:eastAsia="en-US"/>
        </w:rPr>
        <w:t>b)</w:t>
      </w:r>
      <w:r w:rsidRPr="003338FD">
        <w:rPr>
          <w:rFonts w:eastAsiaTheme="minorHAnsi"/>
          <w:lang w:val="fr-FR" w:eastAsia="en-US"/>
        </w:rPr>
        <w:tab/>
        <w:t>Elles sont emballées de manière à maintenir l’alignement des membranes et des intercalaires en papier dans l’une quelconque des configurations suivantes :</w:t>
      </w:r>
    </w:p>
    <w:p w14:paraId="0FBCB89C" w14:textId="77777777" w:rsidR="003B2887" w:rsidRPr="003338FD" w:rsidRDefault="003B2887" w:rsidP="003B2887">
      <w:pPr>
        <w:tabs>
          <w:tab w:val="left" w:pos="1701"/>
          <w:tab w:val="left" w:pos="2268"/>
          <w:tab w:val="left" w:pos="2835"/>
        </w:tabs>
        <w:spacing w:after="120"/>
        <w:ind w:left="3402" w:right="1134" w:hanging="567"/>
        <w:jc w:val="both"/>
        <w:rPr>
          <w:lang w:val="fr-FR" w:eastAsia="en-US"/>
        </w:rPr>
      </w:pPr>
      <w:r w:rsidRPr="003338FD">
        <w:rPr>
          <w:rFonts w:eastAsiaTheme="minorHAnsi"/>
          <w:lang w:val="fr-FR" w:eastAsia="en-US"/>
        </w:rPr>
        <w:t>i)</w:t>
      </w:r>
      <w:r w:rsidRPr="003338FD">
        <w:rPr>
          <w:rFonts w:eastAsiaTheme="minorHAnsi"/>
          <w:lang w:val="fr-FR" w:eastAsia="en-US"/>
        </w:rPr>
        <w:tab/>
        <w:t xml:space="preserve">Rouleaux étroitement enroulés et emballés dans un film de plastique d’au moins 80 g/m² ou dans des sachets en aluminium ayant une perméabilité à l’oxygène inférieure ou égale à 0,1 %, conformément à </w:t>
      </w:r>
      <w:r w:rsidRPr="003338FD" w:rsidDel="00D62273">
        <w:rPr>
          <w:rFonts w:eastAsiaTheme="minorHAnsi"/>
          <w:lang w:val="fr-FR" w:eastAsia="en-US"/>
        </w:rPr>
        <w:t xml:space="preserve">la </w:t>
      </w:r>
      <w:r w:rsidRPr="003338FD">
        <w:rPr>
          <w:rFonts w:eastAsiaTheme="minorHAnsi"/>
          <w:lang w:val="fr-FR" w:eastAsia="en-US"/>
        </w:rPr>
        <w:t>norme ISO 15105-1:2007 ;</w:t>
      </w:r>
    </w:p>
    <w:p w14:paraId="5602F058" w14:textId="77777777" w:rsidR="003B2887" w:rsidRPr="003338FD" w:rsidRDefault="003B2887" w:rsidP="003B2887">
      <w:pPr>
        <w:tabs>
          <w:tab w:val="left" w:pos="1701"/>
          <w:tab w:val="left" w:pos="2268"/>
          <w:tab w:val="left" w:pos="2835"/>
        </w:tabs>
        <w:spacing w:after="120"/>
        <w:ind w:left="3402" w:right="1134" w:hanging="567"/>
        <w:jc w:val="both"/>
        <w:rPr>
          <w:lang w:val="fr-FR" w:eastAsia="en-US"/>
        </w:rPr>
      </w:pPr>
      <w:r w:rsidRPr="003338FD">
        <w:rPr>
          <w:rFonts w:eastAsiaTheme="minorHAnsi"/>
          <w:lang w:val="fr-FR" w:eastAsia="en-US"/>
        </w:rPr>
        <w:t>ii)</w:t>
      </w:r>
      <w:r w:rsidRPr="003338FD">
        <w:rPr>
          <w:rFonts w:eastAsiaTheme="minorHAnsi"/>
          <w:lang w:val="fr-FR" w:eastAsia="en-US"/>
        </w:rPr>
        <w:tab/>
        <w:t xml:space="preserve">Feuilles emballées dans du carton d’au moins 250 g/m² ou dans des sachets en aluminium ayant une perméabilité à l’oxygène inférieure ou égale à 0,1 %, conformément à </w:t>
      </w:r>
      <w:r w:rsidRPr="003338FD" w:rsidDel="00D62273">
        <w:rPr>
          <w:rFonts w:eastAsiaTheme="minorHAnsi"/>
          <w:lang w:val="fr-FR" w:eastAsia="en-US"/>
        </w:rPr>
        <w:t xml:space="preserve">la </w:t>
      </w:r>
      <w:r w:rsidRPr="003338FD">
        <w:rPr>
          <w:rFonts w:eastAsiaTheme="minorHAnsi"/>
          <w:lang w:val="fr-FR" w:eastAsia="en-US"/>
        </w:rPr>
        <w:t>norme ISO 15105-1:2007 ;</w:t>
      </w:r>
    </w:p>
    <w:p w14:paraId="49CB383C" w14:textId="77777777" w:rsidR="003B2887" w:rsidRPr="003338FD" w:rsidRDefault="003B2887" w:rsidP="003B2887">
      <w:pPr>
        <w:tabs>
          <w:tab w:val="left" w:pos="1701"/>
          <w:tab w:val="left" w:pos="2268"/>
          <w:tab w:val="left" w:pos="2835"/>
        </w:tabs>
        <w:spacing w:after="120"/>
        <w:ind w:left="3402" w:right="1134" w:hanging="567"/>
        <w:jc w:val="both"/>
        <w:rPr>
          <w:u w:val="single"/>
          <w:lang w:val="fr-FR" w:eastAsia="en-US"/>
        </w:rPr>
      </w:pPr>
      <w:r w:rsidRPr="003338FD">
        <w:rPr>
          <w:rFonts w:eastAsiaTheme="minorHAnsi"/>
          <w:lang w:val="fr-FR" w:eastAsia="en-US"/>
        </w:rPr>
        <w:t>iii)</w:t>
      </w:r>
      <w:r w:rsidRPr="003338FD">
        <w:rPr>
          <w:rFonts w:eastAsiaTheme="minorHAnsi"/>
          <w:lang w:val="fr-FR" w:eastAsia="en-US"/>
        </w:rPr>
        <w:tab/>
        <w:t>Filtres ronds emballés dans des supports à filtres ou dans des boîtes en carton d’au moins 250 g/m², ou encore emballés individuellement dans des sachets en papier et en plastique d’au moins 100 g/m² au total. »</w:t>
      </w:r>
    </w:p>
    <w:p w14:paraId="14392E97" w14:textId="77777777" w:rsidR="003B2887" w:rsidRDefault="003B2887" w:rsidP="003B2887">
      <w:pPr>
        <w:pStyle w:val="SingleTxtG"/>
      </w:pPr>
      <w:r>
        <w:t>« 404</w:t>
      </w:r>
      <w:r>
        <w:tab/>
      </w:r>
      <w:r w:rsidRPr="00940ADD">
        <w:t>Les véhicules mus par des batteries au sodium ion, ne contenant pas d'autres marchandises dangereuses, ne sont pas soumis aux autres dispositions du présent Règlement si la batterie est court-circuitée de manière à ce qu'elle ne contienne pas d'énergie électrique. Le court-circuit de la batterie doit être facilement vérifiable (par exemple par un jeu de barres entre les bornes).</w:t>
      </w:r>
      <w:r>
        <w:t> »</w:t>
      </w:r>
    </w:p>
    <w:p w14:paraId="70BD13B2" w14:textId="77777777" w:rsidR="003B2887" w:rsidRDefault="003B2887" w:rsidP="003B2887">
      <w:pPr>
        <w:pStyle w:val="SingleTxtG"/>
      </w:pPr>
      <w:r>
        <w:t>« 405</w:t>
      </w:r>
      <w:r>
        <w:tab/>
      </w:r>
      <w:r w:rsidRPr="00940ADD">
        <w:t>Lorsqu'ils ne sont pas entièrement emballés, enfermés dans des caisses ou par tout autre moyen empêchant une identification immédiate, les véhicules ne sont pas soumis aux prescriptions du chapitre 5.2 en matière de marquage ou d'étiquetage.</w:t>
      </w:r>
      <w:r>
        <w:t> »</w:t>
      </w:r>
    </w:p>
    <w:p w14:paraId="20A98063" w14:textId="77777777" w:rsidR="003B2887" w:rsidRDefault="003B2887" w:rsidP="003B2887">
      <w:pPr>
        <w:pStyle w:val="SingleTxtG"/>
      </w:pPr>
      <w:r>
        <w:t>« 406</w:t>
      </w:r>
      <w:r>
        <w:tab/>
      </w:r>
      <w:r w:rsidRPr="00FC7663">
        <w:t xml:space="preserve">Cette rubrique peut être transportée conformément aux dispositions relatives aux quantités limitées du chapitre 3.4 lorsqu'elles sont transportées dans des récipients à pression </w:t>
      </w:r>
      <w:r w:rsidRPr="00D86374">
        <w:t>ne contenant pas plus de</w:t>
      </w:r>
      <w:r w:rsidRPr="00FC7663">
        <w:t xml:space="preserve"> 1</w:t>
      </w:r>
      <w:r>
        <w:t> </w:t>
      </w:r>
      <w:r w:rsidRPr="00FC7663">
        <w:t>000 ml. Les récipients à pression doivent satisfaire aux prescriptions de l'instruction d'emballage P200</w:t>
      </w:r>
      <w:r>
        <w:t xml:space="preserve"> </w:t>
      </w:r>
      <w:r w:rsidRPr="003849AF">
        <w:t>du 4.1.4.1</w:t>
      </w:r>
      <w:r w:rsidRPr="00FC7663">
        <w:t xml:space="preserve"> et avoir un produit pression d'épreuve</w:t>
      </w:r>
      <w:r>
        <w:t xml:space="preserve"> par</w:t>
      </w:r>
      <w:r w:rsidRPr="00FC7663">
        <w:t xml:space="preserve"> capacité ne dépassant pas </w:t>
      </w:r>
      <w:r>
        <w:t>15,2 MPa·l (152 bar·l)</w:t>
      </w:r>
      <w:r w:rsidRPr="00FC7663">
        <w:t>. Les récipients à pression ne doivent pas être emballés avec d'autres marchandises dangereuses</w:t>
      </w:r>
      <w:r w:rsidRPr="00940ADD">
        <w:t>.</w:t>
      </w:r>
      <w:r>
        <w:t> »</w:t>
      </w:r>
    </w:p>
    <w:p w14:paraId="21AF1F06" w14:textId="77777777" w:rsidR="003B2887" w:rsidRPr="00304358" w:rsidRDefault="003B2887" w:rsidP="003B2887">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w:t>
      </w:r>
      <w:r>
        <w:rPr>
          <w:rFonts w:eastAsiaTheme="minorHAnsi"/>
          <w:i/>
          <w:iCs/>
          <w:lang w:val="fr-FR" w:eastAsia="en-US"/>
        </w:rPr>
        <w:t>s</w:t>
      </w:r>
      <w:r w:rsidRPr="00304358">
        <w:rPr>
          <w:rFonts w:eastAsiaTheme="minorHAnsi"/>
          <w:i/>
          <w:iCs/>
          <w:lang w:val="fr-FR" w:eastAsia="en-US"/>
        </w:rPr>
        <w:t xml:space="preserve"> de référence : </w:t>
      </w:r>
      <w:r>
        <w:rPr>
          <w:rFonts w:eastAsiaTheme="minorHAnsi"/>
          <w:i/>
          <w:iCs/>
          <w:lang w:val="fr-FR" w:eastAsia="en-US"/>
        </w:rPr>
        <w:t>documents informels INF.51/Rev.1 et INF.52</w:t>
      </w:r>
      <w:r w:rsidRPr="00304358">
        <w:rPr>
          <w:rFonts w:eastAsiaTheme="minorHAnsi"/>
          <w:i/>
          <w:iCs/>
          <w:lang w:val="fr-FR" w:eastAsia="en-US"/>
        </w:rPr>
        <w:t>)</w:t>
      </w:r>
    </w:p>
    <w:p w14:paraId="5645E07A" w14:textId="77777777" w:rsidR="003B2887" w:rsidRPr="00D71D11" w:rsidRDefault="003B2887" w:rsidP="003B2887">
      <w:pPr>
        <w:pStyle w:val="SingleTxtG"/>
        <w:ind w:left="2268" w:hanging="1134"/>
      </w:pPr>
      <w:r w:rsidRPr="00D71D11">
        <w:rPr>
          <w:lang w:val="fr-FR"/>
        </w:rPr>
        <w:t>« 407</w:t>
      </w:r>
      <w:r w:rsidRPr="00D71D11">
        <w:rPr>
          <w:lang w:val="fr-FR"/>
        </w:rPr>
        <w:tab/>
      </w:r>
      <w:r>
        <w:rPr>
          <w:lang w:val="fr-FR"/>
        </w:rPr>
        <w:tab/>
      </w:r>
      <w:r w:rsidRPr="00D71D11">
        <w:rPr>
          <w:lang w:val="fr-FR"/>
        </w:rPr>
        <w:t>Les dispositifs d’extinction par dispersion sont des objets contenant une matière pyrotechnique, qui, lorsqu’ils sont activés, ont pour fonction de disperser un produit (ou un aérosol) extincteur, et qui ne contiennent pas d’autres marchandises dangereuses. Ces objets, lorsqu’ils sont emballés pour le transport, doivent satisfaire aux critères de la division 1.4S, lorsque soumis aux épreuves 6 c) de la section 16 de la première partie du Manuel d’épreuves et de critères. Pendant le transport, le moyen d’activation doit être retiré, ou l’appareil doit être soit équipé d’au moins deux moyens indépendants empêchant toute activation accidentelle.</w:t>
      </w:r>
    </w:p>
    <w:p w14:paraId="51C1841B" w14:textId="77777777" w:rsidR="003B2887" w:rsidRPr="00D71D11" w:rsidRDefault="003B2887" w:rsidP="003B2887">
      <w:pPr>
        <w:pStyle w:val="SingleTxtG"/>
        <w:ind w:left="2268"/>
      </w:pPr>
      <w:r w:rsidRPr="00D71D11">
        <w:rPr>
          <w:lang w:val="fr-FR"/>
        </w:rPr>
        <w:t>Les dispositifs d’extinction par dispersion ne doivent être affectés à la classe</w:t>
      </w:r>
      <w:r>
        <w:rPr>
          <w:lang w:val="fr-FR"/>
        </w:rPr>
        <w:t> </w:t>
      </w:r>
      <w:r w:rsidRPr="00D71D11">
        <w:rPr>
          <w:lang w:val="fr-FR"/>
        </w:rPr>
        <w:t>9, No</w:t>
      </w:r>
      <w:r>
        <w:rPr>
          <w:lang w:val="fr-FR"/>
        </w:rPr>
        <w:t> </w:t>
      </w:r>
      <w:r w:rsidRPr="00D71D11">
        <w:rPr>
          <w:lang w:val="fr-FR"/>
        </w:rPr>
        <w:t>ONU 3559, que si les conditions supplémentaires suivantes sont remplies :</w:t>
      </w:r>
    </w:p>
    <w:p w14:paraId="07F5ED35" w14:textId="77777777" w:rsidR="003B2887" w:rsidRPr="00D71D11" w:rsidRDefault="003B2887" w:rsidP="003B2887">
      <w:pPr>
        <w:pStyle w:val="SingleTxtG"/>
        <w:ind w:left="2835" w:hanging="567"/>
      </w:pPr>
      <w:r w:rsidRPr="00D71D11">
        <w:rPr>
          <w:lang w:val="fr-FR"/>
        </w:rPr>
        <w:t>a)</w:t>
      </w:r>
      <w:r w:rsidRPr="00D71D11">
        <w:rPr>
          <w:lang w:val="fr-FR"/>
        </w:rPr>
        <w:tab/>
        <w:t>Le dispositif satisfait aux critères d’exclusion énoncés aux alinéas</w:t>
      </w:r>
      <w:r>
        <w:rPr>
          <w:lang w:val="fr-FR"/>
        </w:rPr>
        <w:t> </w:t>
      </w:r>
      <w:r w:rsidRPr="00D71D11">
        <w:rPr>
          <w:lang w:val="fr-FR"/>
        </w:rPr>
        <w:t>b), c) et d) du 2.1.3.6.4 ;</w:t>
      </w:r>
    </w:p>
    <w:p w14:paraId="0099C53A" w14:textId="77777777" w:rsidR="003B2887" w:rsidRPr="00D71D11" w:rsidRDefault="003B2887" w:rsidP="003B2887">
      <w:pPr>
        <w:pStyle w:val="SingleTxtG"/>
        <w:ind w:left="2835" w:hanging="567"/>
      </w:pPr>
      <w:r w:rsidRPr="00D71D11">
        <w:rPr>
          <w:lang w:val="fr-FR"/>
        </w:rPr>
        <w:t>b)</w:t>
      </w:r>
      <w:r w:rsidRPr="00D71D11">
        <w:rPr>
          <w:lang w:val="fr-FR"/>
        </w:rPr>
        <w:tab/>
        <w:t xml:space="preserve">L’agent d’extinction est jugé sans danger pour les espaces normalement occupés, conformément aux normes internationales ou régionales en vigueur (par exemple la norme NFPA 2010) ; </w:t>
      </w:r>
    </w:p>
    <w:p w14:paraId="262FF3AD" w14:textId="77777777" w:rsidR="003B2887" w:rsidRPr="00D71D11" w:rsidRDefault="003B2887" w:rsidP="003B2887">
      <w:pPr>
        <w:pStyle w:val="SingleTxtG"/>
        <w:ind w:left="2835" w:hanging="567"/>
      </w:pPr>
      <w:r w:rsidRPr="00D71D11">
        <w:rPr>
          <w:lang w:val="fr-FR"/>
        </w:rPr>
        <w:t>c)</w:t>
      </w:r>
      <w:r w:rsidRPr="00D71D11">
        <w:rPr>
          <w:lang w:val="fr-FR"/>
        </w:rPr>
        <w:tab/>
        <w:t>Chaque objet doit être emballé de telle manière qu’en cas d’activation la température de la surface externe du colis ne dépasse pas 200 °C ;</w:t>
      </w:r>
    </w:p>
    <w:p w14:paraId="18A3F0C5" w14:textId="77777777" w:rsidR="003B2887" w:rsidRPr="00D71D11" w:rsidRDefault="003B2887" w:rsidP="003B2887">
      <w:pPr>
        <w:pStyle w:val="SingleTxtG"/>
        <w:ind w:left="2835" w:hanging="567"/>
      </w:pPr>
      <w:r w:rsidRPr="00D71D11">
        <w:rPr>
          <w:lang w:val="fr-FR"/>
        </w:rPr>
        <w:t>d)</w:t>
      </w:r>
      <w:r w:rsidRPr="00D71D11">
        <w:rPr>
          <w:lang w:val="fr-FR"/>
        </w:rPr>
        <w:tab/>
        <w:t>La présente rubrique ne sera utilisée qu’avec l’approbation de l’autorité compétente du pays de fabrication.</w:t>
      </w:r>
    </w:p>
    <w:p w14:paraId="64586807" w14:textId="77777777" w:rsidR="003B2887" w:rsidRPr="00D71D11" w:rsidRDefault="003B2887" w:rsidP="003B2887">
      <w:pPr>
        <w:pStyle w:val="SingleTxtG"/>
        <w:ind w:left="2268"/>
      </w:pPr>
      <w:r w:rsidRPr="00D71D11">
        <w:rPr>
          <w:lang w:val="fr-FR"/>
        </w:rPr>
        <w:t>La présente rubrique ne s’applique pas aux «</w:t>
      </w:r>
      <w:r>
        <w:rPr>
          <w:lang w:val="fr-FR"/>
        </w:rPr>
        <w:t> </w:t>
      </w:r>
      <w:r w:rsidRPr="00D71D11">
        <w:rPr>
          <w:lang w:val="fr-FR"/>
        </w:rPr>
        <w:t>DISPOSITIFS DE SÉCURITÉ à amorçage électrique</w:t>
      </w:r>
      <w:r>
        <w:rPr>
          <w:lang w:val="fr-FR"/>
        </w:rPr>
        <w:t> </w:t>
      </w:r>
      <w:r w:rsidRPr="00D71D11">
        <w:rPr>
          <w:lang w:val="fr-FR"/>
        </w:rPr>
        <w:t>» décrits dans la disposition spéciale 280 (No</w:t>
      </w:r>
      <w:r>
        <w:rPr>
          <w:lang w:val="fr-FR"/>
        </w:rPr>
        <w:t> </w:t>
      </w:r>
      <w:r w:rsidRPr="00D71D11">
        <w:rPr>
          <w:lang w:val="fr-FR"/>
        </w:rPr>
        <w:t>ONU</w:t>
      </w:r>
      <w:r>
        <w:rPr>
          <w:lang w:val="fr-FR"/>
        </w:rPr>
        <w:t> </w:t>
      </w:r>
      <w:r w:rsidRPr="00D71D11">
        <w:rPr>
          <w:lang w:val="fr-FR"/>
        </w:rPr>
        <w:t>3268. ».</w:t>
      </w:r>
    </w:p>
    <w:p w14:paraId="2E9BCE6A" w14:textId="77777777" w:rsidR="003B2887" w:rsidRPr="00D71D11" w:rsidRDefault="003B2887" w:rsidP="003B2887">
      <w:pPr>
        <w:pStyle w:val="SingleTxtG"/>
        <w:ind w:left="2268" w:hanging="1134"/>
      </w:pPr>
      <w:r w:rsidRPr="00D71D11">
        <w:rPr>
          <w:lang w:val="fr-FR"/>
        </w:rPr>
        <w:t>« 408</w:t>
      </w:r>
      <w:r w:rsidRPr="00D71D11">
        <w:rPr>
          <w:lang w:val="fr-FR"/>
        </w:rPr>
        <w:tab/>
      </w:r>
      <w:r>
        <w:rPr>
          <w:lang w:val="fr-FR"/>
        </w:rPr>
        <w:tab/>
      </w:r>
      <w:r w:rsidRPr="00D71D11">
        <w:rPr>
          <w:lang w:val="fr-FR"/>
        </w:rPr>
        <w:t>La présente rubrique ne s’applique qu’aux solutions aqueuses ne comprenant que de l’eau, de l’hydroxyde de tétraméthylammonium (TMAH) et au plus 1 % d’autres composants. Les autres formulations contenant de l’hydroxyde de tétraméthylammonium doivent être affectées à une rubrique générique appropriée ou à la rubrique N.S.A. (par exemple</w:t>
      </w:r>
      <w:r>
        <w:rPr>
          <w:lang w:val="fr-FR"/>
        </w:rPr>
        <w:t> </w:t>
      </w:r>
      <w:r w:rsidRPr="00D71D11">
        <w:rPr>
          <w:lang w:val="fr-FR"/>
        </w:rPr>
        <w:t>: 2927, LIQUIDE ORGANIQUE TOXIQUE, CORROSIF, N.S.A., etc.), sauf dans les cas suivants :</w:t>
      </w:r>
    </w:p>
    <w:p w14:paraId="2A4A9007" w14:textId="77777777" w:rsidR="003B2887" w:rsidRPr="00D71D11" w:rsidRDefault="003B2887" w:rsidP="003B2887">
      <w:pPr>
        <w:pStyle w:val="SingleTxtG"/>
        <w:ind w:left="2835" w:hanging="567"/>
      </w:pPr>
      <w:r w:rsidRPr="00D71D11">
        <w:rPr>
          <w:lang w:val="fr-FR"/>
        </w:rPr>
        <w:t>a)</w:t>
      </w:r>
      <w:r w:rsidRPr="00D71D11">
        <w:rPr>
          <w:lang w:val="fr-FR"/>
        </w:rPr>
        <w:tab/>
        <w:t>Les autres formulations contenant un agent tensioactif dans une concentration supérieure à 1 % et au moins 8,75 % d’hydroxyde de tétraméthylammonium doivent être affectées au numéro ONU</w:t>
      </w:r>
      <w:r>
        <w:rPr>
          <w:lang w:val="fr-FR"/>
        </w:rPr>
        <w:t> </w:t>
      </w:r>
      <w:r w:rsidRPr="00D71D11">
        <w:rPr>
          <w:lang w:val="fr-FR"/>
        </w:rPr>
        <w:t>2927, LIQUIDE ORGANIQUE TOXIQUE, CORROSIF, N.S.A., GE I ;</w:t>
      </w:r>
    </w:p>
    <w:p w14:paraId="09841604" w14:textId="77777777" w:rsidR="003B2887" w:rsidRPr="00D71D11" w:rsidRDefault="003B2887" w:rsidP="003B2887">
      <w:pPr>
        <w:pStyle w:val="SingleTxtG"/>
        <w:ind w:left="2835" w:hanging="567"/>
      </w:pPr>
      <w:r w:rsidRPr="00D71D11">
        <w:rPr>
          <w:lang w:val="fr-FR"/>
        </w:rPr>
        <w:t>b)</w:t>
      </w:r>
      <w:r w:rsidRPr="00D71D11">
        <w:rPr>
          <w:lang w:val="fr-FR"/>
        </w:rPr>
        <w:tab/>
        <w:t>Les autres formulations contenant un agent tensioactif dans une concentration supérieure à 1 % et plus de 2,38 % mais moins de 8,75</w:t>
      </w:r>
      <w:r>
        <w:rPr>
          <w:lang w:val="fr-FR"/>
        </w:rPr>
        <w:t> </w:t>
      </w:r>
      <w:r w:rsidRPr="00D71D11">
        <w:rPr>
          <w:lang w:val="fr-FR"/>
        </w:rPr>
        <w:t>% d’hydroxyde de tétraméthylammonium doivent être affectées au numéro ONU 2927, LIQUIDE ORGANIQUE TOXIQUE, CORROSIF, N.S.A., GE II . ».</w:t>
      </w:r>
    </w:p>
    <w:p w14:paraId="2B4D5725" w14:textId="77777777" w:rsidR="003B2887" w:rsidRPr="00D71D11" w:rsidRDefault="003B2887" w:rsidP="003B2887">
      <w:pPr>
        <w:pStyle w:val="SingleTxtG"/>
        <w:ind w:left="2268" w:hanging="1134"/>
      </w:pPr>
      <w:r w:rsidRPr="00D71D11">
        <w:rPr>
          <w:lang w:val="fr-FR"/>
        </w:rPr>
        <w:t>« 409</w:t>
      </w:r>
      <w:r>
        <w:rPr>
          <w:lang w:val="fr-FR"/>
        </w:rPr>
        <w:tab/>
      </w:r>
      <w:r w:rsidRPr="00D71D11">
        <w:rPr>
          <w:lang w:val="fr-FR"/>
        </w:rPr>
        <w:tab/>
        <w:t>Les dispositions du chapitre 3.</w:t>
      </w:r>
      <w:r w:rsidRPr="00D733C8">
        <w:rPr>
          <w:lang w:val="fr-FR"/>
        </w:rPr>
        <w:t>2</w:t>
      </w:r>
      <w:r w:rsidRPr="00D71D11">
        <w:rPr>
          <w:lang w:val="fr-FR"/>
        </w:rPr>
        <w:t xml:space="preserve"> figurant dans la vingt-deuxième édition révisée des Recommandations relatives au transport des marchandises dangereuses, Règlement type, peuvent continuer à être appliquées jusqu’au 31</w:t>
      </w:r>
      <w:r>
        <w:rPr>
          <w:lang w:val="fr-FR"/>
        </w:rPr>
        <w:t> </w:t>
      </w:r>
      <w:r w:rsidRPr="00D71D11">
        <w:rPr>
          <w:lang w:val="fr-FR"/>
        </w:rPr>
        <w:t>décembre 2026. ».</w:t>
      </w:r>
    </w:p>
    <w:p w14:paraId="5114E90D" w14:textId="77777777" w:rsidR="003B2887" w:rsidRPr="00D71D11" w:rsidRDefault="003B2887" w:rsidP="003B2887">
      <w:pPr>
        <w:pStyle w:val="SingleTxtG"/>
      </w:pPr>
      <w:r w:rsidRPr="00D71D11">
        <w:rPr>
          <w:lang w:val="fr-FR"/>
        </w:rPr>
        <w:t>(</w:t>
      </w:r>
      <w:r w:rsidRPr="00D71D11">
        <w:rPr>
          <w:i/>
          <w:iCs/>
          <w:lang w:val="fr-FR"/>
        </w:rPr>
        <w:t xml:space="preserve">Documents de référence : </w:t>
      </w:r>
      <w:r w:rsidRPr="003338FD">
        <w:rPr>
          <w:i/>
          <w:iCs/>
          <w:lang w:val="fr-FR" w:eastAsia="en-US"/>
        </w:rPr>
        <w:t>ST/SG/AC.10/C.3/2022/59</w:t>
      </w:r>
      <w:r>
        <w:rPr>
          <w:i/>
          <w:iCs/>
          <w:lang w:val="fr-FR" w:eastAsia="en-US"/>
        </w:rPr>
        <w:t xml:space="preserve">, </w:t>
      </w:r>
      <w:r w:rsidRPr="00D71D11">
        <w:rPr>
          <w:i/>
          <w:iCs/>
          <w:lang w:val="fr-FR"/>
        </w:rPr>
        <w:t>tel que modifié</w:t>
      </w:r>
      <w:r>
        <w:rPr>
          <w:i/>
          <w:iCs/>
          <w:lang w:val="fr-FR"/>
        </w:rPr>
        <w:t>,</w:t>
      </w:r>
      <w:r>
        <w:rPr>
          <w:i/>
          <w:iCs/>
          <w:lang w:val="fr-FR" w:eastAsia="en-US"/>
        </w:rPr>
        <w:t xml:space="preserve"> et </w:t>
      </w:r>
      <w:r w:rsidRPr="00D71D11">
        <w:rPr>
          <w:i/>
          <w:iCs/>
          <w:lang w:val="fr-FR"/>
        </w:rPr>
        <w:t xml:space="preserve">documents informels </w:t>
      </w:r>
      <w:r>
        <w:rPr>
          <w:rFonts w:eastAsiaTheme="minorHAnsi"/>
          <w:i/>
          <w:iCs/>
          <w:lang w:val="fr-FR" w:eastAsia="en-US"/>
        </w:rPr>
        <w:t xml:space="preserve">INF.51/Rev.1, INF.52, tel que modifié, </w:t>
      </w:r>
      <w:r w:rsidRPr="00D71D11">
        <w:rPr>
          <w:i/>
          <w:iCs/>
          <w:lang w:val="fr-FR"/>
        </w:rPr>
        <w:t>INF.53/Rev.1 tel que modifié</w:t>
      </w:r>
      <w:r>
        <w:rPr>
          <w:i/>
          <w:iCs/>
          <w:lang w:val="fr-FR"/>
        </w:rPr>
        <w:t>,</w:t>
      </w:r>
      <w:r w:rsidRPr="00D71D11">
        <w:rPr>
          <w:i/>
          <w:iCs/>
          <w:lang w:val="fr-FR"/>
        </w:rPr>
        <w:t xml:space="preserve"> et INF</w:t>
      </w:r>
      <w:r>
        <w:rPr>
          <w:i/>
          <w:iCs/>
          <w:lang w:val="fr-FR"/>
        </w:rPr>
        <w:t>.</w:t>
      </w:r>
      <w:r w:rsidRPr="00D71D11">
        <w:rPr>
          <w:i/>
          <w:iCs/>
          <w:lang w:val="fr-FR"/>
        </w:rPr>
        <w:t>54 tel que modifié</w:t>
      </w:r>
      <w:r w:rsidRPr="00D71D11">
        <w:rPr>
          <w:lang w:val="fr-FR"/>
        </w:rPr>
        <w:t>)</w:t>
      </w:r>
    </w:p>
    <w:p w14:paraId="2A3D83EC" w14:textId="77777777" w:rsidR="003B2887" w:rsidRPr="00D71D11" w:rsidRDefault="003B2887" w:rsidP="003B2887">
      <w:pPr>
        <w:pStyle w:val="H1G"/>
      </w:pPr>
      <w:r w:rsidRPr="00D71D11">
        <w:rPr>
          <w:lang w:val="fr-FR"/>
        </w:rPr>
        <w:tab/>
      </w:r>
      <w:r w:rsidRPr="00D71D11">
        <w:rPr>
          <w:lang w:val="fr-FR"/>
        </w:rPr>
        <w:tab/>
        <w:t>Appendice B</w:t>
      </w:r>
    </w:p>
    <w:p w14:paraId="14FAB34D" w14:textId="77777777" w:rsidR="003B2887" w:rsidRPr="00D71D11" w:rsidRDefault="003B2887" w:rsidP="003B2887">
      <w:pPr>
        <w:pStyle w:val="SingleTxtG"/>
      </w:pPr>
      <w:r w:rsidRPr="00D71D11">
        <w:rPr>
          <w:lang w:val="fr-FR"/>
        </w:rPr>
        <w:t>Ajouter la nouvelle rubrique suivante</w:t>
      </w:r>
      <w:r>
        <w:rPr>
          <w:lang w:val="fr-FR"/>
        </w:rPr>
        <w:t> </w:t>
      </w:r>
      <w:r w:rsidRPr="00D71D11">
        <w:rPr>
          <w:lang w:val="fr-FR"/>
        </w:rPr>
        <w:t>:</w:t>
      </w:r>
    </w:p>
    <w:p w14:paraId="70BD5E25" w14:textId="77777777" w:rsidR="003B2887" w:rsidRPr="00D71D11" w:rsidRDefault="003B2887" w:rsidP="003B2887">
      <w:pPr>
        <w:pStyle w:val="SingleTxtG"/>
      </w:pPr>
      <w:r>
        <w:rPr>
          <w:lang w:val="fr-FR"/>
        </w:rPr>
        <w:t>« </w:t>
      </w:r>
      <w:r w:rsidRPr="00EA17CB">
        <w:rPr>
          <w:b/>
          <w:bCs/>
          <w:i/>
          <w:iCs/>
          <w:lang w:val="fr-FR"/>
        </w:rPr>
        <w:t>DISPOSITIFS D’EXTINCTION PAR DISPERSION</w:t>
      </w:r>
    </w:p>
    <w:p w14:paraId="2BD1B518" w14:textId="77777777" w:rsidR="003B2887" w:rsidRPr="00D71D11" w:rsidRDefault="003B2887" w:rsidP="003B2887">
      <w:pPr>
        <w:pStyle w:val="SingleTxtG"/>
        <w:ind w:firstLine="567"/>
      </w:pPr>
      <w:r w:rsidRPr="00D71D11">
        <w:rPr>
          <w:lang w:val="fr-FR"/>
        </w:rPr>
        <w:t>Les dispositifs d’extinction par dispersion sont des objets contenant une matière pyrotechnique, qui, lorsqu’ils sont activés, ont pour fonction de disperser un produit (ou un aérosol) extincteur, et qui ne contiennent pas d’autres marchandises dangereuses.</w:t>
      </w:r>
      <w:r>
        <w:rPr>
          <w:lang w:val="fr-FR"/>
        </w:rPr>
        <w:t> »</w:t>
      </w:r>
    </w:p>
    <w:p w14:paraId="271D12BE" w14:textId="77777777" w:rsidR="003B2887" w:rsidRPr="00D71D11" w:rsidRDefault="003B2887" w:rsidP="003B2887">
      <w:pPr>
        <w:pStyle w:val="SingleTxtG"/>
        <w:spacing w:before="120"/>
        <w:rPr>
          <w:i/>
          <w:iCs/>
        </w:rPr>
      </w:pPr>
      <w:r w:rsidRPr="00D71D11">
        <w:rPr>
          <w:i/>
          <w:iCs/>
          <w:lang w:val="fr-FR"/>
        </w:rPr>
        <w:t>(Document de référence : document informel INF.53/Rev.1, tel que modifié)</w:t>
      </w:r>
    </w:p>
    <w:p w14:paraId="2164BF45" w14:textId="77777777" w:rsidR="003B2887" w:rsidRDefault="003B2887" w:rsidP="003B288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r>
      <w:r>
        <w:rPr>
          <w:rFonts w:eastAsiaTheme="minorHAnsi"/>
          <w:b/>
          <w:sz w:val="24"/>
          <w:lang w:val="fr-FR" w:eastAsia="en-US"/>
        </w:rPr>
        <w:t>Index alphabétique</w:t>
      </w:r>
    </w:p>
    <w:p w14:paraId="310A6F0B" w14:textId="77777777" w:rsidR="003B2887" w:rsidRPr="00D71D11" w:rsidRDefault="003B2887" w:rsidP="003B2887">
      <w:pPr>
        <w:pStyle w:val="SingleTxtG"/>
      </w:pPr>
      <w:r w:rsidRPr="00D71D11">
        <w:rPr>
          <w:lang w:val="fr-FR"/>
        </w:rPr>
        <w:t>Rubrique «</w:t>
      </w:r>
      <w:r>
        <w:rPr>
          <w:lang w:val="fr-FR"/>
        </w:rPr>
        <w:t> </w:t>
      </w:r>
      <w:r w:rsidRPr="00D71D11">
        <w:rPr>
          <w:lang w:val="fr-FR"/>
        </w:rPr>
        <w:t>HYDROXYDE DE TETRAMÉTHYLAMMONIUM EN SOLUTION</w:t>
      </w:r>
      <w:r>
        <w:rPr>
          <w:lang w:val="fr-FR"/>
        </w:rPr>
        <w:t> </w:t>
      </w:r>
      <w:r w:rsidRPr="00D71D11">
        <w:rPr>
          <w:lang w:val="fr-FR"/>
        </w:rPr>
        <w:t>», lire</w:t>
      </w:r>
      <w:r>
        <w:rPr>
          <w:lang w:val="fr-FR"/>
        </w:rPr>
        <w:t> </w:t>
      </w:r>
      <w:r w:rsidRPr="00D71D11">
        <w:rPr>
          <w:lang w:val="fr-FR"/>
        </w:rPr>
        <w:t>:</w:t>
      </w:r>
    </w:p>
    <w:tbl>
      <w:tblPr>
        <w:tblW w:w="3754"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62"/>
        <w:gridCol w:w="1135"/>
        <w:gridCol w:w="1132"/>
      </w:tblGrid>
      <w:tr w:rsidR="003B2887" w:rsidRPr="00D71D11" w14:paraId="5F5E5D6D" w14:textId="77777777" w:rsidTr="006932FB">
        <w:tc>
          <w:tcPr>
            <w:tcW w:w="3432" w:type="pct"/>
          </w:tcPr>
          <w:p w14:paraId="7852BC94" w14:textId="77777777" w:rsidR="003B2887" w:rsidRPr="0009197F" w:rsidRDefault="003B2887" w:rsidP="006932FB">
            <w:pPr>
              <w:pStyle w:val="SingleTxtG"/>
              <w:spacing w:before="120"/>
              <w:ind w:left="0" w:right="0"/>
              <w:jc w:val="left"/>
              <w:rPr>
                <w:color w:val="000000"/>
                <w:lang w:val="fr-FR"/>
              </w:rPr>
            </w:pPr>
            <w:r w:rsidRPr="0009197F">
              <w:rPr>
                <w:color w:val="000000"/>
                <w:lang w:val="fr-FR"/>
              </w:rPr>
              <w:t>HYDROXYDE DE TÉTRAMÉTHYLAMMONIUM EN SOLUTION AQUEUSE</w:t>
            </w:r>
          </w:p>
        </w:tc>
        <w:tc>
          <w:tcPr>
            <w:tcW w:w="785" w:type="pct"/>
            <w:vAlign w:val="center"/>
          </w:tcPr>
          <w:p w14:paraId="191973D4" w14:textId="77777777" w:rsidR="003B2887" w:rsidRPr="00D71D11" w:rsidRDefault="003B2887" w:rsidP="006932FB">
            <w:pPr>
              <w:pStyle w:val="SingleTxtG"/>
              <w:spacing w:before="120"/>
              <w:ind w:left="0" w:right="0"/>
              <w:jc w:val="center"/>
              <w:rPr>
                <w:color w:val="000000"/>
                <w:lang w:val="en-US"/>
              </w:rPr>
            </w:pPr>
            <w:r w:rsidRPr="00D71D11">
              <w:rPr>
                <w:color w:val="000000"/>
                <w:lang w:val="en-US"/>
              </w:rPr>
              <w:t>6.1</w:t>
            </w:r>
            <w:r w:rsidRPr="00D71D11">
              <w:rPr>
                <w:color w:val="000000"/>
                <w:lang w:val="en-US"/>
              </w:rPr>
              <w:br/>
              <w:t>8</w:t>
            </w:r>
          </w:p>
        </w:tc>
        <w:tc>
          <w:tcPr>
            <w:tcW w:w="783" w:type="pct"/>
            <w:vAlign w:val="center"/>
          </w:tcPr>
          <w:p w14:paraId="007D3B73" w14:textId="77777777" w:rsidR="003B2887" w:rsidRPr="00D71D11" w:rsidRDefault="003B2887" w:rsidP="006932FB">
            <w:pPr>
              <w:pStyle w:val="SingleTxtG"/>
              <w:spacing w:before="120"/>
              <w:ind w:left="0" w:right="0"/>
              <w:jc w:val="center"/>
              <w:rPr>
                <w:color w:val="000000"/>
                <w:lang w:val="en-US"/>
              </w:rPr>
            </w:pPr>
            <w:r w:rsidRPr="00D71D11">
              <w:rPr>
                <w:color w:val="000000"/>
                <w:lang w:val="en-US"/>
              </w:rPr>
              <w:t>1835</w:t>
            </w:r>
            <w:r>
              <w:rPr>
                <w:color w:val="000000"/>
                <w:lang w:val="en-US"/>
              </w:rPr>
              <w:br/>
              <w:t>1835</w:t>
            </w:r>
          </w:p>
        </w:tc>
      </w:tr>
    </w:tbl>
    <w:p w14:paraId="423316B6" w14:textId="77777777" w:rsidR="003B2887" w:rsidRPr="009C762F" w:rsidRDefault="003B2887" w:rsidP="003B2887">
      <w:pPr>
        <w:pStyle w:val="SingleTxtG"/>
        <w:spacing w:before="120"/>
        <w:rPr>
          <w:i/>
          <w:iCs/>
          <w:lang w:val="fr-FR"/>
        </w:rPr>
      </w:pPr>
      <w:r w:rsidRPr="009C762F">
        <w:rPr>
          <w:i/>
          <w:iCs/>
          <w:lang w:val="fr-FR"/>
        </w:rPr>
        <w:t>(Amendement de conséquence)</w:t>
      </w:r>
    </w:p>
    <w:p w14:paraId="3CFB0994" w14:textId="77777777" w:rsidR="003B2887" w:rsidRPr="00D71D11" w:rsidRDefault="003B2887" w:rsidP="003B2887">
      <w:pPr>
        <w:pStyle w:val="SingleTxtG"/>
        <w:spacing w:before="120"/>
      </w:pPr>
      <w:r w:rsidRPr="00D71D11">
        <w:rPr>
          <w:lang w:val="fr-FR"/>
        </w:rPr>
        <w:t xml:space="preserve">Rubrique </w:t>
      </w:r>
      <w:r>
        <w:rPr>
          <w:lang w:val="fr-FR"/>
        </w:rPr>
        <w:t>« </w:t>
      </w:r>
      <w:r w:rsidRPr="00D71D11">
        <w:rPr>
          <w:lang w:val="fr-FR"/>
        </w:rPr>
        <w:t>HYDROXYDE DE TETRAMETHYLAMMONIUM SOLIDE</w:t>
      </w:r>
      <w:r>
        <w:rPr>
          <w:lang w:val="fr-FR"/>
        </w:rPr>
        <w:t> »</w:t>
      </w:r>
      <w:r w:rsidRPr="00D71D11">
        <w:rPr>
          <w:lang w:val="fr-FR"/>
        </w:rPr>
        <w:t xml:space="preserve">, dans la deuxième colonne, remplacer </w:t>
      </w:r>
      <w:r>
        <w:rPr>
          <w:lang w:val="fr-FR"/>
        </w:rPr>
        <w:t>« </w:t>
      </w:r>
      <w:r w:rsidRPr="00D71D11">
        <w:rPr>
          <w:lang w:val="fr-FR"/>
        </w:rPr>
        <w:t>8</w:t>
      </w:r>
      <w:r>
        <w:rPr>
          <w:lang w:val="fr-FR"/>
        </w:rPr>
        <w:t> »</w:t>
      </w:r>
      <w:r w:rsidRPr="00D71D11">
        <w:rPr>
          <w:lang w:val="fr-FR"/>
        </w:rPr>
        <w:t xml:space="preserve"> par </w:t>
      </w:r>
      <w:r>
        <w:rPr>
          <w:lang w:val="fr-FR"/>
        </w:rPr>
        <w:t>« </w:t>
      </w:r>
      <w:r w:rsidRPr="00D71D11">
        <w:rPr>
          <w:lang w:val="fr-FR"/>
        </w:rPr>
        <w:t>6.1</w:t>
      </w:r>
      <w:r>
        <w:rPr>
          <w:lang w:val="fr-FR"/>
        </w:rPr>
        <w:t> »</w:t>
      </w:r>
      <w:r w:rsidRPr="00D71D11">
        <w:rPr>
          <w:lang w:val="fr-FR"/>
        </w:rPr>
        <w:t>.</w:t>
      </w:r>
    </w:p>
    <w:p w14:paraId="05AB34DB" w14:textId="77777777" w:rsidR="003B2887" w:rsidRPr="005E592F" w:rsidRDefault="003B2887" w:rsidP="003B2887">
      <w:pPr>
        <w:pStyle w:val="SingleTxtG"/>
        <w:spacing w:before="120"/>
        <w:rPr>
          <w:i/>
          <w:iCs/>
          <w:lang w:val="fr-FR"/>
        </w:rPr>
      </w:pPr>
      <w:r w:rsidRPr="005E592F">
        <w:rPr>
          <w:i/>
          <w:iCs/>
          <w:lang w:val="fr-FR"/>
        </w:rPr>
        <w:t>(Amendement de conséquence)</w:t>
      </w:r>
    </w:p>
    <w:p w14:paraId="141770FB" w14:textId="77777777" w:rsidR="003B2887" w:rsidRPr="00D71D11" w:rsidRDefault="003B2887" w:rsidP="003B2887">
      <w:pPr>
        <w:pStyle w:val="SingleTxtG"/>
      </w:pPr>
      <w:r w:rsidRPr="00D71D11">
        <w:rPr>
          <w:lang w:val="fr-FR"/>
        </w:rPr>
        <w:t>Ajouter l</w:t>
      </w:r>
      <w:r>
        <w:rPr>
          <w:lang w:val="fr-FR"/>
        </w:rPr>
        <w:t>es</w:t>
      </w:r>
      <w:r w:rsidRPr="00D71D11">
        <w:rPr>
          <w:lang w:val="fr-FR"/>
        </w:rPr>
        <w:t xml:space="preserve"> nouvelle</w:t>
      </w:r>
      <w:r>
        <w:rPr>
          <w:lang w:val="fr-FR"/>
        </w:rPr>
        <w:t>s</w:t>
      </w:r>
      <w:r w:rsidRPr="00D71D11">
        <w:rPr>
          <w:lang w:val="fr-FR"/>
        </w:rPr>
        <w:t xml:space="preserve"> rubrique</w:t>
      </w:r>
      <w:r>
        <w:rPr>
          <w:lang w:val="fr-FR"/>
        </w:rPr>
        <w:t>s</w:t>
      </w:r>
      <w:r w:rsidRPr="00D71D11">
        <w:rPr>
          <w:lang w:val="fr-FR"/>
        </w:rPr>
        <w:t xml:space="preserve"> suivante</w:t>
      </w:r>
      <w:r>
        <w:rPr>
          <w:lang w:val="fr-FR"/>
        </w:rPr>
        <w:t>s</w:t>
      </w:r>
      <w:r w:rsidRPr="00D71D11">
        <w:rPr>
          <w:lang w:val="fr-FR"/>
        </w:rPr>
        <w:t xml:space="preserve">, à </w:t>
      </w:r>
      <w:r>
        <w:rPr>
          <w:lang w:val="fr-FR"/>
        </w:rPr>
        <w:t>leur</w:t>
      </w:r>
      <w:r w:rsidRPr="00D71D11">
        <w:rPr>
          <w:lang w:val="fr-FR"/>
        </w:rPr>
        <w:t xml:space="preserve"> place dans l’ordre alphabétique :</w:t>
      </w:r>
    </w:p>
    <w:tbl>
      <w:tblPr>
        <w:tblStyle w:val="TableGrid11"/>
        <w:tblW w:w="7371" w:type="dxa"/>
        <w:tblInd w:w="1134" w:type="dxa"/>
        <w:tblLayout w:type="fixed"/>
        <w:tblCellMar>
          <w:left w:w="57" w:type="dxa"/>
          <w:right w:w="57" w:type="dxa"/>
        </w:tblCellMar>
        <w:tblLook w:val="04A0" w:firstRow="1" w:lastRow="0" w:firstColumn="1" w:lastColumn="0" w:noHBand="0" w:noVBand="1"/>
      </w:tblPr>
      <w:tblGrid>
        <w:gridCol w:w="5060"/>
        <w:gridCol w:w="1157"/>
        <w:gridCol w:w="1154"/>
      </w:tblGrid>
      <w:tr w:rsidR="003B2887" w:rsidRPr="007C38E9" w14:paraId="2EECDB29" w14:textId="77777777" w:rsidTr="006932FB">
        <w:trPr>
          <w:trHeight w:val="340"/>
        </w:trPr>
        <w:tc>
          <w:tcPr>
            <w:tcW w:w="3432" w:type="pct"/>
          </w:tcPr>
          <w:p w14:paraId="6256023B" w14:textId="77777777" w:rsidR="003B2887" w:rsidRPr="007C38E9" w:rsidRDefault="003B2887" w:rsidP="006932FB">
            <w:pPr>
              <w:tabs>
                <w:tab w:val="left" w:pos="1701"/>
                <w:tab w:val="left" w:pos="2268"/>
                <w:tab w:val="left" w:pos="2835"/>
              </w:tabs>
              <w:spacing w:line="240" w:lineRule="auto"/>
              <w:rPr>
                <w:sz w:val="18"/>
                <w:szCs w:val="18"/>
                <w:lang w:val="fr-FR"/>
              </w:rPr>
            </w:pPr>
            <w:r w:rsidRPr="00D71D11">
              <w:rPr>
                <w:color w:val="000000"/>
                <w:lang w:val="en-US"/>
              </w:rPr>
              <w:t>DISPOSITIFS D’EXTINCTION PAR DISPERSION</w:t>
            </w:r>
          </w:p>
        </w:tc>
        <w:tc>
          <w:tcPr>
            <w:tcW w:w="785" w:type="pct"/>
            <w:vAlign w:val="center"/>
          </w:tcPr>
          <w:p w14:paraId="18A0825A" w14:textId="77777777" w:rsidR="003B2887" w:rsidRPr="007C38E9" w:rsidRDefault="003B2887" w:rsidP="006932FB">
            <w:pPr>
              <w:tabs>
                <w:tab w:val="left" w:pos="1701"/>
                <w:tab w:val="left" w:pos="2268"/>
                <w:tab w:val="left" w:pos="2835"/>
              </w:tabs>
              <w:spacing w:line="240" w:lineRule="auto"/>
              <w:rPr>
                <w:sz w:val="18"/>
                <w:szCs w:val="18"/>
                <w:lang w:val="fr-FR"/>
              </w:rPr>
            </w:pPr>
            <w:r w:rsidRPr="00D71D11">
              <w:rPr>
                <w:color w:val="000000"/>
                <w:lang w:val="en-US"/>
              </w:rPr>
              <w:t>1.4S</w:t>
            </w:r>
            <w:r w:rsidRPr="00D71D11">
              <w:rPr>
                <w:color w:val="000000"/>
                <w:lang w:val="en-US"/>
              </w:rPr>
              <w:br/>
              <w:t>9</w:t>
            </w:r>
          </w:p>
        </w:tc>
        <w:tc>
          <w:tcPr>
            <w:tcW w:w="783" w:type="pct"/>
            <w:vAlign w:val="center"/>
          </w:tcPr>
          <w:p w14:paraId="60B58644" w14:textId="77777777" w:rsidR="003B2887" w:rsidRPr="007C38E9" w:rsidRDefault="003B2887" w:rsidP="006932FB">
            <w:pPr>
              <w:tabs>
                <w:tab w:val="left" w:pos="1701"/>
                <w:tab w:val="left" w:pos="2268"/>
                <w:tab w:val="left" w:pos="2835"/>
              </w:tabs>
              <w:spacing w:line="240" w:lineRule="auto"/>
              <w:rPr>
                <w:sz w:val="18"/>
                <w:szCs w:val="18"/>
                <w:lang w:val="fr-FR"/>
              </w:rPr>
            </w:pPr>
            <w:r w:rsidRPr="00D71D11">
              <w:rPr>
                <w:color w:val="000000"/>
                <w:lang w:val="en-US"/>
              </w:rPr>
              <w:t>0514</w:t>
            </w:r>
            <w:r w:rsidRPr="00D71D11">
              <w:rPr>
                <w:color w:val="000000"/>
                <w:lang w:val="en-US"/>
              </w:rPr>
              <w:br/>
              <w:t>3559</w:t>
            </w:r>
          </w:p>
        </w:tc>
      </w:tr>
      <w:tr w:rsidR="003B2887" w:rsidRPr="007C38E9" w14:paraId="02FB91A9" w14:textId="77777777" w:rsidTr="006932FB">
        <w:trPr>
          <w:trHeight w:val="340"/>
        </w:trPr>
        <w:tc>
          <w:tcPr>
            <w:tcW w:w="3432" w:type="pct"/>
          </w:tcPr>
          <w:p w14:paraId="4FA0826B" w14:textId="77777777" w:rsidR="003B2887" w:rsidRPr="007C7F6E" w:rsidRDefault="003B2887" w:rsidP="006932FB">
            <w:pPr>
              <w:tabs>
                <w:tab w:val="left" w:pos="1701"/>
                <w:tab w:val="left" w:pos="2268"/>
                <w:tab w:val="left" w:pos="2835"/>
              </w:tabs>
              <w:spacing w:line="240" w:lineRule="auto"/>
              <w:rPr>
                <w:sz w:val="18"/>
                <w:szCs w:val="18"/>
                <w:lang w:val="fr-FR"/>
              </w:rPr>
            </w:pPr>
            <w:r w:rsidRPr="007C7F6E">
              <w:rPr>
                <w:sz w:val="18"/>
                <w:szCs w:val="18"/>
                <w:lang w:val="fr-FR"/>
              </w:rPr>
              <w:t>VÉHICULE MÛ PAR UNE BATTERIE AU LITHIUM</w:t>
            </w:r>
            <w:r>
              <w:rPr>
                <w:sz w:val="18"/>
                <w:szCs w:val="18"/>
                <w:lang w:val="fr-FR"/>
              </w:rPr>
              <w:t xml:space="preserve"> IONIQUE</w:t>
            </w:r>
          </w:p>
        </w:tc>
        <w:tc>
          <w:tcPr>
            <w:tcW w:w="785" w:type="pct"/>
          </w:tcPr>
          <w:p w14:paraId="5BB82A7F" w14:textId="77777777" w:rsidR="003B2887" w:rsidRDefault="003B2887" w:rsidP="006932FB">
            <w:pPr>
              <w:tabs>
                <w:tab w:val="left" w:pos="1701"/>
                <w:tab w:val="left" w:pos="2268"/>
                <w:tab w:val="left" w:pos="2835"/>
              </w:tabs>
              <w:spacing w:line="240" w:lineRule="auto"/>
              <w:rPr>
                <w:sz w:val="18"/>
                <w:szCs w:val="18"/>
                <w:lang w:val="fr-FR"/>
              </w:rPr>
            </w:pPr>
            <w:r>
              <w:rPr>
                <w:sz w:val="18"/>
                <w:szCs w:val="18"/>
                <w:lang w:val="fr-FR"/>
              </w:rPr>
              <w:t>9</w:t>
            </w:r>
          </w:p>
        </w:tc>
        <w:tc>
          <w:tcPr>
            <w:tcW w:w="783" w:type="pct"/>
          </w:tcPr>
          <w:p w14:paraId="43432BFE" w14:textId="77777777" w:rsidR="003B2887" w:rsidRPr="007C38E9" w:rsidRDefault="003B2887" w:rsidP="006932FB">
            <w:pPr>
              <w:tabs>
                <w:tab w:val="left" w:pos="1701"/>
                <w:tab w:val="left" w:pos="2268"/>
                <w:tab w:val="left" w:pos="2835"/>
              </w:tabs>
              <w:spacing w:line="240" w:lineRule="auto"/>
              <w:rPr>
                <w:sz w:val="18"/>
                <w:szCs w:val="18"/>
                <w:lang w:val="fr-FR"/>
              </w:rPr>
            </w:pPr>
            <w:r w:rsidRPr="007C38E9">
              <w:rPr>
                <w:sz w:val="18"/>
                <w:szCs w:val="18"/>
                <w:lang w:val="fr-FR"/>
              </w:rPr>
              <w:t>355</w:t>
            </w:r>
            <w:r>
              <w:rPr>
                <w:sz w:val="18"/>
                <w:szCs w:val="18"/>
                <w:lang w:val="fr-FR"/>
              </w:rPr>
              <w:t>6</w:t>
            </w:r>
          </w:p>
        </w:tc>
      </w:tr>
      <w:tr w:rsidR="003B2887" w:rsidRPr="007C38E9" w14:paraId="250BEEBA" w14:textId="77777777" w:rsidTr="006932FB">
        <w:trPr>
          <w:trHeight w:val="340"/>
        </w:trPr>
        <w:tc>
          <w:tcPr>
            <w:tcW w:w="3432" w:type="pct"/>
          </w:tcPr>
          <w:p w14:paraId="080FA078" w14:textId="77777777" w:rsidR="003B2887" w:rsidRPr="007C38E9" w:rsidRDefault="003B2887" w:rsidP="006932FB">
            <w:pPr>
              <w:tabs>
                <w:tab w:val="left" w:pos="1701"/>
                <w:tab w:val="left" w:pos="2268"/>
                <w:tab w:val="left" w:pos="2835"/>
              </w:tabs>
              <w:spacing w:line="240" w:lineRule="auto"/>
              <w:rPr>
                <w:sz w:val="18"/>
                <w:szCs w:val="18"/>
                <w:lang w:val="fr-FR"/>
              </w:rPr>
            </w:pPr>
            <w:r w:rsidRPr="007C7F6E">
              <w:rPr>
                <w:sz w:val="18"/>
                <w:szCs w:val="18"/>
                <w:lang w:val="fr-FR"/>
              </w:rPr>
              <w:t>VÉHICULE MÛ PAR UNE BATTERIE AU LITHIUM</w:t>
            </w:r>
            <w:r>
              <w:rPr>
                <w:sz w:val="18"/>
                <w:szCs w:val="18"/>
                <w:lang w:val="fr-FR"/>
              </w:rPr>
              <w:t xml:space="preserve"> M</w:t>
            </w:r>
            <w:r w:rsidRPr="007C7F6E">
              <w:rPr>
                <w:sz w:val="18"/>
                <w:szCs w:val="18"/>
                <w:lang w:val="fr-FR"/>
              </w:rPr>
              <w:t>É</w:t>
            </w:r>
            <w:r>
              <w:rPr>
                <w:sz w:val="18"/>
                <w:szCs w:val="18"/>
                <w:lang w:val="fr-FR"/>
              </w:rPr>
              <w:t>TAL</w:t>
            </w:r>
          </w:p>
        </w:tc>
        <w:tc>
          <w:tcPr>
            <w:tcW w:w="785" w:type="pct"/>
          </w:tcPr>
          <w:p w14:paraId="5A8BC52E" w14:textId="77777777" w:rsidR="003B2887" w:rsidRPr="007C38E9" w:rsidRDefault="003B2887" w:rsidP="006932FB">
            <w:pPr>
              <w:tabs>
                <w:tab w:val="left" w:pos="1701"/>
                <w:tab w:val="left" w:pos="2268"/>
                <w:tab w:val="left" w:pos="2835"/>
              </w:tabs>
              <w:spacing w:line="240" w:lineRule="auto"/>
              <w:rPr>
                <w:sz w:val="18"/>
                <w:szCs w:val="18"/>
                <w:lang w:val="fr-FR"/>
              </w:rPr>
            </w:pPr>
            <w:r>
              <w:rPr>
                <w:sz w:val="18"/>
                <w:szCs w:val="18"/>
                <w:lang w:val="fr-FR"/>
              </w:rPr>
              <w:t>9</w:t>
            </w:r>
          </w:p>
        </w:tc>
        <w:tc>
          <w:tcPr>
            <w:tcW w:w="783" w:type="pct"/>
          </w:tcPr>
          <w:p w14:paraId="3F185F47" w14:textId="77777777" w:rsidR="003B2887" w:rsidRPr="007C38E9" w:rsidRDefault="003B2887" w:rsidP="006932FB">
            <w:pPr>
              <w:tabs>
                <w:tab w:val="left" w:pos="1701"/>
                <w:tab w:val="left" w:pos="2268"/>
                <w:tab w:val="left" w:pos="2835"/>
              </w:tabs>
              <w:spacing w:line="240" w:lineRule="auto"/>
              <w:rPr>
                <w:sz w:val="18"/>
                <w:szCs w:val="18"/>
                <w:lang w:val="fr-FR"/>
              </w:rPr>
            </w:pPr>
            <w:r>
              <w:rPr>
                <w:sz w:val="18"/>
                <w:szCs w:val="18"/>
                <w:lang w:val="fr-FR"/>
              </w:rPr>
              <w:t>3557</w:t>
            </w:r>
          </w:p>
        </w:tc>
      </w:tr>
      <w:tr w:rsidR="003B2887" w:rsidRPr="007C38E9" w14:paraId="1878EFD8" w14:textId="77777777" w:rsidTr="006932FB">
        <w:trPr>
          <w:trHeight w:val="340"/>
        </w:trPr>
        <w:tc>
          <w:tcPr>
            <w:tcW w:w="3432" w:type="pct"/>
          </w:tcPr>
          <w:p w14:paraId="55D2176E" w14:textId="77777777" w:rsidR="003B2887" w:rsidRPr="007C38E9" w:rsidRDefault="003B2887" w:rsidP="006932FB">
            <w:pPr>
              <w:tabs>
                <w:tab w:val="left" w:pos="1701"/>
                <w:tab w:val="left" w:pos="2268"/>
                <w:tab w:val="left" w:pos="2835"/>
              </w:tabs>
              <w:spacing w:line="240" w:lineRule="auto"/>
              <w:rPr>
                <w:sz w:val="18"/>
                <w:szCs w:val="18"/>
                <w:lang w:val="fr-FR"/>
              </w:rPr>
            </w:pPr>
            <w:r w:rsidRPr="007C7F6E">
              <w:rPr>
                <w:sz w:val="18"/>
                <w:szCs w:val="18"/>
                <w:lang w:val="fr-FR"/>
              </w:rPr>
              <w:t xml:space="preserve">VÉHICULE MÛ PAR UNE BATTERIE AU </w:t>
            </w:r>
            <w:r>
              <w:rPr>
                <w:sz w:val="18"/>
                <w:szCs w:val="18"/>
                <w:lang w:val="fr-FR"/>
              </w:rPr>
              <w:t>SODIUM IONIQUE</w:t>
            </w:r>
          </w:p>
        </w:tc>
        <w:tc>
          <w:tcPr>
            <w:tcW w:w="785" w:type="pct"/>
          </w:tcPr>
          <w:p w14:paraId="77D9CA33" w14:textId="77777777" w:rsidR="003B2887" w:rsidRPr="007C38E9" w:rsidRDefault="003B2887" w:rsidP="006932FB">
            <w:pPr>
              <w:tabs>
                <w:tab w:val="left" w:pos="1701"/>
                <w:tab w:val="left" w:pos="2268"/>
                <w:tab w:val="left" w:pos="2835"/>
              </w:tabs>
              <w:spacing w:line="240" w:lineRule="auto"/>
              <w:rPr>
                <w:sz w:val="18"/>
                <w:szCs w:val="18"/>
                <w:lang w:val="fr-FR"/>
              </w:rPr>
            </w:pPr>
            <w:r>
              <w:rPr>
                <w:sz w:val="18"/>
                <w:szCs w:val="18"/>
                <w:lang w:val="fr-FR"/>
              </w:rPr>
              <w:t>9</w:t>
            </w:r>
          </w:p>
        </w:tc>
        <w:tc>
          <w:tcPr>
            <w:tcW w:w="783" w:type="pct"/>
          </w:tcPr>
          <w:p w14:paraId="792EEE4D" w14:textId="77777777" w:rsidR="003B2887" w:rsidRPr="007C38E9" w:rsidRDefault="003B2887" w:rsidP="006932FB">
            <w:pPr>
              <w:tabs>
                <w:tab w:val="left" w:pos="1701"/>
                <w:tab w:val="left" w:pos="2268"/>
                <w:tab w:val="left" w:pos="2835"/>
              </w:tabs>
              <w:spacing w:line="240" w:lineRule="auto"/>
              <w:rPr>
                <w:sz w:val="18"/>
                <w:szCs w:val="18"/>
                <w:lang w:val="fr-FR"/>
              </w:rPr>
            </w:pPr>
            <w:r>
              <w:rPr>
                <w:sz w:val="18"/>
                <w:szCs w:val="18"/>
                <w:lang w:val="fr-FR"/>
              </w:rPr>
              <w:t>3558</w:t>
            </w:r>
          </w:p>
        </w:tc>
      </w:tr>
    </w:tbl>
    <w:p w14:paraId="7295EC49" w14:textId="77777777" w:rsidR="003B2887" w:rsidRPr="00304358" w:rsidRDefault="003B2887" w:rsidP="003B2887">
      <w:pPr>
        <w:kinsoku/>
        <w:overflowPunct/>
        <w:autoSpaceDE/>
        <w:autoSpaceDN/>
        <w:adjustRightInd/>
        <w:snapToGrid/>
        <w:spacing w:before="120" w:after="120"/>
        <w:ind w:left="1134" w:right="1134"/>
        <w:jc w:val="both"/>
        <w:rPr>
          <w:rFonts w:eastAsiaTheme="minorHAnsi"/>
          <w:i/>
          <w:iCs/>
          <w:lang w:val="fr-FR" w:eastAsia="en-US"/>
        </w:rPr>
      </w:pPr>
      <w:r w:rsidRPr="00304358">
        <w:rPr>
          <w:rFonts w:eastAsiaTheme="minorHAnsi"/>
          <w:i/>
          <w:iCs/>
          <w:lang w:val="fr-FR" w:eastAsia="en-US"/>
        </w:rPr>
        <w:t>(Document</w:t>
      </w:r>
      <w:r>
        <w:rPr>
          <w:rFonts w:eastAsiaTheme="minorHAnsi"/>
          <w:i/>
          <w:iCs/>
          <w:lang w:val="fr-FR" w:eastAsia="en-US"/>
        </w:rPr>
        <w:t>s</w:t>
      </w:r>
      <w:r w:rsidRPr="00304358">
        <w:rPr>
          <w:rFonts w:eastAsiaTheme="minorHAnsi"/>
          <w:i/>
          <w:iCs/>
          <w:lang w:val="fr-FR" w:eastAsia="en-US"/>
        </w:rPr>
        <w:t xml:space="preserve"> de référence : </w:t>
      </w:r>
      <w:r>
        <w:rPr>
          <w:rFonts w:eastAsiaTheme="minorHAnsi"/>
          <w:i/>
          <w:iCs/>
          <w:lang w:val="fr-FR" w:eastAsia="en-US"/>
        </w:rPr>
        <w:t xml:space="preserve">documents informels INF.51/Rev.1 et </w:t>
      </w:r>
      <w:r w:rsidRPr="00D71D11">
        <w:rPr>
          <w:i/>
          <w:iCs/>
          <w:lang w:val="fr-FR"/>
        </w:rPr>
        <w:t>INF.53/Rev.1</w:t>
      </w:r>
      <w:r w:rsidRPr="00304358">
        <w:rPr>
          <w:rFonts w:eastAsiaTheme="minorHAnsi"/>
          <w:i/>
          <w:iCs/>
          <w:lang w:val="fr-FR" w:eastAsia="en-US"/>
        </w:rPr>
        <w:t>)</w:t>
      </w:r>
    </w:p>
    <w:p w14:paraId="7C969CE9" w14:textId="77777777" w:rsidR="003B2887" w:rsidRPr="003338FD" w:rsidRDefault="003B2887" w:rsidP="003B2887">
      <w:pPr>
        <w:pStyle w:val="H1G"/>
        <w:tabs>
          <w:tab w:val="left" w:pos="1134"/>
          <w:tab w:val="left" w:pos="1701"/>
          <w:tab w:val="left" w:pos="2268"/>
          <w:tab w:val="left" w:pos="3270"/>
        </w:tabs>
        <w:rPr>
          <w:lang w:val="fr-FR" w:eastAsia="en-US"/>
        </w:rPr>
      </w:pPr>
      <w:r w:rsidRPr="003338FD">
        <w:rPr>
          <w:lang w:val="fr-FR" w:eastAsia="en-US"/>
        </w:rPr>
        <w:tab/>
      </w:r>
      <w:r w:rsidRPr="003338FD">
        <w:rPr>
          <w:lang w:val="fr-FR" w:eastAsia="en-US"/>
        </w:rPr>
        <w:tab/>
        <w:t>Chapitre 4.</w:t>
      </w:r>
      <w:r>
        <w:rPr>
          <w:lang w:val="fr-FR" w:eastAsia="en-US"/>
        </w:rPr>
        <w:t>1</w:t>
      </w:r>
    </w:p>
    <w:p w14:paraId="390E822B"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P001, P002, P410, P501, P502 et P504</w:t>
      </w:r>
      <w:r w:rsidRPr="003338FD">
        <w:rPr>
          <w:rFonts w:eastAsiaTheme="minorHAnsi"/>
          <w:lang w:val="fr-FR" w:eastAsia="en-US"/>
        </w:rPr>
        <w:tab/>
        <w:t>Apporter les modifications nécessaires à la mise en forme pour présenter les emballages composites comme une catégorie d’emballages simples.</w:t>
      </w:r>
    </w:p>
    <w:p w14:paraId="7CA47845"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2)</w:t>
      </w:r>
    </w:p>
    <w:p w14:paraId="4CA6E84D"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P001, P002, P410, P520 et P911</w:t>
      </w:r>
      <w:r w:rsidRPr="003338FD">
        <w:rPr>
          <w:rFonts w:eastAsiaTheme="minorHAnsi"/>
          <w:lang w:val="fr-FR" w:eastAsia="en-US"/>
        </w:rPr>
        <w:tab/>
        <w:t>Placer les notes de bas de page directement sous l’instruction d’emballage, aux pages où elles apparaissent.</w:t>
      </w:r>
    </w:p>
    <w:p w14:paraId="3A2AA7EB"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3)</w:t>
      </w:r>
    </w:p>
    <w:p w14:paraId="1178A2F6"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P200</w:t>
      </w:r>
      <w:r w:rsidRPr="003338FD">
        <w:rPr>
          <w:rFonts w:eastAsiaTheme="minorHAnsi"/>
          <w:lang w:val="fr-FR" w:eastAsia="en-US"/>
        </w:rPr>
        <w:tab/>
        <w:t>Au point 4), renuméroter la première liste en remplaçant les tirets par les lettres a) à e) et supprimer les tirets de la deuxième liste.</w:t>
      </w:r>
    </w:p>
    <w:p w14:paraId="5C1080DF" w14:textId="77777777" w:rsidR="003B2887" w:rsidRPr="003338FD" w:rsidRDefault="003B2887" w:rsidP="003B2887">
      <w:pPr>
        <w:tabs>
          <w:tab w:val="left" w:pos="1701"/>
          <w:tab w:val="left" w:pos="2268"/>
          <w:tab w:val="left" w:pos="2835"/>
        </w:tabs>
        <w:spacing w:after="120"/>
        <w:ind w:left="2268" w:right="1134"/>
        <w:jc w:val="both"/>
        <w:rPr>
          <w:rFonts w:eastAsiaTheme="minorHAnsi"/>
          <w:lang w:val="fr-FR" w:eastAsia="en-US"/>
        </w:rPr>
      </w:pPr>
      <w:r w:rsidRPr="003338FD">
        <w:rPr>
          <w:rFonts w:eastAsiaTheme="minorHAnsi"/>
          <w:lang w:val="fr-FR" w:eastAsia="en-US"/>
        </w:rPr>
        <w:t>À l’alinéa s du point 5), renuméroter la liste en remplaçant les tirets par les lettres a) et b).</w:t>
      </w:r>
    </w:p>
    <w:p w14:paraId="002CCC1F" w14:textId="77777777" w:rsidR="003B2887" w:rsidRPr="003338FD" w:rsidRDefault="003B2887" w:rsidP="003B2887">
      <w:pPr>
        <w:tabs>
          <w:tab w:val="left" w:pos="1701"/>
          <w:tab w:val="left" w:pos="2268"/>
          <w:tab w:val="left" w:pos="2835"/>
        </w:tabs>
        <w:spacing w:after="120"/>
        <w:ind w:left="2268" w:right="1134"/>
        <w:jc w:val="both"/>
        <w:rPr>
          <w:rFonts w:eastAsiaTheme="minorHAnsi"/>
          <w:lang w:val="fr-FR" w:eastAsia="en-US"/>
        </w:rPr>
      </w:pPr>
      <w:r w:rsidRPr="003338FD">
        <w:rPr>
          <w:rFonts w:eastAsiaTheme="minorHAnsi"/>
          <w:lang w:val="fr-FR" w:eastAsia="en-US"/>
        </w:rPr>
        <w:t>À l’alinéa t du point 5), les sous-points i) et ii) deviennent les sous-points a) et b).</w:t>
      </w:r>
    </w:p>
    <w:p w14:paraId="519F8452"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Pr>
          <w:rFonts w:eastAsiaTheme="minorHAnsi"/>
          <w:lang w:val="fr-FR" w:eastAsia="en-US"/>
        </w:rPr>
        <w:tab/>
      </w:r>
      <w:r w:rsidRPr="003338FD">
        <w:rPr>
          <w:rFonts w:eastAsiaTheme="minorHAnsi"/>
          <w:lang w:val="fr-FR" w:eastAsia="en-US"/>
        </w:rPr>
        <w:tab/>
        <w:t xml:space="preserve">Dans le tableau 1, placer la note de bas de page </w:t>
      </w:r>
      <w:r w:rsidRPr="003338FD">
        <w:rPr>
          <w:rFonts w:eastAsiaTheme="minorHAnsi"/>
          <w:b/>
          <w:bCs/>
          <w:vertAlign w:val="superscript"/>
          <w:lang w:val="fr-FR" w:eastAsia="en-US"/>
        </w:rPr>
        <w:t>a</w:t>
      </w:r>
      <w:r w:rsidRPr="003338FD">
        <w:rPr>
          <w:rFonts w:eastAsiaTheme="minorHAnsi"/>
          <w:lang w:val="fr-FR" w:eastAsia="en-US"/>
        </w:rPr>
        <w:t xml:space="preserve"> directement au-dessous de l’instruction d’emballage (deux fois). Dans le tableau 3, la note de bas de page </w:t>
      </w:r>
      <w:r w:rsidRPr="003338FD">
        <w:rPr>
          <w:rFonts w:eastAsiaTheme="minorHAnsi"/>
          <w:b/>
          <w:bCs/>
          <w:vertAlign w:val="superscript"/>
          <w:lang w:val="fr-FR" w:eastAsia="en-US"/>
        </w:rPr>
        <w:t>a</w:t>
      </w:r>
      <w:r w:rsidRPr="003338FD">
        <w:rPr>
          <w:rFonts w:eastAsiaTheme="minorHAnsi"/>
          <w:lang w:val="fr-FR" w:eastAsia="en-US"/>
        </w:rPr>
        <w:t xml:space="preserve"> devient la note de bas de page </w:t>
      </w:r>
      <w:r w:rsidRPr="003338FD">
        <w:rPr>
          <w:rFonts w:eastAsiaTheme="minorHAnsi"/>
          <w:b/>
          <w:bCs/>
          <w:vertAlign w:val="superscript"/>
          <w:lang w:val="fr-FR" w:eastAsia="en-US"/>
        </w:rPr>
        <w:t>b</w:t>
      </w:r>
      <w:r w:rsidRPr="003338FD">
        <w:rPr>
          <w:rFonts w:eastAsiaTheme="minorHAnsi"/>
          <w:lang w:val="fr-FR" w:eastAsia="en-US"/>
        </w:rPr>
        <w:t xml:space="preserve"> (renvois dans les rubriques des Nos ONU 1745, 1746 et 2495, ainsi que la note de bas de page elle-même).</w:t>
      </w:r>
    </w:p>
    <w:p w14:paraId="6FA42D6E"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Pr>
          <w:rFonts w:eastAsiaTheme="minorHAnsi"/>
          <w:lang w:val="fr-FR" w:eastAsia="en-US"/>
        </w:rPr>
        <w:tab/>
      </w:r>
      <w:r w:rsidRPr="003338FD">
        <w:rPr>
          <w:rFonts w:eastAsiaTheme="minorHAnsi"/>
          <w:lang w:val="fr-FR" w:eastAsia="en-US"/>
        </w:rPr>
        <w:tab/>
        <w:t>Dans les tableaux 1, 2 et 3, dans l’en-tête de la quatrième colonne, remplacer « danger subsidiaire » par « dangers subsidiaires ». Dans toutes les rubriques où figurent plusieurs dangers, séparer chaque danger par une virgule. Dans toutes les rubriques comportant plusieurs pressions d’épreuve, séparer chaque ligne par une ligne en pointillés traversant les trois dernières colonnes. Pour les Nos ONU 1010, 1012, 1060 et 2073, séparer les différentes rubriques ayant un nom et une description différents par une ligne en pointillés traversant toutes les colonnes à l’exception de la première.</w:t>
      </w:r>
    </w:p>
    <w:p w14:paraId="086FD5EB"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1</w:t>
      </w:r>
      <w:r>
        <w:rPr>
          <w:i/>
          <w:iCs/>
          <w:lang w:val="fr-FR" w:eastAsia="en-US"/>
        </w:rPr>
        <w:t>, 3 et 5</w:t>
      </w:r>
      <w:r w:rsidRPr="003338FD">
        <w:rPr>
          <w:i/>
          <w:iCs/>
          <w:lang w:val="fr-FR" w:eastAsia="en-US"/>
        </w:rPr>
        <w:t>)</w:t>
      </w:r>
    </w:p>
    <w:p w14:paraId="456E3CB6"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P203</w:t>
      </w:r>
      <w:r w:rsidRPr="003338FD">
        <w:rPr>
          <w:rFonts w:eastAsiaTheme="minorHAnsi"/>
          <w:lang w:val="fr-FR" w:eastAsia="en-US"/>
        </w:rPr>
        <w:tab/>
        <w:t>Au point 9), renuméroter la liste en remplaçant les tirets par les lettres a) à e).</w:t>
      </w:r>
    </w:p>
    <w:p w14:paraId="311BEFA1"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5)</w:t>
      </w:r>
    </w:p>
    <w:p w14:paraId="17C4C157"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P208</w:t>
      </w:r>
      <w:r w:rsidRPr="003338FD">
        <w:rPr>
          <w:rFonts w:eastAsiaTheme="minorHAnsi"/>
          <w:lang w:val="fr-FR" w:eastAsia="en-US"/>
        </w:rPr>
        <w:tab/>
        <w:t>Dans le tableau 1, supprimer la ligne d’en-tête contenant les numéros de colonnes.</w:t>
      </w:r>
    </w:p>
    <w:p w14:paraId="7239F5E0"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10)</w:t>
      </w:r>
    </w:p>
    <w:p w14:paraId="349A9952"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P404</w:t>
      </w:r>
      <w:r w:rsidRPr="003338FD">
        <w:rPr>
          <w:rFonts w:eastAsiaTheme="minorHAnsi"/>
          <w:lang w:val="fr-FR" w:eastAsia="en-US"/>
        </w:rPr>
        <w:tab/>
        <w:t>Modifier comme suit la deuxième ligne sous le titre :</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39"/>
      </w:tblGrid>
      <w:tr w:rsidR="003B2887" w:rsidRPr="003338FD" w14:paraId="727727B1" w14:textId="77777777" w:rsidTr="006932FB">
        <w:trPr>
          <w:cantSplit/>
          <w:trHeight w:val="20"/>
        </w:trPr>
        <w:tc>
          <w:tcPr>
            <w:tcW w:w="5000" w:type="pct"/>
          </w:tcPr>
          <w:p w14:paraId="29F8BDE0" w14:textId="77777777" w:rsidR="003B2887" w:rsidRPr="003338FD" w:rsidRDefault="003B2887" w:rsidP="006932FB">
            <w:pPr>
              <w:suppressAutoHyphens w:val="0"/>
              <w:kinsoku/>
              <w:overflowPunct/>
              <w:autoSpaceDE/>
              <w:autoSpaceDN/>
              <w:adjustRightInd/>
              <w:snapToGrid/>
              <w:spacing w:before="80" w:after="80" w:line="240" w:lineRule="auto"/>
              <w:ind w:left="454" w:hanging="454"/>
              <w:jc w:val="both"/>
              <w:rPr>
                <w:lang w:val="fr-FR" w:eastAsia="en-US"/>
              </w:rPr>
            </w:pPr>
            <w:r w:rsidRPr="003338FD">
              <w:rPr>
                <w:lang w:val="fr-FR" w:eastAsia="en-US"/>
              </w:rPr>
              <w:t xml:space="preserve">Les emballages suivants sont autorisés s’il est satisfait aux dispositions générales des </w:t>
            </w:r>
            <w:r w:rsidRPr="003338FD">
              <w:rPr>
                <w:b/>
                <w:bCs/>
                <w:lang w:val="fr-FR" w:eastAsia="en-US"/>
              </w:rPr>
              <w:t>4.1.1</w:t>
            </w:r>
            <w:r w:rsidRPr="003338FD">
              <w:rPr>
                <w:lang w:val="fr-FR" w:eastAsia="en-US"/>
              </w:rPr>
              <w:t xml:space="preserve"> et </w:t>
            </w:r>
            <w:r w:rsidRPr="003338FD">
              <w:rPr>
                <w:b/>
                <w:bCs/>
                <w:lang w:val="fr-FR" w:eastAsia="en-US"/>
              </w:rPr>
              <w:t>4.1.3</w:t>
            </w:r>
            <w:r w:rsidRPr="003338FD">
              <w:rPr>
                <w:lang w:val="fr-FR" w:eastAsia="en-US"/>
              </w:rPr>
              <w:t xml:space="preserve"> : </w:t>
            </w:r>
          </w:p>
          <w:p w14:paraId="4699011B" w14:textId="77777777" w:rsidR="003B2887" w:rsidRPr="003338FD" w:rsidRDefault="003B2887" w:rsidP="006932FB">
            <w:pPr>
              <w:suppressAutoHyphens w:val="0"/>
              <w:kinsoku/>
              <w:overflowPunct/>
              <w:autoSpaceDE/>
              <w:autoSpaceDN/>
              <w:adjustRightInd/>
              <w:snapToGrid/>
              <w:spacing w:before="80" w:after="80" w:line="240" w:lineRule="auto"/>
              <w:ind w:left="454" w:hanging="454"/>
              <w:jc w:val="both"/>
              <w:rPr>
                <w:lang w:val="fr-FR" w:eastAsia="en-US"/>
              </w:rPr>
            </w:pPr>
            <w:r w:rsidRPr="003338FD">
              <w:rPr>
                <w:lang w:val="fr-FR" w:eastAsia="en-US"/>
              </w:rPr>
              <w:t>1)</w:t>
            </w:r>
            <w:r w:rsidRPr="003338FD">
              <w:rPr>
                <w:lang w:val="fr-FR" w:eastAsia="en-US"/>
              </w:rPr>
              <w:tab/>
              <w:t>Emballages combinés :</w:t>
            </w:r>
          </w:p>
          <w:p w14:paraId="76CC54A1" w14:textId="77777777" w:rsidR="003B2887" w:rsidRPr="003338FD" w:rsidRDefault="003B2887" w:rsidP="006932FB">
            <w:pPr>
              <w:suppressAutoHyphens w:val="0"/>
              <w:kinsoku/>
              <w:overflowPunct/>
              <w:autoSpaceDE/>
              <w:autoSpaceDN/>
              <w:adjustRightInd/>
              <w:snapToGrid/>
              <w:spacing w:before="80" w:after="80" w:line="240" w:lineRule="auto"/>
              <w:ind w:left="908" w:hanging="454"/>
              <w:jc w:val="both"/>
              <w:rPr>
                <w:lang w:val="fr-FR" w:eastAsia="en-US"/>
              </w:rPr>
            </w:pPr>
            <w:r w:rsidRPr="003338FD">
              <w:rPr>
                <w:lang w:val="fr-FR" w:eastAsia="en-US"/>
              </w:rPr>
              <w:tab/>
              <w:t>Emballages extérieurs :</w:t>
            </w:r>
          </w:p>
          <w:p w14:paraId="17D78CF1" w14:textId="77777777" w:rsidR="003B2887" w:rsidRPr="003338FD" w:rsidRDefault="003B2887" w:rsidP="006932FB">
            <w:pPr>
              <w:suppressAutoHyphens w:val="0"/>
              <w:kinsoku/>
              <w:overflowPunct/>
              <w:autoSpaceDE/>
              <w:autoSpaceDN/>
              <w:adjustRightInd/>
              <w:snapToGrid/>
              <w:spacing w:before="80" w:after="80" w:line="240" w:lineRule="auto"/>
              <w:ind w:left="1361" w:hanging="454"/>
              <w:jc w:val="both"/>
              <w:rPr>
                <w:lang w:val="fr-FR" w:eastAsia="en-US"/>
              </w:rPr>
            </w:pPr>
            <w:r w:rsidRPr="003338FD">
              <w:rPr>
                <w:lang w:val="fr-FR" w:eastAsia="en-US"/>
              </w:rPr>
              <w:tab/>
              <w:t>Fûts (1A1, 1A2, 1B1, 1B2, 1N1, 1N2, 1H1, 1H2, 1D, 1G) ;</w:t>
            </w:r>
          </w:p>
          <w:p w14:paraId="4346B51E" w14:textId="77777777" w:rsidR="003B2887" w:rsidRPr="003338FD" w:rsidRDefault="003B2887" w:rsidP="006932FB">
            <w:pPr>
              <w:suppressAutoHyphens w:val="0"/>
              <w:kinsoku/>
              <w:overflowPunct/>
              <w:autoSpaceDE/>
              <w:autoSpaceDN/>
              <w:adjustRightInd/>
              <w:snapToGrid/>
              <w:spacing w:before="80" w:after="80" w:line="240" w:lineRule="auto"/>
              <w:ind w:left="1361" w:hanging="454"/>
              <w:jc w:val="both"/>
              <w:rPr>
                <w:lang w:val="fr-FR" w:eastAsia="en-US"/>
              </w:rPr>
            </w:pPr>
            <w:r w:rsidRPr="003338FD">
              <w:rPr>
                <w:lang w:val="fr-FR" w:eastAsia="en-US"/>
              </w:rPr>
              <w:tab/>
              <w:t>Caisses (4A, 4B, 4N, 4C1,4C2, 4D, 4F, 4G ou 4H2).</w:t>
            </w:r>
          </w:p>
          <w:p w14:paraId="0A9F2940" w14:textId="77777777" w:rsidR="003B2887" w:rsidRPr="003338FD" w:rsidRDefault="003B2887" w:rsidP="006932FB">
            <w:pPr>
              <w:suppressAutoHyphens w:val="0"/>
              <w:kinsoku/>
              <w:overflowPunct/>
              <w:autoSpaceDE/>
              <w:autoSpaceDN/>
              <w:adjustRightInd/>
              <w:snapToGrid/>
              <w:spacing w:before="80" w:after="80" w:line="240" w:lineRule="auto"/>
              <w:ind w:left="908" w:hanging="454"/>
              <w:jc w:val="both"/>
              <w:rPr>
                <w:lang w:val="fr-FR" w:eastAsia="en-US"/>
              </w:rPr>
            </w:pPr>
            <w:r w:rsidRPr="003338FD">
              <w:rPr>
                <w:lang w:val="fr-FR" w:eastAsia="en-US"/>
              </w:rPr>
              <w:tab/>
              <w:t>Emballages intérieurs :</w:t>
            </w:r>
          </w:p>
          <w:p w14:paraId="16FE3E90" w14:textId="77777777" w:rsidR="003B2887" w:rsidRPr="003338FD" w:rsidRDefault="003B2887" w:rsidP="006932FB">
            <w:pPr>
              <w:suppressAutoHyphens w:val="0"/>
              <w:kinsoku/>
              <w:overflowPunct/>
              <w:autoSpaceDE/>
              <w:autoSpaceDN/>
              <w:adjustRightInd/>
              <w:snapToGrid/>
              <w:spacing w:before="80" w:after="80" w:line="240" w:lineRule="auto"/>
              <w:ind w:left="1361" w:hanging="454"/>
              <w:jc w:val="both"/>
              <w:rPr>
                <w:lang w:val="fr-FR" w:eastAsia="en-US"/>
              </w:rPr>
            </w:pPr>
            <w:r w:rsidRPr="003338FD">
              <w:rPr>
                <w:lang w:val="fr-FR" w:eastAsia="en-US"/>
              </w:rPr>
              <w:tab/>
              <w:t>Récipients en métal d’une masse nette maximale de 15 kg chacun. Les emballages intérieurs doivent être hermétiquement fermés ;</w:t>
            </w:r>
          </w:p>
          <w:p w14:paraId="32B2EAA3" w14:textId="77777777" w:rsidR="003B2887" w:rsidRPr="003338FD" w:rsidRDefault="003B2887" w:rsidP="006932FB">
            <w:pPr>
              <w:suppressAutoHyphens w:val="0"/>
              <w:kinsoku/>
              <w:overflowPunct/>
              <w:autoSpaceDE/>
              <w:autoSpaceDN/>
              <w:adjustRightInd/>
              <w:snapToGrid/>
              <w:spacing w:before="80" w:after="80" w:line="240" w:lineRule="auto"/>
              <w:ind w:left="1361" w:hanging="454"/>
              <w:jc w:val="both"/>
              <w:rPr>
                <w:lang w:val="fr-FR" w:eastAsia="en-US"/>
              </w:rPr>
            </w:pPr>
            <w:r w:rsidRPr="003338FD">
              <w:rPr>
                <w:lang w:val="fr-FR" w:eastAsia="en-US"/>
              </w:rPr>
              <w:tab/>
              <w:t>Récipients en verre d’une masse nette maximale de 1 kg chacun, munis de bouchons avec joints, calés de tous les côtés et contenus dans des bidons en métal hermétiquement fermés.</w:t>
            </w:r>
          </w:p>
          <w:p w14:paraId="14E03E44" w14:textId="77777777" w:rsidR="003B2887" w:rsidRPr="003338FD" w:rsidRDefault="003B2887" w:rsidP="006932FB">
            <w:pPr>
              <w:suppressAutoHyphens w:val="0"/>
              <w:kinsoku/>
              <w:overflowPunct/>
              <w:autoSpaceDE/>
              <w:autoSpaceDN/>
              <w:adjustRightInd/>
              <w:snapToGrid/>
              <w:spacing w:before="80" w:after="80" w:line="240" w:lineRule="auto"/>
              <w:ind w:left="454" w:hanging="454"/>
              <w:jc w:val="both"/>
              <w:rPr>
                <w:lang w:val="fr-FR" w:eastAsia="en-US"/>
              </w:rPr>
            </w:pPr>
            <w:r w:rsidRPr="003338FD">
              <w:rPr>
                <w:lang w:val="fr-FR" w:eastAsia="en-US"/>
              </w:rPr>
              <w:tab/>
              <w:t>La masse nette maximale des emballages extérieurs est de 125 kg.</w:t>
            </w:r>
          </w:p>
          <w:p w14:paraId="79C18261" w14:textId="77777777" w:rsidR="003B2887" w:rsidRPr="003338FD" w:rsidRDefault="003B2887" w:rsidP="006932FB">
            <w:pPr>
              <w:suppressAutoHyphens w:val="0"/>
              <w:kinsoku/>
              <w:overflowPunct/>
              <w:autoSpaceDE/>
              <w:autoSpaceDN/>
              <w:adjustRightInd/>
              <w:snapToGrid/>
              <w:spacing w:before="80" w:after="80" w:line="240" w:lineRule="auto"/>
              <w:ind w:left="454" w:hanging="454"/>
              <w:jc w:val="both"/>
              <w:rPr>
                <w:lang w:val="fr-FR" w:eastAsia="en-US"/>
              </w:rPr>
            </w:pPr>
            <w:r w:rsidRPr="003338FD">
              <w:rPr>
                <w:lang w:val="fr-FR" w:eastAsia="en-US"/>
              </w:rPr>
              <w:tab/>
              <w:t>Les emballages intérieurs doivent être munis de bouchons filetés ou de fermetures bloquées par tout moyen physique empêchant leur dégagement ou leur relâchement en cas de choc ou de vibration au cours du transport.</w:t>
            </w:r>
          </w:p>
          <w:p w14:paraId="0FB3AE9D" w14:textId="77777777" w:rsidR="003B2887" w:rsidRPr="003338FD" w:rsidRDefault="003B2887" w:rsidP="006932FB">
            <w:pPr>
              <w:suppressAutoHyphens w:val="0"/>
              <w:kinsoku/>
              <w:overflowPunct/>
              <w:autoSpaceDE/>
              <w:autoSpaceDN/>
              <w:adjustRightInd/>
              <w:snapToGrid/>
              <w:spacing w:before="80" w:after="80" w:line="240" w:lineRule="auto"/>
              <w:ind w:left="454" w:hanging="454"/>
              <w:jc w:val="both"/>
              <w:rPr>
                <w:lang w:val="fr-FR" w:eastAsia="en-US"/>
              </w:rPr>
            </w:pPr>
            <w:r w:rsidRPr="003338FD">
              <w:rPr>
                <w:lang w:val="fr-FR" w:eastAsia="en-US"/>
              </w:rPr>
              <w:t>2)</w:t>
            </w:r>
            <w:r w:rsidRPr="003338FD">
              <w:rPr>
                <w:lang w:val="fr-FR" w:eastAsia="en-US"/>
              </w:rPr>
              <w:tab/>
              <w:t>Emballages en métal :</w:t>
            </w:r>
          </w:p>
          <w:p w14:paraId="7B3E7BBF" w14:textId="77777777" w:rsidR="003B2887" w:rsidRPr="003338FD" w:rsidRDefault="003B2887" w:rsidP="006932FB">
            <w:pPr>
              <w:suppressAutoHyphens w:val="0"/>
              <w:kinsoku/>
              <w:overflowPunct/>
              <w:autoSpaceDE/>
              <w:autoSpaceDN/>
              <w:adjustRightInd/>
              <w:snapToGrid/>
              <w:spacing w:before="80" w:after="80" w:line="240" w:lineRule="auto"/>
              <w:ind w:left="908" w:hanging="454"/>
              <w:jc w:val="both"/>
              <w:rPr>
                <w:lang w:val="fr-FR" w:eastAsia="en-US"/>
              </w:rPr>
            </w:pPr>
            <w:r w:rsidRPr="003338FD">
              <w:rPr>
                <w:lang w:val="fr-FR" w:eastAsia="en-US"/>
              </w:rPr>
              <w:tab/>
              <w:t>Fûts (1A1, 1A2, 1B1, 1B2, 1N1, 1N2) ;</w:t>
            </w:r>
          </w:p>
          <w:p w14:paraId="271E4FDD" w14:textId="77777777" w:rsidR="003B2887" w:rsidRPr="003338FD" w:rsidRDefault="003B2887" w:rsidP="006932FB">
            <w:pPr>
              <w:suppressAutoHyphens w:val="0"/>
              <w:kinsoku/>
              <w:overflowPunct/>
              <w:autoSpaceDE/>
              <w:autoSpaceDN/>
              <w:adjustRightInd/>
              <w:snapToGrid/>
              <w:spacing w:before="80" w:after="80" w:line="240" w:lineRule="auto"/>
              <w:ind w:left="908" w:hanging="454"/>
              <w:jc w:val="both"/>
              <w:rPr>
                <w:lang w:val="fr-FR" w:eastAsia="en-US"/>
              </w:rPr>
            </w:pPr>
            <w:r w:rsidRPr="003338FD">
              <w:rPr>
                <w:lang w:val="fr-FR" w:eastAsia="en-US"/>
              </w:rPr>
              <w:tab/>
              <w:t>Bidons (jerricans) (3A1, 3A2, 3B1 et 3B2).</w:t>
            </w:r>
          </w:p>
          <w:p w14:paraId="50EAA654" w14:textId="77777777" w:rsidR="003B2887" w:rsidRPr="003338FD" w:rsidRDefault="003B2887" w:rsidP="006932FB">
            <w:pPr>
              <w:suppressAutoHyphens w:val="0"/>
              <w:kinsoku/>
              <w:overflowPunct/>
              <w:autoSpaceDE/>
              <w:autoSpaceDN/>
              <w:adjustRightInd/>
              <w:snapToGrid/>
              <w:spacing w:before="80" w:after="80" w:line="240" w:lineRule="auto"/>
              <w:ind w:left="908" w:hanging="454"/>
              <w:jc w:val="both"/>
              <w:rPr>
                <w:lang w:val="fr-FR" w:eastAsia="en-US"/>
              </w:rPr>
            </w:pPr>
            <w:r w:rsidRPr="003338FD">
              <w:rPr>
                <w:lang w:val="fr-FR" w:eastAsia="en-US"/>
              </w:rPr>
              <w:t>Masse brute maximale : 150 kg.</w:t>
            </w:r>
          </w:p>
          <w:p w14:paraId="54FBC493" w14:textId="77777777" w:rsidR="003B2887" w:rsidRPr="003338FD" w:rsidRDefault="003B2887" w:rsidP="006932FB">
            <w:pPr>
              <w:suppressAutoHyphens w:val="0"/>
              <w:kinsoku/>
              <w:overflowPunct/>
              <w:autoSpaceDE/>
              <w:autoSpaceDN/>
              <w:adjustRightInd/>
              <w:snapToGrid/>
              <w:spacing w:before="80" w:after="80" w:line="240" w:lineRule="auto"/>
              <w:ind w:left="454" w:hanging="454"/>
              <w:jc w:val="both"/>
              <w:rPr>
                <w:lang w:val="fr-FR" w:eastAsia="en-US"/>
              </w:rPr>
            </w:pPr>
            <w:r w:rsidRPr="003338FD">
              <w:rPr>
                <w:lang w:val="fr-FR" w:eastAsia="en-US"/>
              </w:rPr>
              <w:t>3)</w:t>
            </w:r>
            <w:r w:rsidRPr="003338FD">
              <w:rPr>
                <w:lang w:val="fr-FR" w:eastAsia="en-US"/>
              </w:rPr>
              <w:tab/>
              <w:t>Emballages composites :</w:t>
            </w:r>
          </w:p>
          <w:p w14:paraId="59B10FFF" w14:textId="77777777" w:rsidR="003B2887" w:rsidRPr="003338FD" w:rsidRDefault="003B2887" w:rsidP="006932FB">
            <w:pPr>
              <w:suppressAutoHyphens w:val="0"/>
              <w:kinsoku/>
              <w:overflowPunct/>
              <w:autoSpaceDE/>
              <w:autoSpaceDN/>
              <w:adjustRightInd/>
              <w:snapToGrid/>
              <w:spacing w:before="80" w:after="80" w:line="240" w:lineRule="auto"/>
              <w:ind w:left="908" w:hanging="454"/>
              <w:jc w:val="both"/>
              <w:rPr>
                <w:lang w:val="fr-FR" w:eastAsia="en-US"/>
              </w:rPr>
            </w:pPr>
            <w:r w:rsidRPr="003338FD">
              <w:rPr>
                <w:lang w:val="fr-FR" w:eastAsia="en-US"/>
              </w:rPr>
              <w:tab/>
              <w:t>Récipient en plastique dans un fût en acier ou en aluminium (6HA1 ou 6HB1).</w:t>
            </w:r>
          </w:p>
          <w:p w14:paraId="78BF863F" w14:textId="77777777" w:rsidR="003B2887" w:rsidRPr="003338FD" w:rsidRDefault="003B2887" w:rsidP="006932FB">
            <w:pPr>
              <w:suppressAutoHyphens w:val="0"/>
              <w:kinsoku/>
              <w:overflowPunct/>
              <w:autoSpaceDE/>
              <w:autoSpaceDN/>
              <w:adjustRightInd/>
              <w:snapToGrid/>
              <w:spacing w:before="80" w:after="80" w:line="240" w:lineRule="auto"/>
              <w:ind w:left="908" w:hanging="454"/>
              <w:jc w:val="both"/>
              <w:rPr>
                <w:lang w:val="fr-FR" w:eastAsia="en-US"/>
              </w:rPr>
            </w:pPr>
            <w:r w:rsidRPr="003338FD">
              <w:rPr>
                <w:lang w:val="fr-FR" w:eastAsia="en-US"/>
              </w:rPr>
              <w:t>Masse brute maximale : 150 kg.</w:t>
            </w:r>
          </w:p>
          <w:p w14:paraId="668E0C34" w14:textId="77777777" w:rsidR="003B2887" w:rsidRPr="003338FD" w:rsidRDefault="003B2887" w:rsidP="006932FB">
            <w:pPr>
              <w:suppressAutoHyphens w:val="0"/>
              <w:kinsoku/>
              <w:overflowPunct/>
              <w:autoSpaceDE/>
              <w:autoSpaceDN/>
              <w:adjustRightInd/>
              <w:snapToGrid/>
              <w:spacing w:before="80" w:after="80" w:line="240" w:lineRule="auto"/>
              <w:ind w:left="454" w:hanging="454"/>
              <w:jc w:val="both"/>
              <w:rPr>
                <w:lang w:val="fr-FR" w:eastAsia="en-US"/>
              </w:rPr>
            </w:pPr>
            <w:r w:rsidRPr="003338FD">
              <w:rPr>
                <w:lang w:val="fr-FR" w:eastAsia="en-US"/>
              </w:rPr>
              <w:t>4)</w:t>
            </w:r>
            <w:r w:rsidRPr="003338FD">
              <w:rPr>
                <w:lang w:val="fr-FR" w:eastAsia="en-US"/>
              </w:rPr>
              <w:tab/>
              <w:t>Récipients à pression, s’il est satisfait aux dispositions générales du 4.1.3.6.</w:t>
            </w:r>
          </w:p>
        </w:tc>
      </w:tr>
    </w:tbl>
    <w:p w14:paraId="603A945B" w14:textId="77777777" w:rsidR="003B2887" w:rsidRPr="003338FD" w:rsidRDefault="003B2887" w:rsidP="003B2887">
      <w:pPr>
        <w:tabs>
          <w:tab w:val="left" w:pos="1701"/>
          <w:tab w:val="left" w:pos="2268"/>
          <w:tab w:val="left" w:pos="2835"/>
        </w:tabs>
        <w:spacing w:before="120" w:after="120"/>
        <w:ind w:left="2268" w:right="1134" w:hanging="1134"/>
        <w:jc w:val="both"/>
        <w:rPr>
          <w:rFonts w:eastAsiaTheme="minorHAnsi"/>
          <w:i/>
          <w:iCs/>
          <w:spacing w:val="-4"/>
          <w:lang w:val="fr-FR" w:eastAsia="en-US"/>
        </w:rPr>
      </w:pPr>
      <w:r w:rsidRPr="003338FD">
        <w:rPr>
          <w:rFonts w:eastAsiaTheme="minorHAnsi"/>
          <w:i/>
          <w:iCs/>
          <w:spacing w:val="-4"/>
          <w:lang w:val="fr-FR" w:eastAsia="en-US"/>
        </w:rPr>
        <w:t>(Document de référence : ST/SG/AC.10/C.3/2022/76, proposition 10)</w:t>
      </w:r>
    </w:p>
    <w:p w14:paraId="425A45FE"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spacing w:val="-4"/>
          <w:lang w:val="fr-FR" w:eastAsia="en-US"/>
        </w:rPr>
      </w:pPr>
      <w:r w:rsidRPr="003338FD">
        <w:rPr>
          <w:rFonts w:eastAsiaTheme="minorHAnsi"/>
          <w:spacing w:val="-4"/>
          <w:lang w:val="fr-FR" w:eastAsia="en-US"/>
        </w:rPr>
        <w:t>4.1.4.1, P501</w:t>
      </w:r>
      <w:r w:rsidRPr="003338FD">
        <w:rPr>
          <w:rFonts w:eastAsiaTheme="minorHAnsi"/>
          <w:spacing w:val="-4"/>
          <w:lang w:val="fr-FR" w:eastAsia="en-US"/>
        </w:rPr>
        <w:tab/>
        <w:t>Sous « Emballages combinés », avant « Emballages intérieurs en verre », supprimer « 1) » et avant « Emballages intérieurs en plastique », supprimer « 2) ».</w:t>
      </w:r>
    </w:p>
    <w:p w14:paraId="1C3C006F"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5)</w:t>
      </w:r>
    </w:p>
    <w:p w14:paraId="44E97006"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P505</w:t>
      </w:r>
      <w:r w:rsidRPr="003338FD">
        <w:rPr>
          <w:rFonts w:eastAsiaTheme="minorHAnsi"/>
          <w:lang w:val="fr-FR" w:eastAsia="en-US"/>
        </w:rPr>
        <w:tab/>
        <w:t>Modifier comme suit les lignes 3 et 4 sous le titre :</w:t>
      </w: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500"/>
        <w:gridCol w:w="4438"/>
        <w:gridCol w:w="2701"/>
      </w:tblGrid>
      <w:tr w:rsidR="003B2887" w:rsidRPr="003338FD" w14:paraId="5010B792" w14:textId="77777777" w:rsidTr="006932FB">
        <w:trPr>
          <w:trHeight w:val="20"/>
        </w:trPr>
        <w:tc>
          <w:tcPr>
            <w:tcW w:w="3599" w:type="pct"/>
            <w:gridSpan w:val="2"/>
            <w:tcBorders>
              <w:top w:val="single" w:sz="6" w:space="0" w:color="auto"/>
              <w:left w:val="single" w:sz="6" w:space="0" w:color="auto"/>
              <w:bottom w:val="single" w:sz="6" w:space="0" w:color="auto"/>
              <w:right w:val="single" w:sz="6" w:space="0" w:color="auto"/>
            </w:tcBorders>
            <w:shd w:val="clear" w:color="auto" w:fill="auto"/>
          </w:tcPr>
          <w:p w14:paraId="4A7B7DE1" w14:textId="77777777" w:rsidR="003B2887" w:rsidRPr="003338FD" w:rsidRDefault="003B2887" w:rsidP="006932FB">
            <w:pPr>
              <w:suppressAutoHyphens w:val="0"/>
              <w:kinsoku/>
              <w:overflowPunct/>
              <w:autoSpaceDE/>
              <w:autoSpaceDN/>
              <w:adjustRightInd/>
              <w:snapToGrid/>
              <w:spacing w:before="80" w:after="80" w:line="240" w:lineRule="auto"/>
              <w:jc w:val="both"/>
              <w:rPr>
                <w:b/>
                <w:bCs/>
                <w:lang w:val="fr-FR" w:eastAsia="en-US"/>
              </w:rPr>
            </w:pPr>
          </w:p>
        </w:tc>
        <w:tc>
          <w:tcPr>
            <w:tcW w:w="1401" w:type="pct"/>
            <w:tcBorders>
              <w:top w:val="single" w:sz="6" w:space="0" w:color="auto"/>
              <w:left w:val="single" w:sz="6" w:space="0" w:color="auto"/>
              <w:bottom w:val="single" w:sz="6" w:space="0" w:color="auto"/>
              <w:right w:val="single" w:sz="6" w:space="0" w:color="auto"/>
            </w:tcBorders>
            <w:shd w:val="clear" w:color="auto" w:fill="auto"/>
            <w:vAlign w:val="center"/>
          </w:tcPr>
          <w:p w14:paraId="7E99098F" w14:textId="77777777" w:rsidR="003B2887" w:rsidRPr="003338FD" w:rsidRDefault="003B2887" w:rsidP="006932FB">
            <w:pPr>
              <w:suppressAutoHyphens w:val="0"/>
              <w:kinsoku/>
              <w:overflowPunct/>
              <w:autoSpaceDE/>
              <w:autoSpaceDN/>
              <w:adjustRightInd/>
              <w:snapToGrid/>
              <w:spacing w:before="80" w:after="80" w:line="240" w:lineRule="auto"/>
              <w:jc w:val="center"/>
              <w:rPr>
                <w:b/>
                <w:bCs/>
                <w:lang w:val="fr-FR" w:eastAsia="en-US"/>
              </w:rPr>
            </w:pPr>
            <w:r w:rsidRPr="003338FD">
              <w:rPr>
                <w:b/>
                <w:bCs/>
                <w:lang w:val="fr-FR" w:eastAsia="en-US"/>
              </w:rPr>
              <w:t>Contenance maximale/masse nette maximale</w:t>
            </w:r>
          </w:p>
        </w:tc>
      </w:tr>
      <w:tr w:rsidR="003B2887" w:rsidRPr="003338FD" w14:paraId="5E8E28C9" w14:textId="77777777" w:rsidTr="006932FB">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2C5F495C" w14:textId="77777777" w:rsidR="003B2887" w:rsidRPr="003338FD" w:rsidRDefault="003B2887" w:rsidP="006932FB">
            <w:pPr>
              <w:suppressAutoHyphens w:val="0"/>
              <w:kinsoku/>
              <w:overflowPunct/>
              <w:autoSpaceDE/>
              <w:autoSpaceDN/>
              <w:adjustRightInd/>
              <w:snapToGrid/>
              <w:spacing w:before="80" w:after="80" w:line="240" w:lineRule="auto"/>
              <w:rPr>
                <w:lang w:val="fr-FR" w:eastAsia="en-US"/>
              </w:rPr>
            </w:pPr>
            <w:r w:rsidRPr="003338FD">
              <w:rPr>
                <w:b/>
                <w:bCs/>
                <w:lang w:val="fr-FR" w:eastAsia="en-US"/>
              </w:rPr>
              <w:t>Emballages combinés</w:t>
            </w:r>
          </w:p>
        </w:tc>
      </w:tr>
      <w:tr w:rsidR="003B2887" w:rsidRPr="003338FD" w14:paraId="28B78E54" w14:textId="77777777" w:rsidTr="006932FB">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0EBF831C" w14:textId="77777777" w:rsidR="003B2887" w:rsidRPr="003338FD" w:rsidRDefault="003B2887" w:rsidP="006932FB">
            <w:pPr>
              <w:suppressAutoHyphens w:val="0"/>
              <w:kinsoku/>
              <w:overflowPunct/>
              <w:autoSpaceDE/>
              <w:autoSpaceDN/>
              <w:adjustRightInd/>
              <w:snapToGrid/>
              <w:spacing w:before="80" w:after="80" w:line="240" w:lineRule="auto"/>
              <w:ind w:left="113" w:hanging="113"/>
              <w:rPr>
                <w:lang w:val="fr-FR" w:eastAsia="en-US"/>
              </w:rPr>
            </w:pPr>
            <w:r w:rsidRPr="003338FD">
              <w:rPr>
                <w:b/>
                <w:bCs/>
                <w:lang w:val="fr-FR" w:eastAsia="en-US"/>
              </w:rPr>
              <w:t>Emballages intérieurs</w:t>
            </w:r>
          </w:p>
        </w:tc>
        <w:tc>
          <w:tcPr>
            <w:tcW w:w="3703" w:type="pct"/>
            <w:gridSpan w:val="2"/>
            <w:tcBorders>
              <w:top w:val="single" w:sz="6" w:space="0" w:color="auto"/>
              <w:left w:val="single" w:sz="6" w:space="0" w:color="auto"/>
              <w:bottom w:val="single" w:sz="6" w:space="0" w:color="auto"/>
              <w:right w:val="single" w:sz="6" w:space="0" w:color="auto"/>
            </w:tcBorders>
            <w:shd w:val="clear" w:color="auto" w:fill="auto"/>
          </w:tcPr>
          <w:p w14:paraId="641585B6" w14:textId="77777777" w:rsidR="003B2887" w:rsidRPr="003338FD" w:rsidRDefault="003B2887" w:rsidP="006932FB">
            <w:pPr>
              <w:suppressAutoHyphens w:val="0"/>
              <w:kinsoku/>
              <w:overflowPunct/>
              <w:autoSpaceDE/>
              <w:autoSpaceDN/>
              <w:adjustRightInd/>
              <w:snapToGrid/>
              <w:spacing w:before="80" w:after="80" w:line="240" w:lineRule="auto"/>
              <w:rPr>
                <w:lang w:val="fr-FR" w:eastAsia="en-US"/>
              </w:rPr>
            </w:pPr>
            <w:r w:rsidRPr="003338FD">
              <w:rPr>
                <w:b/>
                <w:bCs/>
                <w:lang w:val="fr-FR" w:eastAsia="en-US"/>
              </w:rPr>
              <w:t>Emballages extérieurs</w:t>
            </w:r>
          </w:p>
        </w:tc>
      </w:tr>
      <w:tr w:rsidR="003B2887" w:rsidRPr="003338FD" w14:paraId="52FB3D9A" w14:textId="77777777" w:rsidTr="006932FB">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24DC05FB" w14:textId="77777777" w:rsidR="003B2887" w:rsidRPr="003338FD" w:rsidRDefault="003B2887" w:rsidP="006932FB">
            <w:pPr>
              <w:tabs>
                <w:tab w:val="right" w:pos="2180"/>
              </w:tabs>
              <w:suppressAutoHyphens w:val="0"/>
              <w:kinsoku/>
              <w:overflowPunct/>
              <w:autoSpaceDE/>
              <w:autoSpaceDN/>
              <w:adjustRightInd/>
              <w:snapToGrid/>
              <w:spacing w:before="80" w:after="40" w:line="240" w:lineRule="auto"/>
              <w:jc w:val="both"/>
              <w:rPr>
                <w:lang w:val="fr-FR" w:eastAsia="en-US"/>
              </w:rPr>
            </w:pPr>
            <w:r w:rsidRPr="003338FD">
              <w:rPr>
                <w:lang w:val="fr-FR" w:eastAsia="en-US"/>
              </w:rPr>
              <w:t>en verre</w:t>
            </w:r>
            <w:r w:rsidRPr="003338FD">
              <w:rPr>
                <w:lang w:val="fr-FR" w:eastAsia="en-US"/>
              </w:rPr>
              <w:tab/>
            </w:r>
            <w:r w:rsidRPr="003338FD">
              <w:rPr>
                <w:i/>
                <w:iCs/>
                <w:lang w:val="fr-FR" w:eastAsia="en-US"/>
              </w:rPr>
              <w:t>5 l</w:t>
            </w:r>
          </w:p>
          <w:p w14:paraId="27DE4361" w14:textId="77777777" w:rsidR="003B2887" w:rsidRPr="003338FD" w:rsidRDefault="003B2887" w:rsidP="006932FB">
            <w:pPr>
              <w:tabs>
                <w:tab w:val="right" w:pos="2180"/>
              </w:tabs>
              <w:suppressAutoHyphens w:val="0"/>
              <w:kinsoku/>
              <w:overflowPunct/>
              <w:autoSpaceDE/>
              <w:autoSpaceDN/>
              <w:adjustRightInd/>
              <w:snapToGrid/>
              <w:spacing w:before="40" w:after="40" w:line="240" w:lineRule="auto"/>
              <w:jc w:val="both"/>
              <w:rPr>
                <w:lang w:val="fr-FR" w:eastAsia="en-US"/>
              </w:rPr>
            </w:pPr>
            <w:r w:rsidRPr="003338FD">
              <w:rPr>
                <w:lang w:val="fr-FR" w:eastAsia="en-US"/>
              </w:rPr>
              <w:t>en plastique</w:t>
            </w:r>
            <w:r w:rsidRPr="003338FD">
              <w:rPr>
                <w:lang w:val="fr-FR" w:eastAsia="en-US"/>
              </w:rPr>
              <w:tab/>
            </w:r>
            <w:r w:rsidRPr="003338FD">
              <w:rPr>
                <w:i/>
                <w:iCs/>
                <w:lang w:val="fr-FR" w:eastAsia="en-US"/>
              </w:rPr>
              <w:t>5 l</w:t>
            </w:r>
          </w:p>
          <w:p w14:paraId="14CBA7DF" w14:textId="77777777" w:rsidR="003B2887" w:rsidRPr="003338FD" w:rsidRDefault="003B2887" w:rsidP="006932FB">
            <w:pPr>
              <w:tabs>
                <w:tab w:val="right" w:pos="2180"/>
              </w:tabs>
              <w:suppressAutoHyphens w:val="0"/>
              <w:kinsoku/>
              <w:overflowPunct/>
              <w:autoSpaceDE/>
              <w:autoSpaceDN/>
              <w:adjustRightInd/>
              <w:snapToGrid/>
              <w:spacing w:before="40" w:after="40" w:line="240" w:lineRule="auto"/>
              <w:jc w:val="both"/>
              <w:rPr>
                <w:b/>
                <w:lang w:val="fr-FR" w:eastAsia="en-US"/>
              </w:rPr>
            </w:pPr>
            <w:r w:rsidRPr="003338FD">
              <w:rPr>
                <w:lang w:val="fr-FR" w:eastAsia="en-US"/>
              </w:rPr>
              <w:t>en métal</w:t>
            </w:r>
            <w:r w:rsidRPr="003338FD">
              <w:rPr>
                <w:lang w:val="fr-FR" w:eastAsia="en-US"/>
              </w:rPr>
              <w:tab/>
            </w:r>
            <w:r w:rsidRPr="003338FD">
              <w:rPr>
                <w:i/>
                <w:iCs/>
                <w:lang w:val="fr-FR" w:eastAsia="en-US"/>
              </w:rPr>
              <w:t>5 l</w:t>
            </w:r>
          </w:p>
        </w:tc>
        <w:tc>
          <w:tcPr>
            <w:tcW w:w="2302" w:type="pct"/>
            <w:tcBorders>
              <w:top w:val="single" w:sz="6" w:space="0" w:color="auto"/>
              <w:left w:val="single" w:sz="6" w:space="0" w:color="auto"/>
              <w:bottom w:val="single" w:sz="6" w:space="0" w:color="auto"/>
              <w:right w:val="single" w:sz="6" w:space="0" w:color="auto"/>
            </w:tcBorders>
            <w:shd w:val="clear" w:color="auto" w:fill="auto"/>
          </w:tcPr>
          <w:p w14:paraId="63F3E25D" w14:textId="77777777" w:rsidR="003B2887" w:rsidRPr="003338FD" w:rsidRDefault="003B2887" w:rsidP="006932FB">
            <w:pPr>
              <w:suppressAutoHyphens w:val="0"/>
              <w:kinsoku/>
              <w:overflowPunct/>
              <w:autoSpaceDE/>
              <w:autoSpaceDN/>
              <w:adjustRightInd/>
              <w:snapToGrid/>
              <w:spacing w:before="80" w:after="40" w:line="240" w:lineRule="auto"/>
              <w:jc w:val="both"/>
              <w:rPr>
                <w:b/>
                <w:bCs/>
                <w:lang w:val="fr-FR" w:eastAsia="en-US"/>
              </w:rPr>
            </w:pPr>
            <w:r w:rsidRPr="003338FD">
              <w:rPr>
                <w:b/>
                <w:bCs/>
                <w:lang w:val="fr-FR" w:eastAsia="en-US"/>
              </w:rPr>
              <w:t>Caisses</w:t>
            </w:r>
          </w:p>
          <w:p w14:paraId="1E3FE726" w14:textId="77777777" w:rsidR="003B2887" w:rsidRPr="003338FD" w:rsidRDefault="003B2887" w:rsidP="006932FB">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aluminium (4B)</w:t>
            </w:r>
          </w:p>
          <w:p w14:paraId="14935CB9" w14:textId="77777777" w:rsidR="003B2887" w:rsidRPr="003338FD" w:rsidRDefault="003B2887" w:rsidP="006932FB">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bois naturel ordinaire (4C1)</w:t>
            </w:r>
          </w:p>
          <w:p w14:paraId="7458D65B" w14:textId="77777777" w:rsidR="003B2887" w:rsidRPr="003338FD" w:rsidRDefault="003B2887" w:rsidP="006932FB">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bois naturel, à panneaux étanches aux pulvérulents (4C2)</w:t>
            </w:r>
          </w:p>
          <w:p w14:paraId="0F246742" w14:textId="77777777" w:rsidR="003B2887" w:rsidRPr="003338FD" w:rsidRDefault="003B2887" w:rsidP="006932FB">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contreplaqué (4D)</w:t>
            </w:r>
          </w:p>
          <w:p w14:paraId="029A0EBF" w14:textId="77777777" w:rsidR="003B2887" w:rsidRPr="003338FD" w:rsidRDefault="003B2887" w:rsidP="006932FB">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carton (4G)</w:t>
            </w:r>
          </w:p>
          <w:p w14:paraId="6B34589A" w14:textId="77777777" w:rsidR="003B2887" w:rsidRPr="003338FD" w:rsidRDefault="003B2887" w:rsidP="006932FB">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plastique rigide (4H2)</w:t>
            </w:r>
          </w:p>
          <w:p w14:paraId="5237F406" w14:textId="77777777" w:rsidR="003B2887" w:rsidRPr="003338FD" w:rsidRDefault="003B2887" w:rsidP="006932FB">
            <w:pPr>
              <w:suppressAutoHyphens w:val="0"/>
              <w:kinsoku/>
              <w:overflowPunct/>
              <w:autoSpaceDE/>
              <w:autoSpaceDN/>
              <w:adjustRightInd/>
              <w:snapToGrid/>
              <w:spacing w:before="80" w:after="40" w:line="240" w:lineRule="auto"/>
              <w:jc w:val="both"/>
              <w:rPr>
                <w:b/>
                <w:bCs/>
                <w:lang w:val="fr-FR" w:eastAsia="en-US"/>
              </w:rPr>
            </w:pPr>
            <w:r w:rsidRPr="003338FD">
              <w:rPr>
                <w:b/>
                <w:bCs/>
                <w:lang w:val="fr-FR" w:eastAsia="en-US"/>
              </w:rPr>
              <w:t>Fûts</w:t>
            </w:r>
          </w:p>
          <w:p w14:paraId="4799601F" w14:textId="77777777" w:rsidR="003B2887" w:rsidRPr="003338FD" w:rsidRDefault="003B2887" w:rsidP="006932FB">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aluminium à dessus amovible (1B2)</w:t>
            </w:r>
          </w:p>
          <w:p w14:paraId="62096C36" w14:textId="77777777" w:rsidR="003B2887" w:rsidRPr="003338FD" w:rsidRDefault="003B2887" w:rsidP="006932FB">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carton (1G)</w:t>
            </w:r>
          </w:p>
          <w:p w14:paraId="1E89437D" w14:textId="77777777" w:rsidR="003B2887" w:rsidRPr="003338FD" w:rsidRDefault="003B2887" w:rsidP="006932FB">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un autre métal à dessus amovible (1N2)</w:t>
            </w:r>
          </w:p>
          <w:p w14:paraId="12EECD28" w14:textId="77777777" w:rsidR="003B2887" w:rsidRPr="003338FD" w:rsidRDefault="003B2887" w:rsidP="006932FB">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plastique à dessus amovible (1H2)</w:t>
            </w:r>
          </w:p>
          <w:p w14:paraId="6E413A97" w14:textId="77777777" w:rsidR="003B2887" w:rsidRPr="003338FD" w:rsidRDefault="003B2887" w:rsidP="006932FB">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contreplaqué (1D)</w:t>
            </w:r>
          </w:p>
          <w:p w14:paraId="5771A27F" w14:textId="77777777" w:rsidR="003B2887" w:rsidRPr="003338FD" w:rsidRDefault="003B2887" w:rsidP="006932FB">
            <w:pPr>
              <w:suppressAutoHyphens w:val="0"/>
              <w:kinsoku/>
              <w:overflowPunct/>
              <w:autoSpaceDE/>
              <w:autoSpaceDN/>
              <w:adjustRightInd/>
              <w:snapToGrid/>
              <w:spacing w:before="80" w:after="40" w:line="240" w:lineRule="auto"/>
              <w:jc w:val="both"/>
              <w:rPr>
                <w:b/>
                <w:bCs/>
                <w:lang w:val="fr-FR" w:eastAsia="en-US"/>
              </w:rPr>
            </w:pPr>
            <w:r w:rsidRPr="003338FD">
              <w:rPr>
                <w:b/>
                <w:bCs/>
                <w:lang w:val="fr-FR" w:eastAsia="en-US"/>
              </w:rPr>
              <w:t>Bidons (jerricans)</w:t>
            </w:r>
          </w:p>
          <w:p w14:paraId="3D73D4DA" w14:textId="77777777" w:rsidR="003B2887" w:rsidRPr="003338FD" w:rsidRDefault="003B2887" w:rsidP="006932FB">
            <w:pPr>
              <w:suppressAutoHyphens w:val="0"/>
              <w:kinsoku/>
              <w:overflowPunct/>
              <w:autoSpaceDE/>
              <w:autoSpaceDN/>
              <w:adjustRightInd/>
              <w:snapToGrid/>
              <w:spacing w:before="40" w:after="40" w:line="240" w:lineRule="auto"/>
              <w:ind w:left="340" w:hanging="113"/>
              <w:rPr>
                <w:lang w:val="fr-FR" w:eastAsia="en-US"/>
              </w:rPr>
            </w:pPr>
            <w:r w:rsidRPr="003338FD">
              <w:rPr>
                <w:lang w:val="fr-FR" w:eastAsia="en-US"/>
              </w:rPr>
              <w:t>en aluminium à dessus amovible (3B2)</w:t>
            </w:r>
          </w:p>
          <w:p w14:paraId="1FB98C8F" w14:textId="77777777" w:rsidR="003B2887" w:rsidRPr="003338FD" w:rsidRDefault="003B2887" w:rsidP="006932FB">
            <w:pPr>
              <w:suppressAutoHyphens w:val="0"/>
              <w:kinsoku/>
              <w:overflowPunct/>
              <w:autoSpaceDE/>
              <w:autoSpaceDN/>
              <w:adjustRightInd/>
              <w:snapToGrid/>
              <w:spacing w:before="40" w:after="40" w:line="240" w:lineRule="auto"/>
              <w:ind w:left="340" w:hanging="113"/>
              <w:rPr>
                <w:b/>
                <w:lang w:val="fr-FR" w:eastAsia="en-US"/>
              </w:rPr>
            </w:pPr>
            <w:r w:rsidRPr="003338FD">
              <w:rPr>
                <w:lang w:val="fr-FR" w:eastAsia="en-US"/>
              </w:rPr>
              <w:t>en plastique à dessus amovible (3H2)</w:t>
            </w:r>
          </w:p>
        </w:tc>
        <w:tc>
          <w:tcPr>
            <w:tcW w:w="1401" w:type="pct"/>
            <w:tcBorders>
              <w:top w:val="single" w:sz="6" w:space="0" w:color="auto"/>
              <w:left w:val="single" w:sz="6" w:space="0" w:color="auto"/>
              <w:bottom w:val="single" w:sz="6" w:space="0" w:color="auto"/>
              <w:right w:val="single" w:sz="6" w:space="0" w:color="auto"/>
            </w:tcBorders>
            <w:shd w:val="clear" w:color="auto" w:fill="auto"/>
          </w:tcPr>
          <w:p w14:paraId="2C5209DD" w14:textId="77777777" w:rsidR="003B2887" w:rsidRPr="003338FD" w:rsidRDefault="003B2887" w:rsidP="006932FB">
            <w:pPr>
              <w:suppressAutoHyphens w:val="0"/>
              <w:kinsoku/>
              <w:overflowPunct/>
              <w:autoSpaceDE/>
              <w:autoSpaceDN/>
              <w:adjustRightInd/>
              <w:snapToGrid/>
              <w:spacing w:before="80" w:after="40" w:line="240" w:lineRule="auto"/>
              <w:jc w:val="center"/>
              <w:rPr>
                <w:lang w:val="fr-FR" w:eastAsia="en-US"/>
              </w:rPr>
            </w:pPr>
          </w:p>
          <w:p w14:paraId="62513ACD" w14:textId="77777777" w:rsidR="003B2887" w:rsidRPr="007C10D4" w:rsidRDefault="003B2887" w:rsidP="006932FB">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6149AA4E" w14:textId="77777777" w:rsidR="003B2887" w:rsidRPr="007C10D4" w:rsidRDefault="003B2887" w:rsidP="006932FB">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62175863" w14:textId="77777777" w:rsidR="003B2887" w:rsidRPr="007C10D4" w:rsidRDefault="003B2887" w:rsidP="006932FB">
            <w:pPr>
              <w:suppressAutoHyphens w:val="0"/>
              <w:kinsoku/>
              <w:overflowPunct/>
              <w:autoSpaceDE/>
              <w:autoSpaceDN/>
              <w:adjustRightInd/>
              <w:snapToGrid/>
              <w:spacing w:before="40" w:after="40" w:line="240" w:lineRule="auto"/>
              <w:jc w:val="center"/>
              <w:rPr>
                <w:lang w:val="en-GB" w:eastAsia="en-US"/>
              </w:rPr>
            </w:pPr>
          </w:p>
          <w:p w14:paraId="34A6B6F1" w14:textId="77777777" w:rsidR="003B2887" w:rsidRPr="007C10D4" w:rsidRDefault="003B2887" w:rsidP="006932FB">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7AC50161" w14:textId="77777777" w:rsidR="003B2887" w:rsidRPr="007C10D4" w:rsidRDefault="003B2887" w:rsidP="006932FB">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72D2F187" w14:textId="77777777" w:rsidR="003B2887" w:rsidRPr="007C10D4" w:rsidRDefault="003B2887" w:rsidP="006932FB">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2188BBA9" w14:textId="77777777" w:rsidR="003B2887" w:rsidRPr="007C10D4" w:rsidRDefault="003B2887" w:rsidP="006932FB">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1594005D" w14:textId="77777777" w:rsidR="003B2887" w:rsidRPr="007C10D4" w:rsidRDefault="003B2887" w:rsidP="006932FB">
            <w:pPr>
              <w:suppressAutoHyphens w:val="0"/>
              <w:kinsoku/>
              <w:overflowPunct/>
              <w:autoSpaceDE/>
              <w:autoSpaceDN/>
              <w:adjustRightInd/>
              <w:snapToGrid/>
              <w:spacing w:before="40" w:after="40" w:line="240" w:lineRule="auto"/>
              <w:jc w:val="center"/>
              <w:rPr>
                <w:lang w:val="en-GB" w:eastAsia="en-US"/>
              </w:rPr>
            </w:pPr>
          </w:p>
          <w:p w14:paraId="69DEAB93" w14:textId="77777777" w:rsidR="003B2887" w:rsidRPr="007C10D4" w:rsidRDefault="003B2887" w:rsidP="006932FB">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1E6924A9" w14:textId="77777777" w:rsidR="003B2887" w:rsidRPr="007C10D4" w:rsidRDefault="003B2887" w:rsidP="006932FB">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42B01D58" w14:textId="77777777" w:rsidR="003B2887" w:rsidRPr="007C10D4" w:rsidRDefault="003B2887" w:rsidP="006932FB">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79628A6A" w14:textId="77777777" w:rsidR="003B2887" w:rsidRPr="007C10D4" w:rsidRDefault="003B2887" w:rsidP="006932FB">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5464EF5B" w14:textId="77777777" w:rsidR="003B2887" w:rsidRPr="007C10D4" w:rsidRDefault="003B2887" w:rsidP="006932FB">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3F3F50CC" w14:textId="77777777" w:rsidR="003B2887" w:rsidRPr="007C10D4" w:rsidRDefault="003B2887" w:rsidP="006932FB">
            <w:pPr>
              <w:suppressAutoHyphens w:val="0"/>
              <w:kinsoku/>
              <w:overflowPunct/>
              <w:autoSpaceDE/>
              <w:autoSpaceDN/>
              <w:adjustRightInd/>
              <w:snapToGrid/>
              <w:spacing w:before="40" w:after="40" w:line="240" w:lineRule="auto"/>
              <w:jc w:val="center"/>
              <w:rPr>
                <w:lang w:val="en-GB" w:eastAsia="en-US"/>
              </w:rPr>
            </w:pPr>
          </w:p>
          <w:p w14:paraId="7B0B7AAC" w14:textId="77777777" w:rsidR="003B2887" w:rsidRPr="007C10D4" w:rsidRDefault="003B2887" w:rsidP="006932FB">
            <w:pPr>
              <w:suppressAutoHyphens w:val="0"/>
              <w:kinsoku/>
              <w:overflowPunct/>
              <w:autoSpaceDE/>
              <w:autoSpaceDN/>
              <w:adjustRightInd/>
              <w:snapToGrid/>
              <w:spacing w:before="40" w:after="40" w:line="240" w:lineRule="auto"/>
              <w:jc w:val="center"/>
              <w:rPr>
                <w:lang w:val="en-GB" w:eastAsia="en-US"/>
              </w:rPr>
            </w:pPr>
            <w:r w:rsidRPr="007C10D4">
              <w:rPr>
                <w:lang w:val="en-GB" w:eastAsia="en-US"/>
              </w:rPr>
              <w:t>125 kg</w:t>
            </w:r>
          </w:p>
          <w:p w14:paraId="026E0D27" w14:textId="77777777" w:rsidR="003B2887" w:rsidRPr="003338FD" w:rsidRDefault="003B2887" w:rsidP="006932FB">
            <w:pPr>
              <w:suppressAutoHyphens w:val="0"/>
              <w:kinsoku/>
              <w:overflowPunct/>
              <w:autoSpaceDE/>
              <w:autoSpaceDN/>
              <w:adjustRightInd/>
              <w:snapToGrid/>
              <w:spacing w:before="40" w:after="80" w:line="240" w:lineRule="auto"/>
              <w:jc w:val="center"/>
              <w:rPr>
                <w:lang w:val="fr-FR" w:eastAsia="en-US"/>
              </w:rPr>
            </w:pPr>
            <w:r w:rsidRPr="003338FD">
              <w:rPr>
                <w:lang w:val="fr-FR" w:eastAsia="en-US"/>
              </w:rPr>
              <w:t>125 kg</w:t>
            </w:r>
          </w:p>
        </w:tc>
      </w:tr>
      <w:tr w:rsidR="003B2887" w:rsidRPr="003338FD" w14:paraId="710B78B4" w14:textId="77777777" w:rsidTr="006932FB">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tcPr>
          <w:p w14:paraId="0B770BC7" w14:textId="77777777" w:rsidR="003B2887" w:rsidRPr="003338FD" w:rsidRDefault="003B2887" w:rsidP="006932FB">
            <w:pPr>
              <w:suppressAutoHyphens w:val="0"/>
              <w:kinsoku/>
              <w:overflowPunct/>
              <w:autoSpaceDE/>
              <w:autoSpaceDN/>
              <w:adjustRightInd/>
              <w:snapToGrid/>
              <w:spacing w:before="80" w:after="80" w:line="240" w:lineRule="auto"/>
              <w:jc w:val="both"/>
              <w:rPr>
                <w:b/>
                <w:bCs/>
                <w:lang w:val="fr-FR" w:eastAsia="en-US"/>
              </w:rPr>
            </w:pPr>
            <w:r w:rsidRPr="003338FD">
              <w:rPr>
                <w:b/>
                <w:bCs/>
                <w:lang w:val="fr-FR" w:eastAsia="en-US"/>
              </w:rPr>
              <w:t>Emballages simples</w:t>
            </w:r>
          </w:p>
        </w:tc>
      </w:tr>
    </w:tbl>
    <w:p w14:paraId="6022800F" w14:textId="77777777" w:rsidR="003B2887" w:rsidRPr="003338FD" w:rsidRDefault="003B2887" w:rsidP="003B2887">
      <w:pPr>
        <w:kinsoku/>
        <w:overflowPunct/>
        <w:autoSpaceDE/>
        <w:autoSpaceDN/>
        <w:adjustRightInd/>
        <w:snapToGrid/>
        <w:spacing w:before="120" w:after="120"/>
        <w:ind w:left="2268" w:right="1134" w:hanging="1134"/>
        <w:jc w:val="both"/>
        <w:rPr>
          <w:i/>
          <w:iCs/>
          <w:lang w:val="fr-FR" w:eastAsia="en-US"/>
        </w:rPr>
      </w:pPr>
      <w:r w:rsidRPr="003338FD">
        <w:rPr>
          <w:i/>
          <w:iCs/>
          <w:lang w:val="fr-FR" w:eastAsia="en-US"/>
        </w:rPr>
        <w:t>(Document de référence : ST/SG/AC.10/C.3/2022/76, proposition 8)</w:t>
      </w:r>
    </w:p>
    <w:p w14:paraId="2697A43B" w14:textId="77777777" w:rsidR="003B2887" w:rsidRPr="003338FD" w:rsidRDefault="003B2887" w:rsidP="003B2887">
      <w:pPr>
        <w:keepNext/>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P520</w:t>
      </w:r>
      <w:r w:rsidRPr="003338FD">
        <w:rPr>
          <w:rFonts w:eastAsiaTheme="minorHAnsi"/>
          <w:lang w:val="fr-FR" w:eastAsia="en-US"/>
        </w:rPr>
        <w:tab/>
        <w:t>La modification du point 1) est sans objet en français.</w:t>
      </w:r>
    </w:p>
    <w:p w14:paraId="22842AAD" w14:textId="77777777" w:rsidR="003B2887" w:rsidRPr="003338FD" w:rsidRDefault="003B2887" w:rsidP="003B2887">
      <w:pPr>
        <w:keepNext/>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ab/>
      </w:r>
      <w:r w:rsidRPr="003338FD">
        <w:rPr>
          <w:rFonts w:eastAsiaTheme="minorHAnsi"/>
          <w:lang w:val="fr-FR" w:eastAsia="en-US"/>
        </w:rPr>
        <w:tab/>
        <w:t>Modifier comme suit le tableau sous 3)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3961"/>
        <w:gridCol w:w="709"/>
        <w:gridCol w:w="710"/>
        <w:gridCol w:w="708"/>
        <w:gridCol w:w="708"/>
        <w:gridCol w:w="710"/>
        <w:gridCol w:w="708"/>
        <w:gridCol w:w="708"/>
        <w:gridCol w:w="700"/>
      </w:tblGrid>
      <w:tr w:rsidR="003B2887" w:rsidRPr="003338FD" w14:paraId="26C00DFD" w14:textId="77777777" w:rsidTr="006932FB">
        <w:tc>
          <w:tcPr>
            <w:tcW w:w="5000" w:type="pct"/>
            <w:gridSpan w:val="9"/>
            <w:tcBorders>
              <w:top w:val="single" w:sz="6" w:space="0" w:color="auto"/>
              <w:left w:val="single" w:sz="6" w:space="0" w:color="auto"/>
              <w:bottom w:val="single" w:sz="6" w:space="0" w:color="auto"/>
              <w:right w:val="single" w:sz="6" w:space="0" w:color="auto"/>
            </w:tcBorders>
          </w:tcPr>
          <w:p w14:paraId="4365EE03" w14:textId="77777777" w:rsidR="003B2887" w:rsidRPr="003338FD" w:rsidRDefault="003B2887" w:rsidP="006932FB">
            <w:pPr>
              <w:keepNext/>
              <w:suppressAutoHyphens w:val="0"/>
              <w:kinsoku/>
              <w:overflowPunct/>
              <w:autoSpaceDE/>
              <w:autoSpaceDN/>
              <w:adjustRightInd/>
              <w:snapToGrid/>
              <w:spacing w:before="80" w:after="80" w:line="240" w:lineRule="auto"/>
              <w:jc w:val="both"/>
              <w:rPr>
                <w:lang w:val="fr-FR" w:eastAsia="en-US"/>
              </w:rPr>
            </w:pPr>
            <w:r w:rsidRPr="003338FD">
              <w:rPr>
                <w:lang w:val="fr-FR" w:eastAsia="en-US"/>
              </w:rPr>
              <w:t>...</w:t>
            </w:r>
          </w:p>
          <w:p w14:paraId="3868C7A6" w14:textId="77777777" w:rsidR="003B2887" w:rsidRPr="003338FD" w:rsidRDefault="003B2887" w:rsidP="006932FB">
            <w:pPr>
              <w:keepNext/>
              <w:suppressAutoHyphens w:val="0"/>
              <w:kinsoku/>
              <w:overflowPunct/>
              <w:autoSpaceDE/>
              <w:autoSpaceDN/>
              <w:adjustRightInd/>
              <w:snapToGrid/>
              <w:spacing w:before="80" w:after="80" w:line="240" w:lineRule="auto"/>
              <w:jc w:val="both"/>
              <w:rPr>
                <w:lang w:val="fr-FR" w:eastAsia="en-US"/>
              </w:rPr>
            </w:pPr>
            <w:r w:rsidRPr="003338FD">
              <w:rPr>
                <w:lang w:val="fr-FR" w:eastAsia="en-US"/>
              </w:rPr>
              <w:t>Les quantités maximales par emballage/colis pour les méthodes d’emballage OP1 à OP8 sont :</w:t>
            </w:r>
          </w:p>
        </w:tc>
      </w:tr>
      <w:tr w:rsidR="003B2887" w:rsidRPr="003338FD" w14:paraId="18EA8CBD" w14:textId="77777777" w:rsidTr="006932FB">
        <w:trPr>
          <w:trHeight w:val="346"/>
        </w:trPr>
        <w:tc>
          <w:tcPr>
            <w:tcW w:w="2058" w:type="pct"/>
            <w:tcBorders>
              <w:top w:val="single" w:sz="6" w:space="0" w:color="auto"/>
              <w:left w:val="single" w:sz="6" w:space="0" w:color="auto"/>
              <w:bottom w:val="nil"/>
              <w:right w:val="nil"/>
            </w:tcBorders>
          </w:tcPr>
          <w:p w14:paraId="30E55EDB" w14:textId="77777777" w:rsidR="003B2887" w:rsidRPr="003338FD" w:rsidRDefault="003B2887" w:rsidP="006932FB">
            <w:pPr>
              <w:keepNext/>
              <w:suppressAutoHyphens w:val="0"/>
              <w:kinsoku/>
              <w:overflowPunct/>
              <w:autoSpaceDE/>
              <w:autoSpaceDN/>
              <w:adjustRightInd/>
              <w:snapToGrid/>
              <w:spacing w:before="80" w:after="40" w:line="240" w:lineRule="auto"/>
              <w:jc w:val="center"/>
              <w:rPr>
                <w:b/>
                <w:bCs/>
                <w:lang w:val="fr-FR" w:eastAsia="en-US"/>
              </w:rPr>
            </w:pPr>
          </w:p>
        </w:tc>
        <w:tc>
          <w:tcPr>
            <w:tcW w:w="368" w:type="pct"/>
            <w:tcBorders>
              <w:top w:val="single" w:sz="6" w:space="0" w:color="auto"/>
              <w:left w:val="nil"/>
              <w:bottom w:val="single" w:sz="6" w:space="0" w:color="auto"/>
              <w:right w:val="nil"/>
            </w:tcBorders>
          </w:tcPr>
          <w:p w14:paraId="6A74B705" w14:textId="77777777" w:rsidR="003B2887" w:rsidRPr="003338FD" w:rsidRDefault="003B2887" w:rsidP="006932FB">
            <w:pPr>
              <w:suppressAutoHyphens w:val="0"/>
              <w:kinsoku/>
              <w:overflowPunct/>
              <w:autoSpaceDE/>
              <w:autoSpaceDN/>
              <w:adjustRightInd/>
              <w:snapToGrid/>
              <w:spacing w:before="80" w:after="40" w:line="240" w:lineRule="auto"/>
              <w:jc w:val="center"/>
              <w:rPr>
                <w:b/>
                <w:bCs/>
                <w:lang w:val="fr-FR" w:eastAsia="en-US"/>
              </w:rPr>
            </w:pPr>
            <w:r w:rsidRPr="003338FD">
              <w:rPr>
                <w:b/>
                <w:bCs/>
                <w:lang w:val="fr-FR" w:eastAsia="en-US"/>
              </w:rPr>
              <w:t>OP1</w:t>
            </w:r>
          </w:p>
        </w:tc>
        <w:tc>
          <w:tcPr>
            <w:tcW w:w="369" w:type="pct"/>
            <w:tcBorders>
              <w:top w:val="single" w:sz="6" w:space="0" w:color="auto"/>
              <w:left w:val="nil"/>
              <w:bottom w:val="single" w:sz="6" w:space="0" w:color="auto"/>
              <w:right w:val="nil"/>
            </w:tcBorders>
          </w:tcPr>
          <w:p w14:paraId="1A9E3540" w14:textId="77777777" w:rsidR="003B2887" w:rsidRPr="003338FD" w:rsidRDefault="003B2887" w:rsidP="006932FB">
            <w:pPr>
              <w:suppressAutoHyphens w:val="0"/>
              <w:kinsoku/>
              <w:overflowPunct/>
              <w:autoSpaceDE/>
              <w:autoSpaceDN/>
              <w:adjustRightInd/>
              <w:snapToGrid/>
              <w:spacing w:before="80" w:after="40" w:line="240" w:lineRule="auto"/>
              <w:jc w:val="center"/>
              <w:rPr>
                <w:b/>
                <w:bCs/>
                <w:lang w:val="fr-FR" w:eastAsia="en-US"/>
              </w:rPr>
            </w:pPr>
            <w:r w:rsidRPr="003338FD">
              <w:rPr>
                <w:b/>
                <w:bCs/>
                <w:lang w:val="fr-FR" w:eastAsia="en-US"/>
              </w:rPr>
              <w:t>OP2</w:t>
            </w:r>
            <w:r w:rsidRPr="003338FD">
              <w:rPr>
                <w:b/>
                <w:bCs/>
                <w:vertAlign w:val="superscript"/>
                <w:lang w:val="fr-FR" w:eastAsia="en-US"/>
              </w:rPr>
              <w:t>a</w:t>
            </w:r>
          </w:p>
        </w:tc>
        <w:tc>
          <w:tcPr>
            <w:tcW w:w="368" w:type="pct"/>
            <w:tcBorders>
              <w:top w:val="single" w:sz="6" w:space="0" w:color="auto"/>
              <w:left w:val="nil"/>
              <w:bottom w:val="single" w:sz="6" w:space="0" w:color="auto"/>
              <w:right w:val="nil"/>
            </w:tcBorders>
          </w:tcPr>
          <w:p w14:paraId="426DAA72" w14:textId="77777777" w:rsidR="003B2887" w:rsidRPr="003338FD" w:rsidRDefault="003B2887" w:rsidP="006932FB">
            <w:pPr>
              <w:suppressAutoHyphens w:val="0"/>
              <w:kinsoku/>
              <w:overflowPunct/>
              <w:autoSpaceDE/>
              <w:autoSpaceDN/>
              <w:adjustRightInd/>
              <w:snapToGrid/>
              <w:spacing w:before="80" w:after="40" w:line="240" w:lineRule="auto"/>
              <w:jc w:val="center"/>
              <w:rPr>
                <w:b/>
                <w:bCs/>
                <w:lang w:val="fr-FR" w:eastAsia="en-US"/>
              </w:rPr>
            </w:pPr>
            <w:r w:rsidRPr="003338FD">
              <w:rPr>
                <w:b/>
                <w:bCs/>
                <w:lang w:val="fr-FR" w:eastAsia="en-US"/>
              </w:rPr>
              <w:t>OP3</w:t>
            </w:r>
          </w:p>
        </w:tc>
        <w:tc>
          <w:tcPr>
            <w:tcW w:w="368" w:type="pct"/>
            <w:tcBorders>
              <w:top w:val="single" w:sz="6" w:space="0" w:color="auto"/>
              <w:left w:val="nil"/>
              <w:bottom w:val="single" w:sz="6" w:space="0" w:color="auto"/>
              <w:right w:val="nil"/>
            </w:tcBorders>
          </w:tcPr>
          <w:p w14:paraId="0430BB39" w14:textId="77777777" w:rsidR="003B2887" w:rsidRPr="003338FD" w:rsidRDefault="003B2887" w:rsidP="006932FB">
            <w:pPr>
              <w:suppressAutoHyphens w:val="0"/>
              <w:kinsoku/>
              <w:overflowPunct/>
              <w:autoSpaceDE/>
              <w:autoSpaceDN/>
              <w:adjustRightInd/>
              <w:snapToGrid/>
              <w:spacing w:before="80" w:after="40" w:line="240" w:lineRule="auto"/>
              <w:jc w:val="center"/>
              <w:rPr>
                <w:b/>
                <w:bCs/>
                <w:lang w:val="fr-FR" w:eastAsia="en-US"/>
              </w:rPr>
            </w:pPr>
            <w:r w:rsidRPr="003338FD">
              <w:rPr>
                <w:b/>
                <w:bCs/>
                <w:lang w:val="fr-FR" w:eastAsia="en-US"/>
              </w:rPr>
              <w:t>OP4</w:t>
            </w:r>
            <w:r w:rsidRPr="003338FD">
              <w:rPr>
                <w:b/>
                <w:bCs/>
                <w:vertAlign w:val="superscript"/>
                <w:lang w:val="fr-FR" w:eastAsia="en-US"/>
              </w:rPr>
              <w:t>a</w:t>
            </w:r>
          </w:p>
        </w:tc>
        <w:tc>
          <w:tcPr>
            <w:tcW w:w="369" w:type="pct"/>
            <w:tcBorders>
              <w:top w:val="single" w:sz="6" w:space="0" w:color="auto"/>
              <w:left w:val="nil"/>
              <w:bottom w:val="single" w:sz="6" w:space="0" w:color="auto"/>
              <w:right w:val="nil"/>
            </w:tcBorders>
          </w:tcPr>
          <w:p w14:paraId="5C8B2B15" w14:textId="77777777" w:rsidR="003B2887" w:rsidRPr="003338FD" w:rsidRDefault="003B2887" w:rsidP="006932FB">
            <w:pPr>
              <w:suppressAutoHyphens w:val="0"/>
              <w:kinsoku/>
              <w:overflowPunct/>
              <w:autoSpaceDE/>
              <w:autoSpaceDN/>
              <w:adjustRightInd/>
              <w:snapToGrid/>
              <w:spacing w:before="80" w:after="40" w:line="240" w:lineRule="auto"/>
              <w:jc w:val="center"/>
              <w:rPr>
                <w:b/>
                <w:bCs/>
                <w:lang w:val="fr-FR" w:eastAsia="en-US"/>
              </w:rPr>
            </w:pPr>
            <w:r w:rsidRPr="003338FD">
              <w:rPr>
                <w:b/>
                <w:bCs/>
                <w:lang w:val="fr-FR" w:eastAsia="en-US"/>
              </w:rPr>
              <w:t>OP5</w:t>
            </w:r>
          </w:p>
        </w:tc>
        <w:tc>
          <w:tcPr>
            <w:tcW w:w="368" w:type="pct"/>
            <w:tcBorders>
              <w:top w:val="single" w:sz="6" w:space="0" w:color="auto"/>
              <w:left w:val="nil"/>
              <w:bottom w:val="single" w:sz="6" w:space="0" w:color="auto"/>
              <w:right w:val="nil"/>
            </w:tcBorders>
          </w:tcPr>
          <w:p w14:paraId="6200B95E" w14:textId="77777777" w:rsidR="003B2887" w:rsidRPr="003338FD" w:rsidRDefault="003B2887" w:rsidP="006932FB">
            <w:pPr>
              <w:suppressAutoHyphens w:val="0"/>
              <w:kinsoku/>
              <w:overflowPunct/>
              <w:autoSpaceDE/>
              <w:autoSpaceDN/>
              <w:adjustRightInd/>
              <w:snapToGrid/>
              <w:spacing w:before="80" w:after="40" w:line="240" w:lineRule="auto"/>
              <w:jc w:val="center"/>
              <w:rPr>
                <w:b/>
                <w:bCs/>
                <w:lang w:val="fr-FR" w:eastAsia="en-US"/>
              </w:rPr>
            </w:pPr>
            <w:r w:rsidRPr="003338FD">
              <w:rPr>
                <w:b/>
                <w:bCs/>
                <w:lang w:val="fr-FR" w:eastAsia="en-US"/>
              </w:rPr>
              <w:t>OP6</w:t>
            </w:r>
          </w:p>
        </w:tc>
        <w:tc>
          <w:tcPr>
            <w:tcW w:w="368" w:type="pct"/>
            <w:tcBorders>
              <w:top w:val="single" w:sz="6" w:space="0" w:color="auto"/>
              <w:left w:val="nil"/>
              <w:bottom w:val="single" w:sz="6" w:space="0" w:color="auto"/>
              <w:right w:val="nil"/>
            </w:tcBorders>
          </w:tcPr>
          <w:p w14:paraId="50D424D6" w14:textId="77777777" w:rsidR="003B2887" w:rsidRPr="003338FD" w:rsidRDefault="003B2887" w:rsidP="006932FB">
            <w:pPr>
              <w:suppressAutoHyphens w:val="0"/>
              <w:kinsoku/>
              <w:overflowPunct/>
              <w:autoSpaceDE/>
              <w:autoSpaceDN/>
              <w:adjustRightInd/>
              <w:snapToGrid/>
              <w:spacing w:before="80" w:after="40" w:line="240" w:lineRule="auto"/>
              <w:jc w:val="center"/>
              <w:rPr>
                <w:b/>
                <w:bCs/>
                <w:lang w:val="fr-FR" w:eastAsia="en-US"/>
              </w:rPr>
            </w:pPr>
            <w:r w:rsidRPr="003338FD">
              <w:rPr>
                <w:b/>
                <w:bCs/>
                <w:lang w:val="fr-FR" w:eastAsia="en-US"/>
              </w:rPr>
              <w:t>OP7</w:t>
            </w:r>
          </w:p>
        </w:tc>
        <w:tc>
          <w:tcPr>
            <w:tcW w:w="364" w:type="pct"/>
            <w:tcBorders>
              <w:top w:val="single" w:sz="6" w:space="0" w:color="auto"/>
              <w:left w:val="nil"/>
              <w:bottom w:val="single" w:sz="6" w:space="0" w:color="auto"/>
              <w:right w:val="single" w:sz="6" w:space="0" w:color="auto"/>
            </w:tcBorders>
          </w:tcPr>
          <w:p w14:paraId="75960FD6" w14:textId="77777777" w:rsidR="003B2887" w:rsidRPr="003338FD" w:rsidRDefault="003B2887" w:rsidP="006932FB">
            <w:pPr>
              <w:suppressAutoHyphens w:val="0"/>
              <w:kinsoku/>
              <w:overflowPunct/>
              <w:autoSpaceDE/>
              <w:autoSpaceDN/>
              <w:adjustRightInd/>
              <w:snapToGrid/>
              <w:spacing w:before="80" w:after="40" w:line="240" w:lineRule="auto"/>
              <w:jc w:val="center"/>
              <w:rPr>
                <w:b/>
                <w:bCs/>
                <w:lang w:val="fr-FR" w:eastAsia="en-US"/>
              </w:rPr>
            </w:pPr>
            <w:r w:rsidRPr="003338FD">
              <w:rPr>
                <w:b/>
                <w:bCs/>
                <w:lang w:val="fr-FR" w:eastAsia="en-US"/>
              </w:rPr>
              <w:t>OP8</w:t>
            </w:r>
          </w:p>
        </w:tc>
      </w:tr>
      <w:tr w:rsidR="003B2887" w:rsidRPr="003338FD" w14:paraId="458CD70E" w14:textId="77777777" w:rsidTr="006932FB">
        <w:trPr>
          <w:trHeight w:val="346"/>
        </w:trPr>
        <w:tc>
          <w:tcPr>
            <w:tcW w:w="2058" w:type="pct"/>
            <w:tcBorders>
              <w:top w:val="nil"/>
              <w:left w:val="single" w:sz="6" w:space="0" w:color="auto"/>
              <w:bottom w:val="nil"/>
              <w:right w:val="nil"/>
            </w:tcBorders>
          </w:tcPr>
          <w:p w14:paraId="7925FC35" w14:textId="77777777" w:rsidR="003B2887" w:rsidRPr="003338FD" w:rsidRDefault="003B2887" w:rsidP="006932FB">
            <w:pPr>
              <w:suppressAutoHyphens w:val="0"/>
              <w:kinsoku/>
              <w:overflowPunct/>
              <w:autoSpaceDE/>
              <w:autoSpaceDN/>
              <w:adjustRightInd/>
              <w:snapToGrid/>
              <w:spacing w:before="40" w:after="40" w:line="240" w:lineRule="auto"/>
              <w:jc w:val="right"/>
              <w:rPr>
                <w:lang w:val="fr-FR" w:eastAsia="en-US"/>
              </w:rPr>
            </w:pPr>
            <w:r w:rsidRPr="003338FD">
              <w:rPr>
                <w:lang w:val="fr-FR" w:eastAsia="en-US"/>
              </w:rPr>
              <w:t>Masse nette maximale (en kg) pour les matières solides et pour les emballages combinés (liquides et solides)</w:t>
            </w:r>
          </w:p>
        </w:tc>
        <w:tc>
          <w:tcPr>
            <w:tcW w:w="368" w:type="pct"/>
            <w:tcBorders>
              <w:top w:val="nil"/>
              <w:left w:val="nil"/>
              <w:bottom w:val="nil"/>
              <w:right w:val="nil"/>
            </w:tcBorders>
            <w:vAlign w:val="center"/>
          </w:tcPr>
          <w:p w14:paraId="41497D62" w14:textId="77777777" w:rsidR="003B2887" w:rsidRPr="003338FD" w:rsidRDefault="003B2887" w:rsidP="006932FB">
            <w:pPr>
              <w:suppressAutoHyphens w:val="0"/>
              <w:kinsoku/>
              <w:overflowPunct/>
              <w:autoSpaceDE/>
              <w:autoSpaceDN/>
              <w:adjustRightInd/>
              <w:snapToGrid/>
              <w:spacing w:before="40" w:after="40" w:line="240" w:lineRule="auto"/>
              <w:jc w:val="center"/>
              <w:rPr>
                <w:lang w:val="fr-FR" w:eastAsia="en-US"/>
              </w:rPr>
            </w:pPr>
            <w:r w:rsidRPr="003338FD">
              <w:rPr>
                <w:lang w:val="fr-FR" w:eastAsia="en-US"/>
              </w:rPr>
              <w:t>0,5</w:t>
            </w:r>
          </w:p>
        </w:tc>
        <w:tc>
          <w:tcPr>
            <w:tcW w:w="369" w:type="pct"/>
            <w:tcBorders>
              <w:top w:val="nil"/>
              <w:left w:val="nil"/>
              <w:bottom w:val="nil"/>
              <w:right w:val="nil"/>
            </w:tcBorders>
            <w:vAlign w:val="center"/>
          </w:tcPr>
          <w:p w14:paraId="3B5BE375" w14:textId="77777777" w:rsidR="003B2887" w:rsidRPr="003338FD" w:rsidRDefault="003B2887" w:rsidP="006932FB">
            <w:pPr>
              <w:suppressAutoHyphens w:val="0"/>
              <w:kinsoku/>
              <w:overflowPunct/>
              <w:autoSpaceDE/>
              <w:autoSpaceDN/>
              <w:adjustRightInd/>
              <w:snapToGrid/>
              <w:spacing w:before="40" w:after="40" w:line="240" w:lineRule="auto"/>
              <w:jc w:val="center"/>
              <w:rPr>
                <w:lang w:val="fr-FR" w:eastAsia="en-US"/>
              </w:rPr>
            </w:pPr>
            <w:r w:rsidRPr="003338FD">
              <w:rPr>
                <w:lang w:val="fr-FR" w:eastAsia="en-US"/>
              </w:rPr>
              <w:t>0,5/10</w:t>
            </w:r>
          </w:p>
        </w:tc>
        <w:tc>
          <w:tcPr>
            <w:tcW w:w="368" w:type="pct"/>
            <w:tcBorders>
              <w:top w:val="nil"/>
              <w:left w:val="nil"/>
              <w:bottom w:val="nil"/>
              <w:right w:val="nil"/>
            </w:tcBorders>
            <w:vAlign w:val="center"/>
          </w:tcPr>
          <w:p w14:paraId="4F31C496" w14:textId="77777777" w:rsidR="003B2887" w:rsidRPr="003338FD" w:rsidRDefault="003B2887" w:rsidP="006932FB">
            <w:pPr>
              <w:suppressAutoHyphens w:val="0"/>
              <w:kinsoku/>
              <w:overflowPunct/>
              <w:autoSpaceDE/>
              <w:autoSpaceDN/>
              <w:adjustRightInd/>
              <w:snapToGrid/>
              <w:spacing w:before="40" w:after="40" w:line="240" w:lineRule="auto"/>
              <w:jc w:val="center"/>
              <w:rPr>
                <w:lang w:val="fr-FR" w:eastAsia="en-US"/>
              </w:rPr>
            </w:pPr>
            <w:r w:rsidRPr="003338FD">
              <w:rPr>
                <w:lang w:val="fr-FR" w:eastAsia="en-US"/>
              </w:rPr>
              <w:t>5</w:t>
            </w:r>
          </w:p>
        </w:tc>
        <w:tc>
          <w:tcPr>
            <w:tcW w:w="368" w:type="pct"/>
            <w:tcBorders>
              <w:top w:val="nil"/>
              <w:left w:val="nil"/>
              <w:bottom w:val="nil"/>
              <w:right w:val="nil"/>
            </w:tcBorders>
            <w:vAlign w:val="center"/>
          </w:tcPr>
          <w:p w14:paraId="434F9A77" w14:textId="77777777" w:rsidR="003B2887" w:rsidRPr="003338FD" w:rsidRDefault="003B2887" w:rsidP="006932FB">
            <w:pPr>
              <w:suppressAutoHyphens w:val="0"/>
              <w:kinsoku/>
              <w:overflowPunct/>
              <w:autoSpaceDE/>
              <w:autoSpaceDN/>
              <w:adjustRightInd/>
              <w:snapToGrid/>
              <w:spacing w:before="40" w:after="40" w:line="240" w:lineRule="auto"/>
              <w:jc w:val="center"/>
              <w:rPr>
                <w:lang w:val="fr-FR" w:eastAsia="en-US"/>
              </w:rPr>
            </w:pPr>
            <w:r w:rsidRPr="003338FD">
              <w:rPr>
                <w:lang w:val="fr-FR" w:eastAsia="en-US"/>
              </w:rPr>
              <w:t>5/25</w:t>
            </w:r>
          </w:p>
        </w:tc>
        <w:tc>
          <w:tcPr>
            <w:tcW w:w="369" w:type="pct"/>
            <w:tcBorders>
              <w:top w:val="nil"/>
              <w:left w:val="nil"/>
              <w:bottom w:val="nil"/>
              <w:right w:val="nil"/>
            </w:tcBorders>
            <w:vAlign w:val="center"/>
          </w:tcPr>
          <w:p w14:paraId="5FE59741" w14:textId="77777777" w:rsidR="003B2887" w:rsidRPr="003338FD" w:rsidRDefault="003B2887" w:rsidP="006932FB">
            <w:pPr>
              <w:suppressAutoHyphens w:val="0"/>
              <w:kinsoku/>
              <w:overflowPunct/>
              <w:autoSpaceDE/>
              <w:autoSpaceDN/>
              <w:adjustRightInd/>
              <w:snapToGrid/>
              <w:spacing w:before="40" w:after="40" w:line="240" w:lineRule="auto"/>
              <w:jc w:val="center"/>
              <w:rPr>
                <w:lang w:val="fr-FR" w:eastAsia="en-US"/>
              </w:rPr>
            </w:pPr>
            <w:r w:rsidRPr="003338FD">
              <w:rPr>
                <w:lang w:val="fr-FR" w:eastAsia="en-US"/>
              </w:rPr>
              <w:t>25</w:t>
            </w:r>
          </w:p>
        </w:tc>
        <w:tc>
          <w:tcPr>
            <w:tcW w:w="368" w:type="pct"/>
            <w:tcBorders>
              <w:top w:val="nil"/>
              <w:left w:val="nil"/>
              <w:bottom w:val="nil"/>
              <w:right w:val="nil"/>
            </w:tcBorders>
            <w:vAlign w:val="center"/>
          </w:tcPr>
          <w:p w14:paraId="05E87228" w14:textId="77777777" w:rsidR="003B2887" w:rsidRPr="003338FD" w:rsidRDefault="003B2887" w:rsidP="006932FB">
            <w:pPr>
              <w:suppressAutoHyphens w:val="0"/>
              <w:kinsoku/>
              <w:overflowPunct/>
              <w:autoSpaceDE/>
              <w:autoSpaceDN/>
              <w:adjustRightInd/>
              <w:snapToGrid/>
              <w:spacing w:before="40" w:after="40" w:line="240" w:lineRule="auto"/>
              <w:jc w:val="center"/>
              <w:rPr>
                <w:lang w:val="fr-FR" w:eastAsia="en-US"/>
              </w:rPr>
            </w:pPr>
            <w:r w:rsidRPr="003338FD">
              <w:rPr>
                <w:lang w:val="fr-FR" w:eastAsia="en-US"/>
              </w:rPr>
              <w:t>50</w:t>
            </w:r>
          </w:p>
        </w:tc>
        <w:tc>
          <w:tcPr>
            <w:tcW w:w="368" w:type="pct"/>
            <w:tcBorders>
              <w:top w:val="nil"/>
              <w:left w:val="nil"/>
              <w:bottom w:val="nil"/>
              <w:right w:val="nil"/>
            </w:tcBorders>
            <w:vAlign w:val="center"/>
          </w:tcPr>
          <w:p w14:paraId="41701E54" w14:textId="77777777" w:rsidR="003B2887" w:rsidRPr="003338FD" w:rsidRDefault="003B2887" w:rsidP="006932FB">
            <w:pPr>
              <w:suppressAutoHyphens w:val="0"/>
              <w:kinsoku/>
              <w:overflowPunct/>
              <w:autoSpaceDE/>
              <w:autoSpaceDN/>
              <w:adjustRightInd/>
              <w:snapToGrid/>
              <w:spacing w:before="40" w:after="40" w:line="240" w:lineRule="auto"/>
              <w:jc w:val="center"/>
              <w:rPr>
                <w:lang w:val="fr-FR" w:eastAsia="en-US"/>
              </w:rPr>
            </w:pPr>
            <w:r w:rsidRPr="003338FD">
              <w:rPr>
                <w:lang w:val="fr-FR" w:eastAsia="en-US"/>
              </w:rPr>
              <w:t>50</w:t>
            </w:r>
          </w:p>
        </w:tc>
        <w:tc>
          <w:tcPr>
            <w:tcW w:w="364" w:type="pct"/>
            <w:tcBorders>
              <w:top w:val="nil"/>
              <w:left w:val="nil"/>
              <w:bottom w:val="nil"/>
              <w:right w:val="single" w:sz="6" w:space="0" w:color="auto"/>
            </w:tcBorders>
            <w:vAlign w:val="center"/>
          </w:tcPr>
          <w:p w14:paraId="05486665" w14:textId="77777777" w:rsidR="003B2887" w:rsidRPr="003338FD" w:rsidRDefault="003B2887" w:rsidP="006932FB">
            <w:pPr>
              <w:suppressAutoHyphens w:val="0"/>
              <w:kinsoku/>
              <w:overflowPunct/>
              <w:autoSpaceDE/>
              <w:autoSpaceDN/>
              <w:adjustRightInd/>
              <w:snapToGrid/>
              <w:spacing w:before="40" w:after="40" w:line="240" w:lineRule="auto"/>
              <w:jc w:val="center"/>
              <w:rPr>
                <w:lang w:val="fr-FR" w:eastAsia="en-US"/>
              </w:rPr>
            </w:pPr>
            <w:r w:rsidRPr="003338FD">
              <w:rPr>
                <w:lang w:val="fr-FR" w:eastAsia="en-US"/>
              </w:rPr>
              <w:t>400</w:t>
            </w:r>
            <w:r w:rsidRPr="003338FD">
              <w:rPr>
                <w:b/>
                <w:bCs/>
                <w:vertAlign w:val="superscript"/>
                <w:lang w:val="fr-FR" w:eastAsia="en-US"/>
              </w:rPr>
              <w:t>b</w:t>
            </w:r>
          </w:p>
        </w:tc>
      </w:tr>
      <w:tr w:rsidR="003B2887" w:rsidRPr="003338FD" w14:paraId="0A6FD97A" w14:textId="77777777" w:rsidTr="006932FB">
        <w:trPr>
          <w:trHeight w:val="346"/>
        </w:trPr>
        <w:tc>
          <w:tcPr>
            <w:tcW w:w="2058" w:type="pct"/>
            <w:tcBorders>
              <w:top w:val="nil"/>
              <w:left w:val="single" w:sz="6" w:space="0" w:color="auto"/>
              <w:bottom w:val="single" w:sz="6" w:space="0" w:color="auto"/>
              <w:right w:val="nil"/>
            </w:tcBorders>
          </w:tcPr>
          <w:p w14:paraId="47230DED" w14:textId="77777777" w:rsidR="003B2887" w:rsidRPr="003338FD" w:rsidRDefault="003B2887" w:rsidP="006932FB">
            <w:pPr>
              <w:suppressAutoHyphens w:val="0"/>
              <w:kinsoku/>
              <w:overflowPunct/>
              <w:autoSpaceDE/>
              <w:autoSpaceDN/>
              <w:adjustRightInd/>
              <w:snapToGrid/>
              <w:spacing w:before="40" w:after="80" w:line="240" w:lineRule="auto"/>
              <w:jc w:val="right"/>
              <w:rPr>
                <w:lang w:val="fr-FR" w:eastAsia="en-US"/>
              </w:rPr>
            </w:pPr>
            <w:r w:rsidRPr="003338FD">
              <w:rPr>
                <w:lang w:val="fr-FR" w:eastAsia="en-US"/>
              </w:rPr>
              <w:t xml:space="preserve">Contenance maximale en litres pour </w:t>
            </w:r>
            <w:r w:rsidRPr="003338FD">
              <w:rPr>
                <w:lang w:val="fr-FR" w:eastAsia="en-US"/>
              </w:rPr>
              <w:br/>
              <w:t>les liquides</w:t>
            </w:r>
            <w:r w:rsidRPr="003338FD">
              <w:rPr>
                <w:b/>
                <w:bCs/>
                <w:vertAlign w:val="superscript"/>
                <w:lang w:val="fr-FR" w:eastAsia="en-US"/>
              </w:rPr>
              <w:t>c</w:t>
            </w:r>
          </w:p>
        </w:tc>
        <w:tc>
          <w:tcPr>
            <w:tcW w:w="368" w:type="pct"/>
            <w:tcBorders>
              <w:top w:val="nil"/>
              <w:left w:val="nil"/>
              <w:bottom w:val="single" w:sz="6" w:space="0" w:color="auto"/>
              <w:right w:val="nil"/>
            </w:tcBorders>
            <w:vAlign w:val="center"/>
          </w:tcPr>
          <w:p w14:paraId="26DA0EC5" w14:textId="77777777" w:rsidR="003B2887" w:rsidRPr="003338FD" w:rsidRDefault="003B2887" w:rsidP="006932FB">
            <w:pPr>
              <w:suppressAutoHyphens w:val="0"/>
              <w:kinsoku/>
              <w:overflowPunct/>
              <w:autoSpaceDE/>
              <w:autoSpaceDN/>
              <w:adjustRightInd/>
              <w:snapToGrid/>
              <w:spacing w:before="40" w:after="80" w:line="240" w:lineRule="auto"/>
              <w:jc w:val="center"/>
              <w:rPr>
                <w:lang w:val="fr-FR" w:eastAsia="en-US"/>
              </w:rPr>
            </w:pPr>
            <w:r w:rsidRPr="003338FD">
              <w:rPr>
                <w:lang w:val="fr-FR" w:eastAsia="en-US"/>
              </w:rPr>
              <w:t>0,5</w:t>
            </w:r>
          </w:p>
        </w:tc>
        <w:tc>
          <w:tcPr>
            <w:tcW w:w="369" w:type="pct"/>
            <w:tcBorders>
              <w:top w:val="nil"/>
              <w:left w:val="nil"/>
              <w:bottom w:val="single" w:sz="6" w:space="0" w:color="auto"/>
              <w:right w:val="nil"/>
            </w:tcBorders>
            <w:vAlign w:val="center"/>
          </w:tcPr>
          <w:p w14:paraId="167574F5" w14:textId="77777777" w:rsidR="003B2887" w:rsidRPr="003338FD" w:rsidRDefault="003B2887" w:rsidP="006932FB">
            <w:pPr>
              <w:suppressAutoHyphens w:val="0"/>
              <w:kinsoku/>
              <w:overflowPunct/>
              <w:autoSpaceDE/>
              <w:autoSpaceDN/>
              <w:adjustRightInd/>
              <w:snapToGrid/>
              <w:spacing w:before="40" w:after="80" w:line="240" w:lineRule="auto"/>
              <w:jc w:val="center"/>
              <w:rPr>
                <w:lang w:val="fr-FR" w:eastAsia="en-US"/>
              </w:rPr>
            </w:pPr>
            <w:r w:rsidRPr="003338FD">
              <w:rPr>
                <w:lang w:val="fr-FR" w:eastAsia="en-US"/>
              </w:rPr>
              <w:t>-</w:t>
            </w:r>
          </w:p>
        </w:tc>
        <w:tc>
          <w:tcPr>
            <w:tcW w:w="368" w:type="pct"/>
            <w:tcBorders>
              <w:top w:val="nil"/>
              <w:left w:val="nil"/>
              <w:bottom w:val="single" w:sz="6" w:space="0" w:color="auto"/>
              <w:right w:val="nil"/>
            </w:tcBorders>
            <w:vAlign w:val="center"/>
          </w:tcPr>
          <w:p w14:paraId="3314A93B" w14:textId="77777777" w:rsidR="003B2887" w:rsidRPr="003338FD" w:rsidRDefault="003B2887" w:rsidP="006932FB">
            <w:pPr>
              <w:suppressAutoHyphens w:val="0"/>
              <w:kinsoku/>
              <w:overflowPunct/>
              <w:autoSpaceDE/>
              <w:autoSpaceDN/>
              <w:adjustRightInd/>
              <w:snapToGrid/>
              <w:spacing w:before="40" w:after="80" w:line="240" w:lineRule="auto"/>
              <w:jc w:val="center"/>
              <w:rPr>
                <w:lang w:val="fr-FR" w:eastAsia="en-US"/>
              </w:rPr>
            </w:pPr>
            <w:r w:rsidRPr="003338FD">
              <w:rPr>
                <w:lang w:val="fr-FR" w:eastAsia="en-US"/>
              </w:rPr>
              <w:t>5</w:t>
            </w:r>
          </w:p>
        </w:tc>
        <w:tc>
          <w:tcPr>
            <w:tcW w:w="368" w:type="pct"/>
            <w:tcBorders>
              <w:top w:val="nil"/>
              <w:left w:val="nil"/>
              <w:bottom w:val="single" w:sz="6" w:space="0" w:color="auto"/>
              <w:right w:val="nil"/>
            </w:tcBorders>
            <w:vAlign w:val="center"/>
          </w:tcPr>
          <w:p w14:paraId="3AAD0830" w14:textId="77777777" w:rsidR="003B2887" w:rsidRPr="003338FD" w:rsidRDefault="003B2887" w:rsidP="006932FB">
            <w:pPr>
              <w:suppressAutoHyphens w:val="0"/>
              <w:kinsoku/>
              <w:overflowPunct/>
              <w:autoSpaceDE/>
              <w:autoSpaceDN/>
              <w:adjustRightInd/>
              <w:snapToGrid/>
              <w:spacing w:before="40" w:after="80" w:line="240" w:lineRule="auto"/>
              <w:jc w:val="center"/>
              <w:rPr>
                <w:lang w:val="fr-FR" w:eastAsia="en-US"/>
              </w:rPr>
            </w:pPr>
            <w:r w:rsidRPr="003338FD">
              <w:rPr>
                <w:lang w:val="fr-FR" w:eastAsia="en-US"/>
              </w:rPr>
              <w:t>-</w:t>
            </w:r>
          </w:p>
        </w:tc>
        <w:tc>
          <w:tcPr>
            <w:tcW w:w="369" w:type="pct"/>
            <w:tcBorders>
              <w:top w:val="nil"/>
              <w:left w:val="nil"/>
              <w:bottom w:val="single" w:sz="6" w:space="0" w:color="auto"/>
              <w:right w:val="nil"/>
            </w:tcBorders>
            <w:vAlign w:val="center"/>
          </w:tcPr>
          <w:p w14:paraId="1B1FE56B" w14:textId="77777777" w:rsidR="003B2887" w:rsidRPr="003338FD" w:rsidRDefault="003B2887" w:rsidP="006932FB">
            <w:pPr>
              <w:suppressAutoHyphens w:val="0"/>
              <w:kinsoku/>
              <w:overflowPunct/>
              <w:autoSpaceDE/>
              <w:autoSpaceDN/>
              <w:adjustRightInd/>
              <w:snapToGrid/>
              <w:spacing w:before="40" w:after="80" w:line="240" w:lineRule="auto"/>
              <w:jc w:val="center"/>
              <w:rPr>
                <w:lang w:val="fr-FR" w:eastAsia="en-US"/>
              </w:rPr>
            </w:pPr>
            <w:r w:rsidRPr="003338FD">
              <w:rPr>
                <w:lang w:val="fr-FR" w:eastAsia="en-US"/>
              </w:rPr>
              <w:t>30</w:t>
            </w:r>
          </w:p>
        </w:tc>
        <w:tc>
          <w:tcPr>
            <w:tcW w:w="368" w:type="pct"/>
            <w:tcBorders>
              <w:top w:val="nil"/>
              <w:left w:val="nil"/>
              <w:bottom w:val="single" w:sz="6" w:space="0" w:color="auto"/>
              <w:right w:val="nil"/>
            </w:tcBorders>
            <w:vAlign w:val="center"/>
          </w:tcPr>
          <w:p w14:paraId="31B0F464" w14:textId="77777777" w:rsidR="003B2887" w:rsidRPr="003338FD" w:rsidRDefault="003B2887" w:rsidP="006932FB">
            <w:pPr>
              <w:suppressAutoHyphens w:val="0"/>
              <w:kinsoku/>
              <w:overflowPunct/>
              <w:autoSpaceDE/>
              <w:autoSpaceDN/>
              <w:adjustRightInd/>
              <w:snapToGrid/>
              <w:spacing w:before="40" w:after="80" w:line="240" w:lineRule="auto"/>
              <w:jc w:val="center"/>
              <w:rPr>
                <w:lang w:val="fr-FR" w:eastAsia="en-US"/>
              </w:rPr>
            </w:pPr>
            <w:r w:rsidRPr="003338FD">
              <w:rPr>
                <w:lang w:val="fr-FR" w:eastAsia="en-US"/>
              </w:rPr>
              <w:t>60</w:t>
            </w:r>
          </w:p>
        </w:tc>
        <w:tc>
          <w:tcPr>
            <w:tcW w:w="368" w:type="pct"/>
            <w:tcBorders>
              <w:top w:val="nil"/>
              <w:left w:val="nil"/>
              <w:bottom w:val="single" w:sz="6" w:space="0" w:color="auto"/>
              <w:right w:val="nil"/>
            </w:tcBorders>
            <w:vAlign w:val="center"/>
          </w:tcPr>
          <w:p w14:paraId="6C9C74D8" w14:textId="77777777" w:rsidR="003B2887" w:rsidRPr="003338FD" w:rsidRDefault="003B2887" w:rsidP="006932FB">
            <w:pPr>
              <w:suppressAutoHyphens w:val="0"/>
              <w:kinsoku/>
              <w:overflowPunct/>
              <w:autoSpaceDE/>
              <w:autoSpaceDN/>
              <w:adjustRightInd/>
              <w:snapToGrid/>
              <w:spacing w:before="40" w:after="80" w:line="240" w:lineRule="auto"/>
              <w:jc w:val="center"/>
              <w:rPr>
                <w:lang w:val="fr-FR" w:eastAsia="en-US"/>
              </w:rPr>
            </w:pPr>
            <w:r w:rsidRPr="003338FD">
              <w:rPr>
                <w:lang w:val="fr-FR" w:eastAsia="en-US"/>
              </w:rPr>
              <w:t>60</w:t>
            </w:r>
          </w:p>
        </w:tc>
        <w:tc>
          <w:tcPr>
            <w:tcW w:w="364" w:type="pct"/>
            <w:tcBorders>
              <w:top w:val="nil"/>
              <w:left w:val="nil"/>
              <w:bottom w:val="single" w:sz="6" w:space="0" w:color="auto"/>
              <w:right w:val="single" w:sz="6" w:space="0" w:color="auto"/>
            </w:tcBorders>
            <w:vAlign w:val="center"/>
          </w:tcPr>
          <w:p w14:paraId="493B7E7A" w14:textId="77777777" w:rsidR="003B2887" w:rsidRPr="003338FD" w:rsidRDefault="003B2887" w:rsidP="006932FB">
            <w:pPr>
              <w:suppressAutoHyphens w:val="0"/>
              <w:kinsoku/>
              <w:overflowPunct/>
              <w:autoSpaceDE/>
              <w:autoSpaceDN/>
              <w:adjustRightInd/>
              <w:snapToGrid/>
              <w:spacing w:before="40" w:after="80" w:line="240" w:lineRule="auto"/>
              <w:jc w:val="center"/>
              <w:rPr>
                <w:lang w:val="fr-FR" w:eastAsia="en-US"/>
              </w:rPr>
            </w:pPr>
            <w:r w:rsidRPr="003338FD">
              <w:rPr>
                <w:lang w:val="fr-FR" w:eastAsia="en-US"/>
              </w:rPr>
              <w:t>225</w:t>
            </w:r>
            <w:r w:rsidRPr="003338FD">
              <w:rPr>
                <w:b/>
                <w:bCs/>
                <w:vertAlign w:val="superscript"/>
                <w:lang w:val="fr-FR" w:eastAsia="en-US"/>
              </w:rPr>
              <w:t>d</w:t>
            </w:r>
          </w:p>
        </w:tc>
      </w:tr>
    </w:tbl>
    <w:p w14:paraId="7FF6D7E9" w14:textId="77777777" w:rsidR="003B2887" w:rsidRPr="003338FD" w:rsidRDefault="003B2887" w:rsidP="003B2887">
      <w:pPr>
        <w:tabs>
          <w:tab w:val="left" w:pos="1701"/>
          <w:tab w:val="left" w:pos="2268"/>
          <w:tab w:val="left" w:pos="2835"/>
        </w:tabs>
        <w:spacing w:before="120" w:after="120"/>
        <w:ind w:left="2268" w:right="1134" w:hanging="1134"/>
        <w:jc w:val="both"/>
        <w:rPr>
          <w:rFonts w:eastAsiaTheme="minorHAnsi"/>
          <w:lang w:val="fr-FR" w:eastAsia="en-US"/>
        </w:rPr>
      </w:pPr>
      <w:r w:rsidRPr="003338FD">
        <w:rPr>
          <w:rFonts w:eastAsiaTheme="minorHAnsi"/>
          <w:lang w:val="fr-FR" w:eastAsia="en-US"/>
        </w:rPr>
        <w:tab/>
      </w:r>
      <w:r w:rsidRPr="003338FD">
        <w:rPr>
          <w:rFonts w:eastAsiaTheme="minorHAnsi"/>
          <w:lang w:val="fr-FR" w:eastAsia="en-US"/>
        </w:rPr>
        <w:tab/>
        <w:t>Dans la disposition spéciale d’emballage PP94, les points 1 à 5 deviennent les points a) à e). Dans la disposition spéciale d’emballage PP95, les points 1 à 6 deviennent les points a) à f).</w:t>
      </w:r>
    </w:p>
    <w:p w14:paraId="3BC6077F" w14:textId="77777777" w:rsidR="003B2887" w:rsidRPr="003338FD" w:rsidRDefault="003B2887" w:rsidP="003B2887">
      <w:pPr>
        <w:kinsoku/>
        <w:overflowPunct/>
        <w:autoSpaceDE/>
        <w:autoSpaceDN/>
        <w:adjustRightInd/>
        <w:snapToGrid/>
        <w:spacing w:after="120"/>
        <w:ind w:left="1134" w:right="1134"/>
        <w:jc w:val="both"/>
        <w:rPr>
          <w:i/>
          <w:iCs/>
          <w:lang w:val="fr-FR" w:eastAsia="en-US"/>
        </w:rPr>
      </w:pPr>
      <w:r w:rsidRPr="003338FD">
        <w:rPr>
          <w:i/>
          <w:iCs/>
          <w:lang w:val="fr-FR" w:eastAsia="en-US"/>
        </w:rPr>
        <w:t>(Document de référence : ST/SG/AC.10/C.3/2022/76, proposition 4 telle que modifiée, proposition 5 et proposition 10)</w:t>
      </w:r>
    </w:p>
    <w:p w14:paraId="371A64BC"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P600</w:t>
      </w:r>
      <w:r w:rsidRPr="003338FD">
        <w:rPr>
          <w:rFonts w:eastAsiaTheme="minorHAnsi"/>
          <w:lang w:val="fr-FR" w:eastAsia="en-US"/>
        </w:rPr>
        <w:tab/>
        <w:t>Modifier comme suit la deuxième ligne sous le titre :</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639"/>
      </w:tblGrid>
      <w:tr w:rsidR="003B2887" w:rsidRPr="003338FD" w14:paraId="4CFFF65F" w14:textId="77777777" w:rsidTr="006932FB">
        <w:trPr>
          <w:trHeight w:val="20"/>
        </w:trPr>
        <w:tc>
          <w:tcPr>
            <w:tcW w:w="5000" w:type="pct"/>
            <w:tcBorders>
              <w:top w:val="single" w:sz="6" w:space="0" w:color="auto"/>
              <w:left w:val="single" w:sz="6" w:space="0" w:color="auto"/>
              <w:bottom w:val="single" w:sz="6" w:space="0" w:color="auto"/>
              <w:right w:val="single" w:sz="6" w:space="0" w:color="auto"/>
            </w:tcBorders>
          </w:tcPr>
          <w:p w14:paraId="0A9752B9" w14:textId="77777777" w:rsidR="003B2887" w:rsidRPr="003338FD" w:rsidRDefault="003B2887" w:rsidP="006932FB">
            <w:pPr>
              <w:suppressAutoHyphens w:val="0"/>
              <w:kinsoku/>
              <w:overflowPunct/>
              <w:autoSpaceDE/>
              <w:autoSpaceDN/>
              <w:adjustRightInd/>
              <w:snapToGrid/>
              <w:spacing w:before="80" w:after="80" w:line="240" w:lineRule="auto"/>
              <w:jc w:val="both"/>
              <w:rPr>
                <w:lang w:val="fr-FR" w:eastAsia="en-US"/>
              </w:rPr>
            </w:pPr>
            <w:r w:rsidRPr="003338FD">
              <w:rPr>
                <w:lang w:val="fr-FR" w:eastAsia="en-US"/>
              </w:rPr>
              <w:t xml:space="preserve">Les emballages suivants sont autorisés s’il est satisfait aux dispositions générales des </w:t>
            </w:r>
            <w:r w:rsidRPr="003338FD">
              <w:rPr>
                <w:b/>
                <w:bCs/>
                <w:lang w:val="fr-FR" w:eastAsia="en-US"/>
              </w:rPr>
              <w:t>4.1.1</w:t>
            </w:r>
            <w:r w:rsidRPr="003338FD">
              <w:rPr>
                <w:lang w:val="fr-FR" w:eastAsia="en-US"/>
              </w:rPr>
              <w:t xml:space="preserve"> et </w:t>
            </w:r>
            <w:r w:rsidRPr="003338FD">
              <w:rPr>
                <w:b/>
                <w:bCs/>
                <w:lang w:val="fr-FR" w:eastAsia="en-US"/>
              </w:rPr>
              <w:t>4.1.3</w:t>
            </w:r>
            <w:r w:rsidRPr="003338FD">
              <w:rPr>
                <w:lang w:val="fr-FR" w:eastAsia="en-US"/>
              </w:rPr>
              <w:t> :</w:t>
            </w:r>
          </w:p>
          <w:p w14:paraId="6A4D2F30" w14:textId="77777777" w:rsidR="003B2887" w:rsidRPr="00F16AC2" w:rsidRDefault="003B2887" w:rsidP="006932FB">
            <w:pPr>
              <w:keepNext/>
              <w:suppressAutoHyphens w:val="0"/>
              <w:kinsoku/>
              <w:overflowPunct/>
              <w:autoSpaceDE/>
              <w:autoSpaceDN/>
              <w:adjustRightInd/>
              <w:snapToGrid/>
              <w:spacing w:before="80" w:after="80" w:line="240" w:lineRule="auto"/>
              <w:ind w:left="454" w:hanging="454"/>
              <w:jc w:val="both"/>
              <w:rPr>
                <w:lang w:val="en-GB" w:eastAsia="en-US"/>
              </w:rPr>
            </w:pPr>
            <w:r w:rsidRPr="003338FD">
              <w:rPr>
                <w:lang w:val="fr-FR" w:eastAsia="en-US"/>
              </w:rPr>
              <w:tab/>
            </w:r>
            <w:r w:rsidRPr="00F16AC2">
              <w:rPr>
                <w:lang w:val="en-GB" w:eastAsia="en-US"/>
              </w:rPr>
              <w:t>Fûts (1A1, 1A2, 1B1, 1B2, 1N1, 1N2, 1H1, 1H2, 1D, 1G)</w:t>
            </w:r>
            <w:r>
              <w:rPr>
                <w:lang w:val="en-GB" w:eastAsia="en-US"/>
              </w:rPr>
              <w:t> </w:t>
            </w:r>
            <w:r w:rsidRPr="00F16AC2">
              <w:rPr>
                <w:lang w:val="en-GB" w:eastAsia="en-US"/>
              </w:rPr>
              <w:t>;</w:t>
            </w:r>
          </w:p>
          <w:p w14:paraId="2E18362E" w14:textId="77777777" w:rsidR="003B2887" w:rsidRPr="003338FD" w:rsidRDefault="003B2887" w:rsidP="006932FB">
            <w:pPr>
              <w:keepNext/>
              <w:suppressAutoHyphens w:val="0"/>
              <w:kinsoku/>
              <w:overflowPunct/>
              <w:autoSpaceDE/>
              <w:autoSpaceDN/>
              <w:adjustRightInd/>
              <w:snapToGrid/>
              <w:spacing w:before="80" w:after="80" w:line="240" w:lineRule="auto"/>
              <w:ind w:left="454" w:hanging="454"/>
              <w:jc w:val="both"/>
              <w:rPr>
                <w:lang w:val="fr-FR" w:eastAsia="en-US"/>
              </w:rPr>
            </w:pPr>
            <w:r w:rsidRPr="00F16AC2">
              <w:rPr>
                <w:lang w:val="en-GB" w:eastAsia="en-US"/>
              </w:rPr>
              <w:tab/>
            </w:r>
            <w:r w:rsidRPr="003338FD">
              <w:rPr>
                <w:lang w:val="fr-FR" w:eastAsia="en-US"/>
              </w:rPr>
              <w:t>Caisses (4A, 4B, 4N, 4C1, 4C2, 4D, 4F, 4G, 4H2).</w:t>
            </w:r>
          </w:p>
          <w:p w14:paraId="71E35235" w14:textId="77777777" w:rsidR="003B2887" w:rsidRPr="003338FD" w:rsidRDefault="003B2887" w:rsidP="006932FB">
            <w:pPr>
              <w:keepNext/>
              <w:suppressAutoHyphens w:val="0"/>
              <w:kinsoku/>
              <w:overflowPunct/>
              <w:autoSpaceDE/>
              <w:autoSpaceDN/>
              <w:adjustRightInd/>
              <w:snapToGrid/>
              <w:spacing w:before="80" w:after="80" w:line="240" w:lineRule="auto"/>
              <w:jc w:val="both"/>
              <w:rPr>
                <w:lang w:val="fr-FR" w:eastAsia="en-US"/>
              </w:rPr>
            </w:pPr>
            <w:r w:rsidRPr="003338FD">
              <w:rPr>
                <w:lang w:val="fr-FR" w:eastAsia="en-US"/>
              </w:rPr>
              <w:t>Les emballages extérieurs doivent satisfaire au niveau d’épreuve du groupe d’emballage II.</w:t>
            </w:r>
          </w:p>
          <w:p w14:paraId="38D5B0BE" w14:textId="77777777" w:rsidR="003B2887" w:rsidRPr="003338FD" w:rsidRDefault="003B2887" w:rsidP="006932FB">
            <w:pPr>
              <w:keepNext/>
              <w:suppressAutoHyphens w:val="0"/>
              <w:kinsoku/>
              <w:overflowPunct/>
              <w:autoSpaceDE/>
              <w:autoSpaceDN/>
              <w:adjustRightInd/>
              <w:snapToGrid/>
              <w:spacing w:before="80" w:after="80" w:line="240" w:lineRule="auto"/>
              <w:jc w:val="both"/>
              <w:rPr>
                <w:lang w:val="fr-FR" w:eastAsia="en-US"/>
              </w:rPr>
            </w:pPr>
            <w:r w:rsidRPr="003338FD">
              <w:rPr>
                <w:lang w:val="fr-FR" w:eastAsia="en-US"/>
              </w:rPr>
              <w:t>Les objets doivent être emballés individuellement et séparés les uns des autres par des cloisons, des séparations, des emballages intérieurs ou du matériau de rembourrage, afin d’éviter toute décharge accidentelle dans des conditions normales de transport.</w:t>
            </w:r>
          </w:p>
          <w:p w14:paraId="78EA3BAB" w14:textId="77777777" w:rsidR="003B2887" w:rsidRPr="003338FD" w:rsidRDefault="003B2887" w:rsidP="006932FB">
            <w:pPr>
              <w:suppressAutoHyphens w:val="0"/>
              <w:kinsoku/>
              <w:overflowPunct/>
              <w:autoSpaceDE/>
              <w:autoSpaceDN/>
              <w:adjustRightInd/>
              <w:snapToGrid/>
              <w:spacing w:before="80" w:after="80" w:line="240" w:lineRule="auto"/>
              <w:jc w:val="both"/>
              <w:rPr>
                <w:lang w:val="fr-FR" w:eastAsia="en-US"/>
              </w:rPr>
            </w:pPr>
            <w:r w:rsidRPr="003338FD">
              <w:rPr>
                <w:lang w:val="fr-FR" w:eastAsia="en-US"/>
              </w:rPr>
              <w:t>Masse nette maximale : 75 kg</w:t>
            </w:r>
          </w:p>
        </w:tc>
      </w:tr>
    </w:tbl>
    <w:p w14:paraId="129B800B" w14:textId="77777777" w:rsidR="003B2887" w:rsidRPr="003338FD" w:rsidRDefault="003B2887" w:rsidP="003B2887">
      <w:pPr>
        <w:kinsoku/>
        <w:overflowPunct/>
        <w:autoSpaceDE/>
        <w:autoSpaceDN/>
        <w:adjustRightInd/>
        <w:snapToGrid/>
        <w:spacing w:before="120" w:after="120"/>
        <w:ind w:left="2268" w:right="1134" w:hanging="1134"/>
        <w:jc w:val="both"/>
        <w:rPr>
          <w:i/>
          <w:iCs/>
          <w:lang w:val="fr-FR" w:eastAsia="en-US"/>
        </w:rPr>
      </w:pPr>
      <w:r w:rsidRPr="003338FD">
        <w:rPr>
          <w:i/>
          <w:iCs/>
          <w:lang w:val="fr-FR" w:eastAsia="en-US"/>
        </w:rPr>
        <w:t>(Document de référence : ST/SG/AC.10/C.3/2022/76, proposition 7)</w:t>
      </w:r>
    </w:p>
    <w:p w14:paraId="728BDE31"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P601</w:t>
      </w:r>
      <w:r w:rsidRPr="003338FD">
        <w:rPr>
          <w:rFonts w:eastAsiaTheme="minorHAnsi"/>
          <w:lang w:val="fr-FR" w:eastAsia="en-US"/>
        </w:rPr>
        <w:tab/>
        <w:t>Au point 1), renuméroter la liste en remplaçant les tirets par les lettres a) à c).</w:t>
      </w:r>
    </w:p>
    <w:p w14:paraId="7AD7E07A"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5)</w:t>
      </w:r>
    </w:p>
    <w:p w14:paraId="46CBB110"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P602</w:t>
      </w:r>
      <w:r w:rsidRPr="003338FD">
        <w:rPr>
          <w:rFonts w:eastAsiaTheme="minorHAnsi"/>
          <w:lang w:val="fr-FR" w:eastAsia="en-US"/>
        </w:rPr>
        <w:tab/>
        <w:t>Au point 1), renuméroter la liste en remplaçant les tirets par les lettres a) à c).</w:t>
      </w:r>
    </w:p>
    <w:p w14:paraId="0F549FB0"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5)</w:t>
      </w:r>
    </w:p>
    <w:p w14:paraId="3C7ED37E"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P603</w:t>
      </w:r>
      <w:r w:rsidRPr="003338FD">
        <w:rPr>
          <w:rFonts w:eastAsiaTheme="minorHAnsi"/>
          <w:lang w:val="fr-FR" w:eastAsia="en-US"/>
        </w:rPr>
        <w:tab/>
        <w:t>Ajouter une nouvelle disposition supplémentaire libellée comme suit : « 4. Dans le cas de matières fissiles exceptées, les limites spécifiées au 2.7.2.3.5 doivent être respectées. ». Supprimer la ligne entière de la disposition spéciale d’emballage.</w:t>
      </w:r>
    </w:p>
    <w:p w14:paraId="68845739"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9a)</w:t>
      </w:r>
    </w:p>
    <w:p w14:paraId="3813065E" w14:textId="77777777" w:rsidR="003B2887" w:rsidRPr="003338FD" w:rsidRDefault="003B2887" w:rsidP="003B2887">
      <w:pPr>
        <w:keepNext/>
        <w:tabs>
          <w:tab w:val="left" w:pos="1701"/>
          <w:tab w:val="left" w:pos="2268"/>
          <w:tab w:val="left" w:pos="2835"/>
        </w:tabs>
        <w:spacing w:before="120" w:after="120"/>
        <w:ind w:left="2268" w:right="1134" w:hanging="1134"/>
        <w:jc w:val="both"/>
        <w:rPr>
          <w:rFonts w:eastAsiaTheme="minorHAnsi"/>
          <w:lang w:val="fr-FR" w:eastAsia="en-US"/>
        </w:rPr>
      </w:pPr>
      <w:r w:rsidRPr="003338FD">
        <w:rPr>
          <w:rFonts w:eastAsiaTheme="minorHAnsi"/>
          <w:lang w:val="fr-FR" w:eastAsia="en-US"/>
        </w:rPr>
        <w:t>4.1.4.1, P803</w:t>
      </w:r>
      <w:r w:rsidRPr="003338FD">
        <w:rPr>
          <w:rFonts w:eastAsiaTheme="minorHAnsi"/>
          <w:lang w:val="fr-FR" w:eastAsia="en-US"/>
        </w:rPr>
        <w:tab/>
        <w:t>Modifier comme suit la deuxième ligne sous le titre :</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639"/>
      </w:tblGrid>
      <w:tr w:rsidR="003B2887" w:rsidRPr="003338FD" w14:paraId="17B274DE" w14:textId="77777777" w:rsidTr="006932FB">
        <w:trPr>
          <w:trHeight w:val="20"/>
        </w:trPr>
        <w:tc>
          <w:tcPr>
            <w:tcW w:w="5000" w:type="pct"/>
            <w:tcBorders>
              <w:top w:val="single" w:sz="6" w:space="0" w:color="auto"/>
              <w:left w:val="single" w:sz="6" w:space="0" w:color="auto"/>
              <w:right w:val="single" w:sz="6" w:space="0" w:color="auto"/>
            </w:tcBorders>
          </w:tcPr>
          <w:p w14:paraId="4CE803C3" w14:textId="77777777" w:rsidR="003B2887" w:rsidRPr="003338FD" w:rsidRDefault="003B2887" w:rsidP="006932FB">
            <w:pPr>
              <w:suppressAutoHyphens w:val="0"/>
              <w:kinsoku/>
              <w:overflowPunct/>
              <w:autoSpaceDE/>
              <w:autoSpaceDN/>
              <w:adjustRightInd/>
              <w:snapToGrid/>
              <w:spacing w:before="80" w:after="80" w:line="240" w:lineRule="auto"/>
              <w:jc w:val="both"/>
              <w:rPr>
                <w:lang w:val="fr-FR" w:eastAsia="en-US"/>
              </w:rPr>
            </w:pPr>
            <w:r w:rsidRPr="003338FD">
              <w:rPr>
                <w:lang w:val="fr-FR" w:eastAsia="en-US"/>
              </w:rPr>
              <w:t xml:space="preserve">Les emballages suivants sont autorisés s’il est satisfait aux dispositions générales des </w:t>
            </w:r>
            <w:r w:rsidRPr="003338FD">
              <w:rPr>
                <w:b/>
                <w:bCs/>
                <w:lang w:val="fr-FR" w:eastAsia="en-US"/>
              </w:rPr>
              <w:t>4.1.1</w:t>
            </w:r>
            <w:r w:rsidRPr="003338FD">
              <w:rPr>
                <w:lang w:val="fr-FR" w:eastAsia="en-US"/>
              </w:rPr>
              <w:t xml:space="preserve"> et </w:t>
            </w:r>
            <w:r w:rsidRPr="003338FD">
              <w:rPr>
                <w:b/>
                <w:bCs/>
                <w:lang w:val="fr-FR" w:eastAsia="en-US"/>
              </w:rPr>
              <w:t>4.1.3</w:t>
            </w:r>
            <w:r w:rsidRPr="003338FD">
              <w:rPr>
                <w:lang w:val="fr-FR" w:eastAsia="en-US"/>
              </w:rPr>
              <w:t> :</w:t>
            </w:r>
          </w:p>
          <w:p w14:paraId="7BE531D8" w14:textId="77777777" w:rsidR="003B2887" w:rsidRPr="009675A7" w:rsidRDefault="003B2887" w:rsidP="006932FB">
            <w:pPr>
              <w:suppressAutoHyphens w:val="0"/>
              <w:kinsoku/>
              <w:overflowPunct/>
              <w:autoSpaceDE/>
              <w:autoSpaceDN/>
              <w:adjustRightInd/>
              <w:snapToGrid/>
              <w:spacing w:before="80" w:after="80" w:line="240" w:lineRule="auto"/>
              <w:ind w:left="454" w:hanging="454"/>
              <w:jc w:val="both"/>
              <w:rPr>
                <w:lang w:val="en-GB" w:eastAsia="en-US"/>
              </w:rPr>
            </w:pPr>
            <w:r w:rsidRPr="003338FD">
              <w:rPr>
                <w:lang w:val="fr-FR" w:eastAsia="en-US"/>
              </w:rPr>
              <w:tab/>
            </w:r>
            <w:r w:rsidRPr="009675A7">
              <w:rPr>
                <w:lang w:val="en-GB" w:eastAsia="en-US"/>
              </w:rPr>
              <w:t>Fûts (1A2, 1B2, 1N2, 1H2, 1D, 1G) ;</w:t>
            </w:r>
          </w:p>
          <w:p w14:paraId="22B61BCA" w14:textId="77777777" w:rsidR="003B2887" w:rsidRPr="003338FD" w:rsidRDefault="003B2887" w:rsidP="006932FB">
            <w:pPr>
              <w:suppressAutoHyphens w:val="0"/>
              <w:kinsoku/>
              <w:overflowPunct/>
              <w:autoSpaceDE/>
              <w:autoSpaceDN/>
              <w:adjustRightInd/>
              <w:snapToGrid/>
              <w:spacing w:before="80" w:after="80" w:line="240" w:lineRule="auto"/>
              <w:ind w:left="454" w:hanging="454"/>
              <w:jc w:val="both"/>
              <w:rPr>
                <w:lang w:val="fr-FR" w:eastAsia="en-US"/>
              </w:rPr>
            </w:pPr>
            <w:r w:rsidRPr="009675A7">
              <w:rPr>
                <w:lang w:val="en-GB" w:eastAsia="en-US"/>
              </w:rPr>
              <w:tab/>
            </w:r>
            <w:r w:rsidRPr="003338FD">
              <w:rPr>
                <w:lang w:val="fr-FR" w:eastAsia="en-US"/>
              </w:rPr>
              <w:t>Caisses (4A, 4B, 4N, 4C1, 4C2, 4D, 4F, 4G, 4H2).</w:t>
            </w:r>
          </w:p>
          <w:p w14:paraId="3F54D2A6" w14:textId="77777777" w:rsidR="003B2887" w:rsidRPr="003338FD" w:rsidRDefault="003B2887" w:rsidP="006932FB">
            <w:pPr>
              <w:suppressAutoHyphens w:val="0"/>
              <w:kinsoku/>
              <w:overflowPunct/>
              <w:autoSpaceDE/>
              <w:autoSpaceDN/>
              <w:adjustRightInd/>
              <w:snapToGrid/>
              <w:spacing w:before="80" w:after="80" w:line="240" w:lineRule="auto"/>
              <w:jc w:val="both"/>
              <w:rPr>
                <w:lang w:val="fr-FR" w:eastAsia="en-US"/>
              </w:rPr>
            </w:pPr>
            <w:r w:rsidRPr="003338FD">
              <w:rPr>
                <w:lang w:val="fr-FR" w:eastAsia="en-US"/>
              </w:rPr>
              <w:t>Les objets doivent être emballés individuellement et séparés les uns des autres au moyen de cloisons, de séparations, d’emballages intérieurs ou de matériau de rembourrage afin d’empêcher toute décharge accidentelle dans des conditions normales de transport.</w:t>
            </w:r>
          </w:p>
          <w:p w14:paraId="342201F9" w14:textId="77777777" w:rsidR="003B2887" w:rsidRPr="003338FD" w:rsidRDefault="003B2887" w:rsidP="006932FB">
            <w:pPr>
              <w:suppressAutoHyphens w:val="0"/>
              <w:kinsoku/>
              <w:overflowPunct/>
              <w:autoSpaceDE/>
              <w:autoSpaceDN/>
              <w:adjustRightInd/>
              <w:snapToGrid/>
              <w:spacing w:before="80" w:after="80" w:line="240" w:lineRule="auto"/>
              <w:jc w:val="both"/>
              <w:rPr>
                <w:lang w:val="fr-FR" w:eastAsia="en-US"/>
              </w:rPr>
            </w:pPr>
            <w:r w:rsidRPr="003338FD">
              <w:rPr>
                <w:lang w:val="fr-FR" w:eastAsia="en-US"/>
              </w:rPr>
              <w:t>Masse nette maximale : 75 kg</w:t>
            </w:r>
          </w:p>
        </w:tc>
      </w:tr>
    </w:tbl>
    <w:p w14:paraId="343A2019" w14:textId="77777777" w:rsidR="003B2887" w:rsidRPr="003338FD" w:rsidRDefault="003B2887" w:rsidP="003B2887">
      <w:pPr>
        <w:kinsoku/>
        <w:overflowPunct/>
        <w:autoSpaceDE/>
        <w:autoSpaceDN/>
        <w:adjustRightInd/>
        <w:snapToGrid/>
        <w:spacing w:before="120" w:after="120"/>
        <w:ind w:left="2268" w:right="1134" w:hanging="1134"/>
        <w:jc w:val="both"/>
        <w:rPr>
          <w:i/>
          <w:iCs/>
          <w:lang w:val="fr-FR" w:eastAsia="en-US"/>
        </w:rPr>
      </w:pPr>
      <w:r w:rsidRPr="003338FD">
        <w:rPr>
          <w:i/>
          <w:iCs/>
          <w:lang w:val="fr-FR" w:eastAsia="en-US"/>
        </w:rPr>
        <w:t>(Document de référence : ST/SG/AC.10/C.3/2022/76, proposition 7)</w:t>
      </w:r>
    </w:p>
    <w:p w14:paraId="34EE2272"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P804</w:t>
      </w:r>
      <w:r w:rsidRPr="003338FD">
        <w:rPr>
          <w:rFonts w:eastAsiaTheme="minorHAnsi"/>
          <w:lang w:val="fr-FR" w:eastAsia="en-US"/>
        </w:rPr>
        <w:tab/>
        <w:t>Au point 1), renuméroter la liste en remplaçant les tirets par les lettres a) à c).</w:t>
      </w:r>
    </w:p>
    <w:p w14:paraId="2EAC2E35"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5)</w:t>
      </w:r>
    </w:p>
    <w:p w14:paraId="1E7562F9"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P902</w:t>
      </w:r>
      <w:r w:rsidRPr="003338FD">
        <w:rPr>
          <w:rFonts w:eastAsiaTheme="minorHAnsi"/>
          <w:lang w:val="fr-FR" w:eastAsia="en-US"/>
        </w:rPr>
        <w:tab/>
        <w:t>À la deuxième ligne sous le titre, ajouter « 1) » avant « </w:t>
      </w:r>
      <w:r w:rsidRPr="003338FD">
        <w:rPr>
          <w:rFonts w:eastAsiaTheme="minorHAnsi"/>
          <w:b/>
          <w:bCs/>
          <w:lang w:val="fr-FR" w:eastAsia="en-US"/>
        </w:rPr>
        <w:t>Objets emballés :</w:t>
      </w:r>
      <w:r w:rsidRPr="003338FD">
        <w:rPr>
          <w:rFonts w:eastAsiaTheme="minorHAnsi"/>
          <w:lang w:val="fr-FR" w:eastAsia="en-US"/>
        </w:rPr>
        <w:t> » en supprimant le gras et ajouter « 2) » avant « </w:t>
      </w:r>
      <w:r w:rsidRPr="003338FD">
        <w:rPr>
          <w:rFonts w:eastAsiaTheme="minorHAnsi"/>
          <w:b/>
          <w:bCs/>
          <w:lang w:val="fr-FR" w:eastAsia="en-US"/>
        </w:rPr>
        <w:t>Objets non emballés :</w:t>
      </w:r>
      <w:r w:rsidRPr="003338FD">
        <w:rPr>
          <w:rFonts w:eastAsiaTheme="minorHAnsi"/>
          <w:lang w:val="fr-FR" w:eastAsia="en-US"/>
        </w:rPr>
        <w:t> » en supprimant le gras.</w:t>
      </w:r>
    </w:p>
    <w:p w14:paraId="1862BB62" w14:textId="77777777" w:rsidR="003B2887" w:rsidRPr="009240C8" w:rsidRDefault="003B2887" w:rsidP="003B2887">
      <w:pPr>
        <w:tabs>
          <w:tab w:val="left" w:pos="1701"/>
          <w:tab w:val="left" w:pos="2268"/>
          <w:tab w:val="left" w:pos="2835"/>
        </w:tabs>
        <w:spacing w:after="120"/>
        <w:ind w:left="2268" w:right="1134" w:hanging="1134"/>
        <w:jc w:val="both"/>
        <w:rPr>
          <w:lang w:val="fr-FR"/>
        </w:rPr>
      </w:pPr>
      <w:r>
        <w:rPr>
          <w:i/>
          <w:iCs/>
          <w:lang w:val="fr-FR" w:eastAsia="en-US"/>
        </w:rPr>
        <w:tab/>
      </w:r>
      <w:r>
        <w:rPr>
          <w:i/>
          <w:iCs/>
          <w:lang w:val="fr-FR" w:eastAsia="en-US"/>
        </w:rPr>
        <w:tab/>
      </w:r>
      <w:r>
        <w:rPr>
          <w:lang w:val="fr-FR"/>
        </w:rPr>
        <w:t>À</w:t>
      </w:r>
      <w:r w:rsidRPr="00D71D11">
        <w:rPr>
          <w:lang w:val="fr-FR"/>
        </w:rPr>
        <w:t xml:space="preserve"> la </w:t>
      </w:r>
      <w:r w:rsidRPr="009240C8">
        <w:rPr>
          <w:rFonts w:eastAsiaTheme="minorHAnsi"/>
          <w:lang w:val="fr-FR" w:eastAsia="en-US"/>
        </w:rPr>
        <w:t>rubrique</w:t>
      </w:r>
      <w:r w:rsidRPr="00D71D11">
        <w:rPr>
          <w:lang w:val="fr-FR"/>
        </w:rPr>
        <w:t xml:space="preserve"> </w:t>
      </w:r>
      <w:r>
        <w:rPr>
          <w:lang w:val="fr-FR"/>
        </w:rPr>
        <w:t xml:space="preserve">« 2) </w:t>
      </w:r>
      <w:r w:rsidRPr="00D71D11">
        <w:rPr>
          <w:lang w:val="fr-FR"/>
        </w:rPr>
        <w:t>Objets non emballés :</w:t>
      </w:r>
      <w:r>
        <w:rPr>
          <w:lang w:val="fr-FR"/>
        </w:rPr>
        <w:t> »</w:t>
      </w:r>
      <w:r w:rsidRPr="00D71D11">
        <w:rPr>
          <w:lang w:val="fr-FR"/>
        </w:rPr>
        <w:t xml:space="preserve">, au début de la phrase, lire : </w:t>
      </w:r>
      <w:r>
        <w:rPr>
          <w:lang w:val="fr-FR"/>
        </w:rPr>
        <w:t>« </w:t>
      </w:r>
      <w:r w:rsidRPr="00D71D11">
        <w:rPr>
          <w:lang w:val="fr-FR"/>
        </w:rPr>
        <w:t>À l’exception du numéro ONU 3559, les objets...</w:t>
      </w:r>
      <w:r>
        <w:rPr>
          <w:lang w:val="fr-FR"/>
        </w:rPr>
        <w:t> »</w:t>
      </w:r>
      <w:r w:rsidRPr="00D71D11">
        <w:t>.</w:t>
      </w:r>
    </w:p>
    <w:p w14:paraId="1EBB58AC" w14:textId="77777777" w:rsidR="003B2887" w:rsidRPr="00D71D11" w:rsidRDefault="003B2887" w:rsidP="003B2887">
      <w:pPr>
        <w:pStyle w:val="SingleTxtG"/>
        <w:spacing w:before="120"/>
        <w:rPr>
          <w:i/>
          <w:iCs/>
        </w:rPr>
      </w:pPr>
      <w:r w:rsidRPr="00D71D11">
        <w:rPr>
          <w:i/>
          <w:iCs/>
        </w:rPr>
        <w:t>(Document</w:t>
      </w:r>
      <w:r>
        <w:rPr>
          <w:i/>
          <w:iCs/>
        </w:rPr>
        <w:t>s</w:t>
      </w:r>
      <w:r w:rsidRPr="00D71D11">
        <w:rPr>
          <w:i/>
          <w:iCs/>
        </w:rPr>
        <w:t xml:space="preserve"> de référence : </w:t>
      </w:r>
      <w:r w:rsidRPr="003338FD">
        <w:rPr>
          <w:i/>
          <w:iCs/>
          <w:lang w:val="fr-FR" w:eastAsia="en-US"/>
        </w:rPr>
        <w:t>ST/SG/AC.10/C.3/2022/76, proposition 5</w:t>
      </w:r>
      <w:r>
        <w:rPr>
          <w:i/>
          <w:iCs/>
          <w:lang w:val="fr-FR" w:eastAsia="en-US"/>
        </w:rPr>
        <w:t xml:space="preserve"> et </w:t>
      </w:r>
      <w:r w:rsidRPr="00D71D11">
        <w:rPr>
          <w:i/>
          <w:iCs/>
        </w:rPr>
        <w:t>document informel INF.53/Rev.1)</w:t>
      </w:r>
    </w:p>
    <w:p w14:paraId="14458F8F"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P904</w:t>
      </w:r>
      <w:r w:rsidRPr="003338FD">
        <w:rPr>
          <w:rFonts w:eastAsiaTheme="minorHAnsi"/>
          <w:lang w:val="fr-FR" w:eastAsia="en-US"/>
        </w:rPr>
        <w:tab/>
        <w:t>Dans les dispositions supplémentaires, supprimer la première ligne, libellée comme suit : « </w:t>
      </w:r>
      <w:r w:rsidRPr="003338FD">
        <w:rPr>
          <w:rFonts w:eastAsiaTheme="minorHAnsi"/>
          <w:u w:val="single"/>
          <w:lang w:val="fr-FR" w:eastAsia="en-US"/>
        </w:rPr>
        <w:t>Glace, neige carbonique et azote liquide</w:t>
      </w:r>
      <w:r w:rsidRPr="003338FD">
        <w:rPr>
          <w:rFonts w:eastAsiaTheme="minorHAnsi"/>
          <w:lang w:val="fr-FR" w:eastAsia="en-US"/>
        </w:rPr>
        <w:t> ».</w:t>
      </w:r>
    </w:p>
    <w:p w14:paraId="4BA128F4"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6)</w:t>
      </w:r>
    </w:p>
    <w:p w14:paraId="00AD07D7"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P908</w:t>
      </w:r>
      <w:r w:rsidRPr="003338FD">
        <w:rPr>
          <w:rFonts w:eastAsiaTheme="minorHAnsi"/>
          <w:lang w:val="fr-FR" w:eastAsia="en-US"/>
        </w:rPr>
        <w:tab/>
        <w:t>À la deuxième ligne sous le titre, avant la liste numérotée, ajouter un nouveau paragraphe libellé comme suit : « Les emballages doivent également satisfaire aux prescriptions suivantes : ». Dans la liste, les points 1 à 5 deviennent les points a) à e).</w:t>
      </w:r>
    </w:p>
    <w:p w14:paraId="09126580"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5)</w:t>
      </w:r>
    </w:p>
    <w:p w14:paraId="21CCA14A"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4.1.4.1, P909</w:t>
      </w:r>
      <w:r w:rsidRPr="003338FD">
        <w:rPr>
          <w:rFonts w:eastAsiaTheme="minorHAnsi"/>
          <w:lang w:val="fr-FR" w:eastAsia="en-US"/>
        </w:rPr>
        <w:tab/>
        <w:t>Dans la disposition supplémentaire 2, renuméroter la liste en remplaçant les tirets par les lettres a) à d).</w:t>
      </w:r>
    </w:p>
    <w:p w14:paraId="4254654B"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5)</w:t>
      </w:r>
    </w:p>
    <w:p w14:paraId="3ABEC26E" w14:textId="77777777" w:rsidR="003B2887" w:rsidRPr="003338FD" w:rsidRDefault="003B2887" w:rsidP="003B2887">
      <w:pPr>
        <w:pStyle w:val="SingleTxtG"/>
        <w:ind w:left="2268" w:hanging="1134"/>
        <w:rPr>
          <w:rFonts w:eastAsiaTheme="minorHAnsi"/>
          <w:lang w:val="fr-FR" w:eastAsia="en-US"/>
        </w:rPr>
      </w:pPr>
      <w:r w:rsidRPr="003338FD">
        <w:rPr>
          <w:rFonts w:eastAsiaTheme="minorHAnsi"/>
          <w:lang w:val="fr-FR" w:eastAsia="en-US"/>
        </w:rPr>
        <w:t>4.1.4.1, P910</w:t>
      </w:r>
      <w:r w:rsidRPr="003338FD">
        <w:rPr>
          <w:rFonts w:eastAsiaTheme="minorHAnsi"/>
          <w:lang w:val="fr-FR" w:eastAsia="en-US"/>
        </w:rPr>
        <w:tab/>
        <w:t>Dans les dispositions supplémentaires, à la fin de la première phrase, remplacer le point-virgule par un point et supprimer le saut de paragraphe, de manière que les deux premières phrases forment un seul paragraphe.</w:t>
      </w:r>
    </w:p>
    <w:p w14:paraId="4335BF64"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ab/>
      </w:r>
      <w:r w:rsidRPr="003338FD">
        <w:rPr>
          <w:rFonts w:eastAsiaTheme="minorHAnsi"/>
          <w:lang w:val="fr-FR" w:eastAsia="en-US"/>
        </w:rPr>
        <w:tab/>
        <w:t>Dans les dispositions supplémentaires, renuméroter la liste en remplaçant les tirets par les lettres a) à d).</w:t>
      </w:r>
    </w:p>
    <w:p w14:paraId="7FFC3977"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propositions 5 et 10)</w:t>
      </w:r>
    </w:p>
    <w:p w14:paraId="0A3577C7" w14:textId="77777777" w:rsidR="003B2887" w:rsidRPr="00304358" w:rsidRDefault="003B2887" w:rsidP="003B2887">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4.1.4.1</w:t>
      </w:r>
      <w:r w:rsidRPr="00304358">
        <w:rPr>
          <w:rFonts w:eastAsiaTheme="minorHAnsi"/>
          <w:lang w:val="fr-FR" w:eastAsia="en-US"/>
        </w:rPr>
        <w:tab/>
        <w:t>Ajouter la nouvelle instruction d’emballage suivante :</w:t>
      </w:r>
    </w:p>
    <w:tbl>
      <w:tblPr>
        <w:tblW w:w="9630" w:type="dxa"/>
        <w:jc w:val="center"/>
        <w:tblLayout w:type="fixed"/>
        <w:tblCellMar>
          <w:left w:w="56" w:type="dxa"/>
          <w:right w:w="56" w:type="dxa"/>
        </w:tblCellMar>
        <w:tblLook w:val="04A0" w:firstRow="1" w:lastRow="0" w:firstColumn="1" w:lastColumn="0" w:noHBand="0" w:noVBand="1"/>
      </w:tblPr>
      <w:tblGrid>
        <w:gridCol w:w="853"/>
        <w:gridCol w:w="7939"/>
        <w:gridCol w:w="838"/>
      </w:tblGrid>
      <w:tr w:rsidR="003B2887" w:rsidRPr="00304358" w14:paraId="024421D9" w14:textId="77777777" w:rsidTr="006932FB">
        <w:trPr>
          <w:jc w:val="center"/>
        </w:trPr>
        <w:tc>
          <w:tcPr>
            <w:tcW w:w="853" w:type="dxa"/>
            <w:tcBorders>
              <w:top w:val="single" w:sz="8" w:space="0" w:color="000000"/>
              <w:left w:val="single" w:sz="8" w:space="0" w:color="000000"/>
              <w:bottom w:val="single" w:sz="8" w:space="0" w:color="000000"/>
              <w:right w:val="nil"/>
            </w:tcBorders>
            <w:hideMark/>
          </w:tcPr>
          <w:p w14:paraId="4040D659" w14:textId="77777777" w:rsidR="003B2887" w:rsidRPr="00304358" w:rsidRDefault="003B2887" w:rsidP="006932FB">
            <w:pPr>
              <w:tabs>
                <w:tab w:val="left" w:pos="1418"/>
                <w:tab w:val="left" w:pos="1985"/>
                <w:tab w:val="left" w:pos="2552"/>
                <w:tab w:val="left" w:pos="3119"/>
                <w:tab w:val="left" w:pos="3686"/>
                <w:tab w:val="left" w:pos="4253"/>
                <w:tab w:val="left" w:pos="4820"/>
              </w:tabs>
              <w:suppressAutoHyphens w:val="0"/>
              <w:kinsoku/>
              <w:overflowPunct/>
              <w:autoSpaceDE/>
              <w:adjustRightInd/>
              <w:snapToGrid/>
              <w:spacing w:before="24" w:after="24" w:line="240" w:lineRule="auto"/>
              <w:rPr>
                <w:rFonts w:eastAsiaTheme="minorHAnsi"/>
                <w:b/>
                <w:bCs/>
                <w:lang w:val="fr-FR" w:eastAsia="en-GB"/>
              </w:rPr>
            </w:pPr>
            <w:r w:rsidRPr="00304358">
              <w:rPr>
                <w:rFonts w:eastAsiaTheme="minorHAnsi"/>
                <w:b/>
                <w:lang w:val="fr-FR" w:eastAsia="en-GB"/>
              </w:rPr>
              <w:t>P</w:t>
            </w:r>
            <w:r>
              <w:rPr>
                <w:rFonts w:eastAsiaTheme="minorHAnsi"/>
                <w:b/>
                <w:lang w:val="fr-FR" w:eastAsia="en-GB"/>
              </w:rPr>
              <w:t>912</w:t>
            </w:r>
          </w:p>
        </w:tc>
        <w:tc>
          <w:tcPr>
            <w:tcW w:w="7939" w:type="dxa"/>
            <w:tcBorders>
              <w:top w:val="single" w:sz="8" w:space="0" w:color="000000"/>
              <w:left w:val="nil"/>
              <w:bottom w:val="single" w:sz="8" w:space="0" w:color="000000"/>
              <w:right w:val="nil"/>
            </w:tcBorders>
            <w:hideMark/>
          </w:tcPr>
          <w:p w14:paraId="126BF1FF" w14:textId="77777777" w:rsidR="003B2887" w:rsidRPr="00304358" w:rsidRDefault="003B2887" w:rsidP="006932FB">
            <w:pPr>
              <w:tabs>
                <w:tab w:val="left" w:pos="1418"/>
                <w:tab w:val="left" w:pos="1985"/>
                <w:tab w:val="left" w:pos="2552"/>
                <w:tab w:val="left" w:pos="3119"/>
                <w:tab w:val="left" w:pos="3686"/>
                <w:tab w:val="left" w:pos="4253"/>
                <w:tab w:val="left" w:pos="4820"/>
              </w:tabs>
              <w:suppressAutoHyphens w:val="0"/>
              <w:kinsoku/>
              <w:overflowPunct/>
              <w:autoSpaceDE/>
              <w:adjustRightInd/>
              <w:snapToGrid/>
              <w:spacing w:before="24" w:after="24" w:line="240" w:lineRule="auto"/>
              <w:jc w:val="center"/>
              <w:rPr>
                <w:rFonts w:eastAsiaTheme="minorHAnsi"/>
                <w:b/>
                <w:bCs/>
                <w:lang w:val="fr-FR" w:eastAsia="en-GB"/>
              </w:rPr>
            </w:pPr>
            <w:r w:rsidRPr="00304358">
              <w:rPr>
                <w:rFonts w:eastAsiaTheme="minorHAnsi"/>
                <w:b/>
                <w:bCs/>
                <w:lang w:val="fr-FR" w:eastAsia="en-GB"/>
              </w:rPr>
              <w:t>INSTRUCTION D'EMBALLAGE</w:t>
            </w:r>
          </w:p>
        </w:tc>
        <w:tc>
          <w:tcPr>
            <w:tcW w:w="838" w:type="dxa"/>
            <w:tcBorders>
              <w:top w:val="single" w:sz="8" w:space="0" w:color="000000"/>
              <w:left w:val="nil"/>
              <w:bottom w:val="single" w:sz="8" w:space="0" w:color="000000"/>
              <w:right w:val="single" w:sz="8" w:space="0" w:color="000000"/>
            </w:tcBorders>
            <w:hideMark/>
          </w:tcPr>
          <w:p w14:paraId="522F790F" w14:textId="77777777" w:rsidR="003B2887" w:rsidRPr="00304358" w:rsidRDefault="003B2887" w:rsidP="006932FB">
            <w:pPr>
              <w:tabs>
                <w:tab w:val="left" w:pos="1418"/>
                <w:tab w:val="left" w:pos="1985"/>
                <w:tab w:val="left" w:pos="2552"/>
                <w:tab w:val="left" w:pos="3119"/>
                <w:tab w:val="left" w:pos="3686"/>
                <w:tab w:val="left" w:pos="4253"/>
                <w:tab w:val="left" w:pos="4820"/>
              </w:tabs>
              <w:suppressAutoHyphens w:val="0"/>
              <w:kinsoku/>
              <w:overflowPunct/>
              <w:autoSpaceDE/>
              <w:adjustRightInd/>
              <w:snapToGrid/>
              <w:spacing w:before="24" w:after="24" w:line="240" w:lineRule="auto"/>
              <w:jc w:val="right"/>
              <w:outlineLvl w:val="8"/>
              <w:rPr>
                <w:rFonts w:eastAsiaTheme="minorHAnsi"/>
                <w:b/>
                <w:bCs/>
                <w:lang w:val="fr-FR" w:eastAsia="en-GB"/>
              </w:rPr>
            </w:pPr>
            <w:r w:rsidRPr="00304358">
              <w:rPr>
                <w:rFonts w:eastAsiaTheme="minorHAnsi"/>
                <w:b/>
                <w:lang w:val="fr-FR" w:eastAsia="en-GB"/>
              </w:rPr>
              <w:t>P</w:t>
            </w:r>
            <w:r>
              <w:rPr>
                <w:rFonts w:eastAsiaTheme="minorHAnsi"/>
                <w:b/>
                <w:lang w:val="fr-FR" w:eastAsia="en-GB"/>
              </w:rPr>
              <w:t>912</w:t>
            </w:r>
          </w:p>
        </w:tc>
      </w:tr>
      <w:tr w:rsidR="003B2887" w:rsidRPr="00304358" w14:paraId="64D05C70" w14:textId="77777777" w:rsidTr="006932FB">
        <w:trPr>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0AD33CCE" w14:textId="77777777" w:rsidR="003B2887" w:rsidRPr="00304358" w:rsidRDefault="003B2887" w:rsidP="006932FB">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lang w:val="fr-FR" w:eastAsia="en-GB"/>
              </w:rPr>
            </w:pPr>
            <w:r w:rsidRPr="00304358">
              <w:rPr>
                <w:rFonts w:eastAsiaTheme="minorHAnsi"/>
                <w:lang w:val="fr-FR" w:eastAsia="en-GB"/>
              </w:rPr>
              <w:t>Cette instruction s'applique au</w:t>
            </w:r>
            <w:r>
              <w:rPr>
                <w:rFonts w:eastAsiaTheme="minorHAnsi"/>
                <w:lang w:val="fr-FR" w:eastAsia="en-GB"/>
              </w:rPr>
              <w:t>x</w:t>
            </w:r>
            <w:r w:rsidRPr="00304358">
              <w:rPr>
                <w:rFonts w:eastAsiaTheme="minorHAnsi"/>
                <w:lang w:val="fr-FR" w:eastAsia="en-GB"/>
              </w:rPr>
              <w:t xml:space="preserve"> No</w:t>
            </w:r>
            <w:r>
              <w:rPr>
                <w:rFonts w:eastAsiaTheme="minorHAnsi"/>
                <w:lang w:val="fr-FR" w:eastAsia="en-GB"/>
              </w:rPr>
              <w:t>s</w:t>
            </w:r>
            <w:r w:rsidRPr="00304358">
              <w:rPr>
                <w:rFonts w:eastAsiaTheme="minorHAnsi"/>
                <w:lang w:val="fr-FR" w:eastAsia="en-GB"/>
              </w:rPr>
              <w:t xml:space="preserve"> ONU 355</w:t>
            </w:r>
            <w:r>
              <w:rPr>
                <w:rFonts w:eastAsiaTheme="minorHAnsi"/>
                <w:lang w:val="fr-FR" w:eastAsia="en-GB"/>
              </w:rPr>
              <w:t>6, 3557 et 3558.</w:t>
            </w:r>
          </w:p>
        </w:tc>
      </w:tr>
      <w:tr w:rsidR="003B2887" w:rsidRPr="00304358" w14:paraId="7F516EB4" w14:textId="77777777" w:rsidTr="006932FB">
        <w:trPr>
          <w:jc w:val="center"/>
        </w:trPr>
        <w:tc>
          <w:tcPr>
            <w:tcW w:w="9630" w:type="dxa"/>
            <w:gridSpan w:val="3"/>
            <w:tcBorders>
              <w:top w:val="single" w:sz="8" w:space="0" w:color="000000"/>
              <w:left w:val="single" w:sz="8" w:space="0" w:color="000000"/>
              <w:right w:val="single" w:sz="8" w:space="0" w:color="000000"/>
            </w:tcBorders>
          </w:tcPr>
          <w:p w14:paraId="28772EF6" w14:textId="77777777" w:rsidR="003B2887" w:rsidRPr="00304358" w:rsidRDefault="003B2887" w:rsidP="006932FB">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lang w:val="fr-FR" w:eastAsia="en-GB"/>
              </w:rPr>
            </w:pPr>
            <w:r w:rsidRPr="00D63978">
              <w:rPr>
                <w:rFonts w:eastAsiaTheme="minorHAnsi"/>
                <w:lang w:val="fr-FR" w:eastAsia="en-GB"/>
              </w:rPr>
              <w:t>Le véhicule doit être protégé par un emballage extérieur rigide et robuste, fabriqué dans un matériau approprié, présentant une résistance suffisante et conçu en fonction de sa contenance et de l’usage auquel il est destiné. L’emballage doit être construit de manière à empêcher tout fonctionnement accidentel au cours du transport. Les emballages ne doivent pas nécessairement satisfaire aux dispositions du 4.1.1.3. Le véhicule doit être assujetti dans l’emballage extérieur par des moyens capables de le retenir pour éviter tout mouvement qui pourrait modifier l’orientation ou endommager la batterie pendant le transport.</w:t>
            </w:r>
          </w:p>
        </w:tc>
      </w:tr>
      <w:tr w:rsidR="003B2887" w:rsidRPr="00304358" w14:paraId="0B6EB274" w14:textId="77777777" w:rsidTr="006932FB">
        <w:trPr>
          <w:jc w:val="center"/>
        </w:trPr>
        <w:tc>
          <w:tcPr>
            <w:tcW w:w="9630" w:type="dxa"/>
            <w:gridSpan w:val="3"/>
            <w:tcBorders>
              <w:left w:val="single" w:sz="8" w:space="0" w:color="000000"/>
              <w:right w:val="single" w:sz="8" w:space="0" w:color="000000"/>
            </w:tcBorders>
          </w:tcPr>
          <w:p w14:paraId="7210D956" w14:textId="77777777" w:rsidR="003B2887" w:rsidRPr="00D63978" w:rsidRDefault="003B2887" w:rsidP="006932FB">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lang w:val="fr-FR" w:eastAsia="en-GB"/>
              </w:rPr>
            </w:pPr>
            <w:r w:rsidRPr="002262D1">
              <w:rPr>
                <w:rFonts w:eastAsiaTheme="minorHAnsi"/>
                <w:lang w:val="fr-FR" w:eastAsia="en-GB"/>
              </w:rPr>
              <w:t>Lorsque les véhicules sont transportés dans un emballage, certaines parties du véhicule, autres que la batterie, peuvent en être détachées pour tenir dans l’emballage.</w:t>
            </w:r>
          </w:p>
        </w:tc>
      </w:tr>
      <w:tr w:rsidR="003B2887" w:rsidRPr="00304358" w14:paraId="787B3D44" w14:textId="77777777" w:rsidTr="006932FB">
        <w:trPr>
          <w:jc w:val="center"/>
        </w:trPr>
        <w:tc>
          <w:tcPr>
            <w:tcW w:w="9630" w:type="dxa"/>
            <w:gridSpan w:val="3"/>
            <w:tcBorders>
              <w:left w:val="single" w:sz="8" w:space="0" w:color="000000"/>
              <w:bottom w:val="single" w:sz="8" w:space="0" w:color="000000"/>
              <w:right w:val="single" w:sz="8" w:space="0" w:color="000000"/>
            </w:tcBorders>
          </w:tcPr>
          <w:p w14:paraId="30C0C982" w14:textId="77777777" w:rsidR="003B2887" w:rsidRPr="00813E1D" w:rsidRDefault="003B2887" w:rsidP="006932FB">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rPr>
                <w:rFonts w:eastAsiaTheme="minorHAnsi"/>
                <w:lang w:val="fr-FR" w:eastAsia="en-GB"/>
              </w:rPr>
            </w:pPr>
            <w:r w:rsidRPr="00813E1D">
              <w:rPr>
                <w:rFonts w:eastAsiaTheme="minorHAnsi"/>
                <w:lang w:val="fr-FR" w:eastAsia="en-GB"/>
              </w:rPr>
              <w:t>Les véhicules dont la masse nette individuelle est supérieure ou égale à 30 kg :</w:t>
            </w:r>
          </w:p>
          <w:p w14:paraId="6EFF50FF" w14:textId="77777777" w:rsidR="003B2887" w:rsidRPr="00813E1D" w:rsidRDefault="003B2887" w:rsidP="006932FB">
            <w:pPr>
              <w:tabs>
                <w:tab w:val="left" w:pos="36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ind w:left="363" w:hanging="363"/>
              <w:jc w:val="both"/>
              <w:rPr>
                <w:rFonts w:eastAsiaTheme="minorHAnsi"/>
                <w:lang w:val="fr-FR" w:eastAsia="en-GB"/>
              </w:rPr>
            </w:pPr>
            <w:r w:rsidRPr="00813E1D">
              <w:rPr>
                <w:rFonts w:eastAsiaTheme="minorHAnsi"/>
                <w:lang w:val="fr-FR" w:eastAsia="en-GB"/>
              </w:rPr>
              <w:t>a)</w:t>
            </w:r>
            <w:r w:rsidRPr="00813E1D">
              <w:rPr>
                <w:rFonts w:eastAsiaTheme="minorHAnsi"/>
                <w:lang w:val="fr-FR" w:eastAsia="en-GB"/>
              </w:rPr>
              <w:tab/>
              <w:t>peuvent être chargés dans des caisses ou fixés sur des palettes ;</w:t>
            </w:r>
          </w:p>
          <w:p w14:paraId="53D33F7F" w14:textId="77777777" w:rsidR="003B2887" w:rsidRPr="00813E1D" w:rsidRDefault="003B2887" w:rsidP="006932FB">
            <w:pPr>
              <w:tabs>
                <w:tab w:val="left" w:pos="36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ind w:left="363" w:hanging="363"/>
              <w:jc w:val="both"/>
              <w:rPr>
                <w:rFonts w:eastAsiaTheme="minorHAnsi"/>
                <w:lang w:val="fr-FR" w:eastAsia="en-GB"/>
              </w:rPr>
            </w:pPr>
            <w:r w:rsidRPr="00813E1D">
              <w:rPr>
                <w:rFonts w:eastAsiaTheme="minorHAnsi"/>
                <w:lang w:val="fr-FR" w:eastAsia="en-GB"/>
              </w:rPr>
              <w:t>b)</w:t>
            </w:r>
            <w:r w:rsidRPr="00813E1D">
              <w:rPr>
                <w:rFonts w:eastAsiaTheme="minorHAnsi"/>
                <w:lang w:val="fr-FR" w:eastAsia="en-GB"/>
              </w:rPr>
              <w:tab/>
              <w:t>peuvent être transportés non emballés, à condition qu’ils puissent rester en position verticale pendant le transport sans support supplémentaire, et qu’ils offrent une protection adéquate à la batterie afin qu’elle ne soit pas endommagée ;</w:t>
            </w:r>
          </w:p>
          <w:p w14:paraId="6A37C486" w14:textId="77777777" w:rsidR="003B2887" w:rsidRPr="002262D1" w:rsidRDefault="003B2887" w:rsidP="006932FB">
            <w:pPr>
              <w:tabs>
                <w:tab w:val="left" w:pos="36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ind w:left="363" w:hanging="363"/>
              <w:jc w:val="both"/>
              <w:rPr>
                <w:rFonts w:eastAsiaTheme="minorHAnsi"/>
                <w:lang w:val="fr-FR" w:eastAsia="en-GB"/>
              </w:rPr>
            </w:pPr>
            <w:r w:rsidRPr="00813E1D">
              <w:rPr>
                <w:rFonts w:eastAsiaTheme="minorHAnsi"/>
                <w:lang w:val="fr-FR" w:eastAsia="en-GB"/>
              </w:rPr>
              <w:t>c)</w:t>
            </w:r>
            <w:r w:rsidRPr="00813E1D">
              <w:rPr>
                <w:rFonts w:eastAsiaTheme="minorHAnsi"/>
                <w:lang w:val="fr-FR" w:eastAsia="en-GB"/>
              </w:rPr>
              <w:tab/>
              <w:t>lorsque le véhicule est susceptible de se renverser pendant le transport (une motocyclette, par exemple), il peut être transporté non emballé dans un engin de transport de marchandises équipé de moyens visant à empêcher le renversement pendant le transport, tels que des cales, des cadres ou des râteliers.</w:t>
            </w:r>
          </w:p>
        </w:tc>
      </w:tr>
    </w:tbl>
    <w:p w14:paraId="2AEA4BD2" w14:textId="77777777" w:rsidR="003B2887" w:rsidRPr="00304358" w:rsidRDefault="003B2887" w:rsidP="003B2887">
      <w:pPr>
        <w:kinsoku/>
        <w:overflowPunct/>
        <w:autoSpaceDE/>
        <w:autoSpaceDN/>
        <w:adjustRightInd/>
        <w:snapToGrid/>
        <w:spacing w:before="120" w:after="120"/>
        <w:ind w:left="1134" w:right="1134"/>
        <w:jc w:val="both"/>
        <w:rPr>
          <w:rFonts w:eastAsiaTheme="minorHAnsi"/>
          <w:i/>
          <w:iCs/>
          <w:lang w:val="fr-FR" w:eastAsia="en-US"/>
        </w:rPr>
      </w:pPr>
      <w:r w:rsidRPr="00304358">
        <w:rPr>
          <w:rFonts w:eastAsiaTheme="minorHAnsi"/>
          <w:i/>
          <w:iCs/>
          <w:lang w:val="fr-FR" w:eastAsia="en-US"/>
        </w:rPr>
        <w:t xml:space="preserve">(Document de référence : </w:t>
      </w:r>
      <w:r>
        <w:rPr>
          <w:rFonts w:eastAsiaTheme="minorHAnsi"/>
          <w:i/>
          <w:iCs/>
          <w:lang w:val="fr-FR" w:eastAsia="en-US"/>
        </w:rPr>
        <w:t>document informel INF.51/Rev.1</w:t>
      </w:r>
      <w:r w:rsidRPr="00304358">
        <w:rPr>
          <w:rFonts w:eastAsiaTheme="minorHAnsi"/>
          <w:i/>
          <w:iCs/>
          <w:lang w:val="fr-FR" w:eastAsia="en-US"/>
        </w:rPr>
        <w:t>)</w:t>
      </w:r>
    </w:p>
    <w:p w14:paraId="796B8357" w14:textId="77777777" w:rsidR="003B2887" w:rsidRPr="003338FD" w:rsidRDefault="003B2887" w:rsidP="003B2887">
      <w:pPr>
        <w:tabs>
          <w:tab w:val="left" w:pos="1701"/>
          <w:tab w:val="left" w:pos="2268"/>
          <w:tab w:val="left" w:pos="2835"/>
          <w:tab w:val="left" w:pos="6521"/>
        </w:tabs>
        <w:spacing w:after="120"/>
        <w:ind w:left="2268" w:right="1134" w:hanging="1134"/>
        <w:jc w:val="both"/>
        <w:rPr>
          <w:rFonts w:eastAsiaTheme="minorHAnsi"/>
          <w:lang w:val="fr-FR" w:eastAsia="en-US"/>
        </w:rPr>
      </w:pPr>
      <w:r w:rsidRPr="003338FD">
        <w:rPr>
          <w:rFonts w:eastAsiaTheme="minorHAnsi"/>
          <w:lang w:val="fr-FR" w:eastAsia="en-US"/>
        </w:rPr>
        <w:t>4.1.4.2, IBC02, IBC03, IBC05, IBC06, IBC07, IBC08 et IBC100</w:t>
      </w:r>
      <w:r w:rsidRPr="003338FD">
        <w:rPr>
          <w:rFonts w:eastAsiaTheme="minorHAnsi"/>
          <w:lang w:val="fr-FR" w:eastAsia="en-US"/>
        </w:rPr>
        <w:tab/>
        <w:t>Supprimer les chiffres qui figurent avant la liste, sur la ligne située sous le titre.</w:t>
      </w:r>
    </w:p>
    <w:p w14:paraId="2C9A8875"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5)</w:t>
      </w:r>
    </w:p>
    <w:p w14:paraId="3F71C10D"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4.1.4.2, IBC520</w:t>
      </w:r>
      <w:r w:rsidRPr="003338FD">
        <w:rPr>
          <w:rFonts w:eastAsiaTheme="minorHAnsi"/>
          <w:lang w:val="fr-FR" w:eastAsia="en-US"/>
        </w:rPr>
        <w:tab/>
        <w:t>Pour le No ONU 3109, dans la rubrique « Hydroperoxyde de tert</w:t>
      </w:r>
      <w:r w:rsidRPr="003338FD">
        <w:rPr>
          <w:rFonts w:eastAsiaTheme="minorHAnsi"/>
          <w:lang w:val="fr-FR" w:eastAsia="en-US"/>
        </w:rPr>
        <w:noBreakHyphen/>
        <w:t>butyle, à 72 % au plus dans l’eau », supprimer le trait horizontal séparant les lignes pour les types de GRV « 31A » et « 31HA1 ».</w:t>
      </w:r>
    </w:p>
    <w:p w14:paraId="0A07F3AE"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10)</w:t>
      </w:r>
    </w:p>
    <w:p w14:paraId="6E1C1986"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4.1.4.3, LP02 et LP906</w:t>
      </w:r>
      <w:r w:rsidRPr="003338FD">
        <w:rPr>
          <w:rFonts w:eastAsiaTheme="minorHAnsi"/>
          <w:lang w:val="fr-FR" w:eastAsia="en-US"/>
        </w:rPr>
        <w:tab/>
        <w:t>Placer les notes de bas de page directement sous l’instruction d’emballage, aux pages où elles apparaissent.</w:t>
      </w:r>
    </w:p>
    <w:p w14:paraId="470C162D"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3)</w:t>
      </w:r>
    </w:p>
    <w:p w14:paraId="35BB96C9"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4.1.4.3, LP902</w:t>
      </w:r>
      <w:r w:rsidRPr="003338FD">
        <w:rPr>
          <w:rFonts w:eastAsiaTheme="minorHAnsi"/>
          <w:lang w:val="fr-FR" w:eastAsia="en-US"/>
        </w:rPr>
        <w:tab/>
        <w:t>À la deuxième ligne sous le titre, ajouter « 1) » avant « </w:t>
      </w:r>
      <w:r w:rsidRPr="003338FD">
        <w:rPr>
          <w:rFonts w:eastAsiaTheme="minorHAnsi"/>
          <w:b/>
          <w:bCs/>
          <w:lang w:val="fr-FR" w:eastAsia="en-US"/>
        </w:rPr>
        <w:t>Objets emballés :</w:t>
      </w:r>
      <w:r w:rsidRPr="003338FD">
        <w:rPr>
          <w:rFonts w:eastAsiaTheme="minorHAnsi"/>
          <w:lang w:val="fr-FR" w:eastAsia="en-US"/>
        </w:rPr>
        <w:t> » en supprimant le gras et ajouter « 2) » avant « </w:t>
      </w:r>
      <w:r w:rsidRPr="003338FD">
        <w:rPr>
          <w:rFonts w:eastAsiaTheme="minorHAnsi"/>
          <w:b/>
          <w:bCs/>
          <w:lang w:val="fr-FR" w:eastAsia="en-US"/>
        </w:rPr>
        <w:t>Objets non emballés :</w:t>
      </w:r>
      <w:r w:rsidRPr="003338FD">
        <w:rPr>
          <w:rFonts w:eastAsiaTheme="minorHAnsi"/>
          <w:lang w:val="fr-FR" w:eastAsia="en-US"/>
        </w:rPr>
        <w:t> » en supprimant le gras.</w:t>
      </w:r>
    </w:p>
    <w:p w14:paraId="78948012"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5)</w:t>
      </w:r>
    </w:p>
    <w:p w14:paraId="740237AF"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4.1.4.3, LP904</w:t>
      </w:r>
      <w:r w:rsidRPr="003338FD">
        <w:rPr>
          <w:rFonts w:eastAsiaTheme="minorHAnsi"/>
          <w:lang w:val="fr-FR" w:eastAsia="en-US"/>
        </w:rPr>
        <w:tab/>
        <w:t>À la deuxième ligne sous le titre, avant la liste numérotée, ajouter un nouveau paragraphe libellé comme suit : « Les grands emballages doivent également satisfaire aux prescriptions suivantes : ». Dans la liste, les points 1 à 5 deviennent les points a) à e).</w:t>
      </w:r>
    </w:p>
    <w:p w14:paraId="141F2C3D"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5)</w:t>
      </w:r>
    </w:p>
    <w:p w14:paraId="0AF0D6C9" w14:textId="77777777" w:rsidR="003B2887" w:rsidRPr="003338FD" w:rsidRDefault="003B2887" w:rsidP="003B2887">
      <w:pPr>
        <w:tabs>
          <w:tab w:val="left" w:pos="1701"/>
          <w:tab w:val="left" w:pos="2268"/>
          <w:tab w:val="left" w:pos="2835"/>
        </w:tabs>
        <w:spacing w:after="120"/>
        <w:ind w:left="2268" w:right="1134" w:hanging="1134"/>
        <w:jc w:val="both"/>
        <w:rPr>
          <w:rFonts w:eastAsiaTheme="minorHAnsi"/>
          <w:lang w:val="fr-FR" w:eastAsia="en-US"/>
        </w:rPr>
      </w:pPr>
      <w:r w:rsidRPr="003338FD">
        <w:rPr>
          <w:rFonts w:eastAsiaTheme="minorHAnsi"/>
          <w:lang w:val="fr-FR" w:eastAsia="en-US"/>
        </w:rPr>
        <w:t>4.1.4.3, LP906</w:t>
      </w:r>
      <w:r w:rsidRPr="003338FD">
        <w:rPr>
          <w:rFonts w:eastAsiaTheme="minorHAnsi"/>
          <w:lang w:val="fr-FR" w:eastAsia="en-US"/>
        </w:rPr>
        <w:tab/>
        <w:t>La modification de la deuxième ligne sous le titre est sans objet en français.</w:t>
      </w:r>
    </w:p>
    <w:p w14:paraId="546CA074"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ST/SG/AC.10/C.3/2022/76, proposition 10)</w:t>
      </w:r>
    </w:p>
    <w:p w14:paraId="66546E43" w14:textId="77777777" w:rsidR="003B2887" w:rsidRDefault="003B2887" w:rsidP="003B2887">
      <w:pPr>
        <w:keepNext/>
        <w:keepLines/>
        <w:tabs>
          <w:tab w:val="right" w:pos="851"/>
        </w:tabs>
        <w:spacing w:before="360" w:after="240" w:line="270" w:lineRule="exact"/>
        <w:ind w:left="1134" w:right="1134" w:hanging="1134"/>
        <w:outlineLvl w:val="2"/>
        <w:rPr>
          <w:rFonts w:eastAsiaTheme="minorHAnsi"/>
          <w:b/>
          <w:sz w:val="24"/>
          <w:lang w:val="fr-FR" w:eastAsia="en-US"/>
        </w:rPr>
      </w:pPr>
      <w:bookmarkStart w:id="0" w:name="_Hlk114757109"/>
      <w:r w:rsidRPr="00304358">
        <w:rPr>
          <w:rFonts w:eastAsiaTheme="minorHAnsi"/>
          <w:b/>
          <w:sz w:val="24"/>
          <w:lang w:val="fr-FR" w:eastAsia="en-US"/>
        </w:rPr>
        <w:tab/>
      </w:r>
      <w:r w:rsidRPr="00304358">
        <w:rPr>
          <w:rFonts w:eastAsiaTheme="minorHAnsi"/>
          <w:b/>
          <w:sz w:val="24"/>
          <w:lang w:val="fr-FR" w:eastAsia="en-US"/>
        </w:rPr>
        <w:tab/>
        <w:t xml:space="preserve">Chapitre </w:t>
      </w:r>
      <w:r>
        <w:rPr>
          <w:rFonts w:eastAsiaTheme="minorHAnsi"/>
          <w:b/>
          <w:sz w:val="24"/>
          <w:lang w:val="fr-FR" w:eastAsia="en-US"/>
        </w:rPr>
        <w:t>4.2</w:t>
      </w:r>
    </w:p>
    <w:p w14:paraId="5016DE4D" w14:textId="77777777" w:rsidR="003B2887" w:rsidRPr="00304358" w:rsidRDefault="003B2887" w:rsidP="003B2887">
      <w:pPr>
        <w:tabs>
          <w:tab w:val="left" w:pos="2268"/>
        </w:tabs>
        <w:kinsoku/>
        <w:overflowPunct/>
        <w:autoSpaceDE/>
        <w:adjustRightInd/>
        <w:snapToGrid/>
        <w:spacing w:after="120"/>
        <w:ind w:left="2268" w:right="1134" w:hanging="1134"/>
        <w:jc w:val="both"/>
        <w:rPr>
          <w:rFonts w:eastAsiaTheme="minorHAnsi"/>
          <w:lang w:val="fr-FR" w:eastAsia="en-US"/>
        </w:rPr>
      </w:pPr>
      <w:r>
        <w:rPr>
          <w:rFonts w:eastAsiaTheme="minorHAnsi"/>
          <w:lang w:val="fr-FR" w:eastAsia="en-US"/>
        </w:rPr>
        <w:t>4.2.5.3</w:t>
      </w:r>
      <w:r w:rsidRPr="00304358">
        <w:rPr>
          <w:rFonts w:eastAsiaTheme="minorHAnsi"/>
          <w:lang w:val="fr-FR" w:eastAsia="en-US"/>
        </w:rPr>
        <w:tab/>
        <w:t xml:space="preserve">Ajouter la nouvelle </w:t>
      </w:r>
      <w:r>
        <w:rPr>
          <w:rFonts w:eastAsiaTheme="minorHAnsi"/>
          <w:lang w:val="fr-FR" w:eastAsia="en-US"/>
        </w:rPr>
        <w:t>disposition spéciale</w:t>
      </w:r>
      <w:r w:rsidRPr="00304358">
        <w:rPr>
          <w:rFonts w:eastAsiaTheme="minorHAnsi"/>
          <w:lang w:val="fr-FR" w:eastAsia="en-US"/>
        </w:rPr>
        <w:t xml:space="preserve"> suivante :</w:t>
      </w:r>
    </w:p>
    <w:p w14:paraId="185B0146" w14:textId="77777777" w:rsidR="003B2887" w:rsidRDefault="003B2887" w:rsidP="003B2887">
      <w:pPr>
        <w:pStyle w:val="SingleTxtG"/>
      </w:pPr>
      <w:r>
        <w:t>« TP42</w:t>
      </w:r>
      <w:r>
        <w:tab/>
        <w:t xml:space="preserve">Les citernes mobiles ne sont pas autorisées pour le transport </w:t>
      </w:r>
      <w:r w:rsidRPr="00A91866">
        <w:t>de dispersions de césium ou de rubidium.</w:t>
      </w:r>
      <w:r>
        <w:t> »</w:t>
      </w:r>
    </w:p>
    <w:p w14:paraId="764C90F9"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 xml:space="preserve">(Document de référence : </w:t>
      </w:r>
      <w:r>
        <w:rPr>
          <w:rFonts w:eastAsiaTheme="minorHAnsi"/>
          <w:i/>
          <w:iCs/>
          <w:lang w:val="fr-FR" w:eastAsia="en-US"/>
        </w:rPr>
        <w:t>document informel INF.56</w:t>
      </w:r>
      <w:r w:rsidRPr="003338FD">
        <w:rPr>
          <w:i/>
          <w:iCs/>
          <w:lang w:val="fr-FR" w:eastAsia="en-US"/>
        </w:rPr>
        <w:t>)</w:t>
      </w:r>
    </w:p>
    <w:p w14:paraId="7262A9A6" w14:textId="77777777" w:rsidR="003B2887" w:rsidRPr="003338FD" w:rsidRDefault="003B2887" w:rsidP="003B2887">
      <w:pPr>
        <w:pStyle w:val="H1G"/>
        <w:rPr>
          <w:lang w:val="fr-FR" w:eastAsia="en-US"/>
        </w:rPr>
      </w:pPr>
      <w:r w:rsidRPr="003338FD">
        <w:rPr>
          <w:lang w:val="fr-FR" w:eastAsia="en-US"/>
        </w:rPr>
        <w:tab/>
      </w:r>
      <w:r w:rsidRPr="003338FD">
        <w:rPr>
          <w:lang w:val="fr-FR" w:eastAsia="en-US"/>
        </w:rPr>
        <w:tab/>
        <w:t>Chapitre 6.2</w:t>
      </w:r>
    </w:p>
    <w:p w14:paraId="4E13359F" w14:textId="77777777" w:rsidR="003B2887" w:rsidRPr="000970EB" w:rsidRDefault="003B2887" w:rsidP="003B2887">
      <w:pPr>
        <w:tabs>
          <w:tab w:val="left" w:pos="1701"/>
          <w:tab w:val="left" w:pos="2268"/>
          <w:tab w:val="left" w:pos="2835"/>
        </w:tabs>
        <w:spacing w:after="120"/>
        <w:ind w:left="2268" w:right="1134" w:hanging="1134"/>
        <w:jc w:val="both"/>
        <w:rPr>
          <w:lang w:val="fr-FR" w:eastAsia="en-US"/>
        </w:rPr>
      </w:pPr>
      <w:r w:rsidRPr="000970EB">
        <w:rPr>
          <w:lang w:val="fr-FR" w:eastAsia="en-US"/>
        </w:rPr>
        <w:t xml:space="preserve">6.2.1.6.1 </w:t>
      </w:r>
      <w:r>
        <w:rPr>
          <w:lang w:val="fr-FR" w:eastAsia="en-US"/>
        </w:rPr>
        <w:tab/>
        <w:t>À l’alinéa d)</w:t>
      </w:r>
      <w:r w:rsidRPr="000970EB">
        <w:rPr>
          <w:lang w:val="fr-FR" w:eastAsia="en-US"/>
        </w:rPr>
        <w:t>, remplacer « ISO 10461:2005 + A1:2006 » par « ISO 10461:2005 + Amd:2006 ».</w:t>
      </w:r>
    </w:p>
    <w:p w14:paraId="51FCF964" w14:textId="77777777" w:rsidR="003B2887" w:rsidRPr="003338FD" w:rsidRDefault="003B2887" w:rsidP="003B2887">
      <w:pPr>
        <w:kinsoku/>
        <w:overflowPunct/>
        <w:autoSpaceDE/>
        <w:autoSpaceDN/>
        <w:adjustRightInd/>
        <w:snapToGrid/>
        <w:spacing w:after="120"/>
        <w:ind w:left="1134" w:right="1134"/>
        <w:jc w:val="both"/>
        <w:rPr>
          <w:i/>
          <w:iCs/>
          <w:lang w:val="fr-FR" w:eastAsia="en-US"/>
        </w:rPr>
      </w:pPr>
      <w:r w:rsidRPr="003338FD">
        <w:rPr>
          <w:i/>
          <w:iCs/>
          <w:lang w:val="fr-FR" w:eastAsia="en-US"/>
        </w:rPr>
        <w:t>(Document de référence : ST/SG/AC.10/C.3/2022/</w:t>
      </w:r>
      <w:r>
        <w:rPr>
          <w:i/>
          <w:iCs/>
          <w:lang w:val="fr-FR" w:eastAsia="en-US"/>
        </w:rPr>
        <w:t>60</w:t>
      </w:r>
      <w:r w:rsidRPr="003338FD">
        <w:rPr>
          <w:i/>
          <w:iCs/>
          <w:lang w:val="fr-FR" w:eastAsia="en-US"/>
        </w:rPr>
        <w:t xml:space="preserve">, proposition </w:t>
      </w:r>
      <w:r>
        <w:rPr>
          <w:i/>
          <w:iCs/>
          <w:lang w:val="fr-FR" w:eastAsia="en-US"/>
        </w:rPr>
        <w:t xml:space="preserve">de modification </w:t>
      </w:r>
      <w:r w:rsidRPr="001D2281">
        <w:rPr>
          <w:i/>
          <w:iCs/>
          <w:lang w:val="fr-FR" w:eastAsia="en-US"/>
        </w:rPr>
        <w:t>d’ordre rédactionnel</w:t>
      </w:r>
      <w:r w:rsidRPr="003338FD">
        <w:rPr>
          <w:i/>
          <w:iCs/>
          <w:lang w:val="fr-FR" w:eastAsia="en-US"/>
        </w:rPr>
        <w:t>)</w:t>
      </w:r>
    </w:p>
    <w:p w14:paraId="70F848FE" w14:textId="77777777" w:rsidR="003B2887" w:rsidRPr="004A6BB1" w:rsidRDefault="003B2887" w:rsidP="003B2887">
      <w:pPr>
        <w:tabs>
          <w:tab w:val="left" w:pos="1701"/>
          <w:tab w:val="left" w:pos="2268"/>
          <w:tab w:val="left" w:pos="2835"/>
        </w:tabs>
        <w:spacing w:after="120"/>
        <w:ind w:left="2268" w:right="1134" w:hanging="1134"/>
        <w:jc w:val="both"/>
        <w:rPr>
          <w:lang w:val="fr-FR"/>
        </w:rPr>
      </w:pPr>
      <w:r w:rsidRPr="003338FD">
        <w:rPr>
          <w:lang w:val="fr-FR" w:eastAsia="en-US"/>
        </w:rPr>
        <w:t>6.2.2.1.1</w:t>
      </w:r>
      <w:r w:rsidRPr="003338FD">
        <w:rPr>
          <w:lang w:val="fr-FR" w:eastAsia="en-US"/>
        </w:rPr>
        <w:tab/>
        <w:t>Dans le tableau</w:t>
      </w:r>
      <w:r>
        <w:rPr>
          <w:lang w:val="fr-FR"/>
        </w:rPr>
        <w:t>, p</w:t>
      </w:r>
      <w:r w:rsidRPr="004A6BB1">
        <w:rPr>
          <w:lang w:val="fr-FR"/>
        </w:rPr>
        <w:t xml:space="preserve">our la norme </w:t>
      </w:r>
      <w:r w:rsidRPr="003338FD">
        <w:rPr>
          <w:lang w:val="fr-FR" w:eastAsia="en-US"/>
        </w:rPr>
        <w:t>ISO 9809-4:2014</w:t>
      </w:r>
      <w:r w:rsidRPr="004A6BB1">
        <w:rPr>
          <w:lang w:val="fr-FR"/>
        </w:rPr>
        <w:t xml:space="preserve">, dans la colonne </w:t>
      </w:r>
      <w:r w:rsidRPr="003338FD">
        <w:rPr>
          <w:lang w:val="fr-FR"/>
        </w:rPr>
        <w:t>« Applicable à la fabrication »</w:t>
      </w:r>
      <w:r w:rsidRPr="004A6BB1">
        <w:rPr>
          <w:lang w:val="fr-FR"/>
        </w:rPr>
        <w:t>, remplacer « Jusqu’à nouvel ordre » par « </w:t>
      </w:r>
      <w:r w:rsidRPr="003338FD">
        <w:rPr>
          <w:lang w:val="fr-FR"/>
        </w:rPr>
        <w:t>Jusqu’au 31 décembre 2028</w:t>
      </w:r>
      <w:r w:rsidRPr="004A6BB1">
        <w:rPr>
          <w:lang w:val="fr-FR"/>
        </w:rPr>
        <w:t> ».</w:t>
      </w:r>
      <w:r>
        <w:rPr>
          <w:lang w:val="fr-FR"/>
        </w:rPr>
        <w:t xml:space="preserve"> </w:t>
      </w:r>
      <w:r w:rsidRPr="004A6BB1">
        <w:rPr>
          <w:lang w:val="fr-FR"/>
        </w:rPr>
        <w:t xml:space="preserve">Après </w:t>
      </w:r>
      <w:r>
        <w:rPr>
          <w:lang w:val="fr-FR"/>
        </w:rPr>
        <w:t xml:space="preserve">cette </w:t>
      </w:r>
      <w:r w:rsidRPr="004A6BB1">
        <w:rPr>
          <w:lang w:val="fr-FR"/>
        </w:rPr>
        <w:t>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3B2887" w:rsidRPr="003338FD" w14:paraId="1E690432" w14:textId="77777777" w:rsidTr="006932FB">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015260C" w14:textId="77777777" w:rsidR="003B2887" w:rsidRPr="004A6BB1" w:rsidRDefault="003B2887" w:rsidP="006932FB">
            <w:pPr>
              <w:widowControl w:val="0"/>
              <w:ind w:left="141" w:right="282"/>
              <w:rPr>
                <w:rFonts w:eastAsia="DengXian"/>
                <w:bCs/>
                <w:lang w:val="fr-FR"/>
              </w:rPr>
            </w:pPr>
            <w:r w:rsidRPr="003338FD">
              <w:rPr>
                <w:lang w:val="fr-FR" w:eastAsia="en-US"/>
              </w:rPr>
              <w:t>ISO 9809-4:2021</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66151E2" w14:textId="77777777" w:rsidR="003B2887" w:rsidRPr="003338FD" w:rsidRDefault="003B2887" w:rsidP="006932FB">
            <w:pPr>
              <w:widowControl w:val="0"/>
              <w:ind w:left="142" w:right="282"/>
              <w:rPr>
                <w:rFonts w:eastAsia="DengXian"/>
                <w:bCs/>
                <w:lang w:val="fr-FR"/>
              </w:rPr>
            </w:pPr>
            <w:r w:rsidRPr="003338FD">
              <w:rPr>
                <w:rFonts w:eastAsia="DengXian"/>
                <w:bCs/>
                <w:lang w:val="fr-FR"/>
              </w:rPr>
              <w:t>Bouteilles à gaz — Conception, construction et essais des bouteilles à gaz et des tubes rechargeables en acier sans soudure — Partie 4: Bouteilles en acier inoxydable ayant une valeur de Rm inférieure à 1 100 MPa</w:t>
            </w:r>
          </w:p>
          <w:p w14:paraId="1E8F156F" w14:textId="77777777" w:rsidR="003B2887" w:rsidRPr="004A6BB1" w:rsidRDefault="003B2887" w:rsidP="006932FB">
            <w:pPr>
              <w:widowControl w:val="0"/>
              <w:ind w:left="142" w:right="282"/>
              <w:rPr>
                <w:rFonts w:eastAsia="DengXian"/>
                <w:bCs/>
                <w:i/>
                <w:iCs/>
                <w:lang w:val="fr-FR"/>
              </w:rPr>
            </w:pPr>
            <w:r w:rsidRPr="0076092C">
              <w:rPr>
                <w:rFonts w:eastAsiaTheme="minorHAnsi"/>
                <w:b/>
                <w:bCs/>
                <w:i/>
                <w:lang w:val="fr-FR"/>
              </w:rPr>
              <w:t>NOT</w:t>
            </w:r>
            <w:r w:rsidRPr="003338FD">
              <w:rPr>
                <w:rFonts w:eastAsiaTheme="minorHAnsi"/>
                <w:b/>
                <w:bCs/>
                <w:i/>
                <w:lang w:val="fr-FR"/>
              </w:rPr>
              <w:t>A </w:t>
            </w:r>
            <w:r w:rsidRPr="0076092C">
              <w:rPr>
                <w:rFonts w:eastAsiaTheme="minorHAnsi"/>
                <w:b/>
                <w:bCs/>
                <w:i/>
                <w:lang w:val="fr-FR"/>
              </w:rPr>
              <w:t xml:space="preserve">: </w:t>
            </w:r>
            <w:r w:rsidRPr="0076092C">
              <w:rPr>
                <w:rFonts w:eastAsiaTheme="minorHAnsi"/>
                <w:i/>
                <w:lang w:val="fr-FR"/>
              </w:rPr>
              <w:t>On entend par « petites quantités » les lots ne contenant pas plus de 200 bouteilles.</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360BA1" w14:textId="77777777" w:rsidR="003B2887" w:rsidRPr="004A6BB1" w:rsidRDefault="003B2887" w:rsidP="006932FB">
            <w:pPr>
              <w:widowControl w:val="0"/>
              <w:ind w:right="282"/>
              <w:rPr>
                <w:rFonts w:eastAsia="DengXian"/>
                <w:bCs/>
                <w:lang w:val="fr-FR"/>
              </w:rPr>
            </w:pPr>
            <w:r w:rsidRPr="004A6BB1">
              <w:rPr>
                <w:rFonts w:eastAsia="DengXian"/>
                <w:bCs/>
                <w:lang w:val="fr-FR"/>
              </w:rPr>
              <w:t>Jusqu’à nouvel ordre</w:t>
            </w:r>
          </w:p>
        </w:tc>
      </w:tr>
    </w:tbl>
    <w:p w14:paraId="3DD2AA70" w14:textId="77777777" w:rsidR="003B2887" w:rsidRPr="003338FD" w:rsidRDefault="003B2887" w:rsidP="003B2887">
      <w:pPr>
        <w:kinsoku/>
        <w:overflowPunct/>
        <w:autoSpaceDE/>
        <w:autoSpaceDN/>
        <w:adjustRightInd/>
        <w:snapToGrid/>
        <w:spacing w:before="120" w:after="120"/>
        <w:ind w:left="2268" w:right="1134" w:hanging="1134"/>
        <w:jc w:val="both"/>
        <w:rPr>
          <w:i/>
          <w:iCs/>
          <w:lang w:val="fr-FR" w:eastAsia="en-US"/>
        </w:rPr>
      </w:pPr>
      <w:r w:rsidRPr="003338FD">
        <w:rPr>
          <w:i/>
          <w:iCs/>
          <w:lang w:val="fr-FR" w:eastAsia="en-US"/>
        </w:rPr>
        <w:t>(Document de référence : ST/SG/AC.10/C.3/2022/60, proposition 1)</w:t>
      </w:r>
    </w:p>
    <w:p w14:paraId="55E14DF9" w14:textId="77777777" w:rsidR="003B2887" w:rsidRPr="003338FD" w:rsidRDefault="003B2887" w:rsidP="003B2887">
      <w:pPr>
        <w:tabs>
          <w:tab w:val="left" w:pos="1701"/>
          <w:tab w:val="left" w:pos="2268"/>
          <w:tab w:val="left" w:pos="2835"/>
        </w:tabs>
        <w:spacing w:after="120"/>
        <w:ind w:left="2268" w:right="1134" w:hanging="1134"/>
        <w:jc w:val="both"/>
        <w:rPr>
          <w:lang w:val="fr-FR" w:eastAsia="en-US"/>
        </w:rPr>
      </w:pPr>
      <w:r w:rsidRPr="003338FD">
        <w:rPr>
          <w:lang w:val="fr-FR" w:eastAsia="en-US"/>
        </w:rPr>
        <w:t>6.2.2.1.1 et 6.2.2.1.2</w:t>
      </w:r>
      <w:r w:rsidRPr="003338FD">
        <w:rPr>
          <w:lang w:val="fr-FR" w:eastAsia="en-US"/>
        </w:rPr>
        <w:tab/>
        <w:t>Dans le tableau</w:t>
      </w:r>
      <w:r>
        <w:rPr>
          <w:lang w:val="fr-FR" w:eastAsia="en-US"/>
        </w:rPr>
        <w:t> </w:t>
      </w:r>
      <w:r w:rsidRPr="003338FD">
        <w:rPr>
          <w:lang w:val="fr-FR" w:eastAsia="en-US"/>
        </w:rPr>
        <w:t>:</w:t>
      </w:r>
    </w:p>
    <w:p w14:paraId="3F7927A4" w14:textId="77777777" w:rsidR="003B2887" w:rsidRPr="00351DBE" w:rsidRDefault="003B2887" w:rsidP="003B2887">
      <w:pPr>
        <w:numPr>
          <w:ilvl w:val="0"/>
          <w:numId w:val="1"/>
        </w:numPr>
        <w:tabs>
          <w:tab w:val="clear" w:pos="1701"/>
        </w:tabs>
        <w:spacing w:after="120"/>
        <w:ind w:left="2410" w:right="1134"/>
        <w:jc w:val="both"/>
        <w:rPr>
          <w:lang w:val="fr-FR"/>
        </w:rPr>
      </w:pPr>
      <w:r w:rsidRPr="00351DBE">
        <w:rPr>
          <w:lang w:val="fr-FR"/>
        </w:rPr>
        <w:t xml:space="preserve">Pour la norme </w:t>
      </w:r>
      <w:r w:rsidRPr="00351DBE">
        <w:rPr>
          <w:lang w:val="fr-FR" w:eastAsia="en-US"/>
        </w:rPr>
        <w:t xml:space="preserve">ISO </w:t>
      </w:r>
      <w:r w:rsidRPr="003250D2">
        <w:rPr>
          <w:lang w:val="fr-FR" w:eastAsia="en-US"/>
        </w:rPr>
        <w:t>11119-1:2012</w:t>
      </w:r>
      <w:r w:rsidRPr="00E27375">
        <w:rPr>
          <w:lang w:val="fr-FR"/>
        </w:rPr>
        <w:t>, dans la colonne « </w:t>
      </w:r>
      <w:r w:rsidRPr="00351DBE">
        <w:rPr>
          <w:lang w:val="fr-FR"/>
        </w:rPr>
        <w:t>Applicable à la fabrication », remplacer « Jusqu’à nouvel ordre » par « Jusqu’au 31 décembre 2028 ».</w:t>
      </w:r>
      <w:r>
        <w:rPr>
          <w:lang w:val="fr-FR"/>
        </w:rPr>
        <w:t xml:space="preserve"> </w:t>
      </w:r>
      <w:r w:rsidRPr="00351DBE">
        <w:rPr>
          <w:lang w:val="fr-FR"/>
        </w:rPr>
        <w:t xml:space="preserve">Après </w:t>
      </w:r>
      <w:r>
        <w:rPr>
          <w:lang w:val="fr-FR"/>
        </w:rPr>
        <w:t xml:space="preserve">cette </w:t>
      </w:r>
      <w:r w:rsidRPr="00351DBE">
        <w:rPr>
          <w:lang w:val="fr-FR"/>
        </w:rPr>
        <w:t>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3B2887" w:rsidRPr="003338FD" w14:paraId="5F5E7F25" w14:textId="77777777" w:rsidTr="006932FB">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5F2A4C8" w14:textId="77777777" w:rsidR="003B2887" w:rsidRPr="004A6BB1" w:rsidRDefault="003B2887" w:rsidP="006932FB">
            <w:pPr>
              <w:widowControl w:val="0"/>
              <w:ind w:left="141" w:right="282"/>
              <w:rPr>
                <w:rFonts w:eastAsia="DengXian"/>
                <w:bCs/>
                <w:lang w:val="fr-FR"/>
              </w:rPr>
            </w:pPr>
            <w:r w:rsidRPr="00DD40A9">
              <w:rPr>
                <w:lang w:val="fr-FR" w:eastAsia="en-US"/>
              </w:rPr>
              <w:t>ISO 11119-1:2020</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8A85D34" w14:textId="77777777" w:rsidR="003B2887" w:rsidRPr="004A6BB1" w:rsidRDefault="003B2887" w:rsidP="006932FB">
            <w:pPr>
              <w:widowControl w:val="0"/>
              <w:ind w:left="142" w:right="282"/>
              <w:rPr>
                <w:rFonts w:eastAsia="DengXian"/>
                <w:bCs/>
                <w:lang w:val="fr-FR"/>
              </w:rPr>
            </w:pPr>
            <w:r w:rsidRPr="003338FD">
              <w:rPr>
                <w:rFonts w:eastAsia="DengXian"/>
                <w:bCs/>
                <w:lang w:val="fr-FR"/>
              </w:rPr>
              <w:t xml:space="preserve">Bouteilles à gaz — Conception, construction et essais des tubes et bouteilles à gaz rechargeables en matériau composite — Partie 1: Tubes et bouteilles à gaz frettés, en matériau composite renforcé par des fibres, d'une contenance allant jusqu'à 450 </w:t>
            </w:r>
            <w:r w:rsidRPr="003338FD">
              <w:rPr>
                <w:rFonts w:eastAsia="DengXian"/>
                <w:bCs/>
                <w:i/>
                <w:iCs/>
                <w:lang w:val="fr-FR"/>
              </w:rPr>
              <w:t>l</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0C77D9" w14:textId="77777777" w:rsidR="003B2887" w:rsidRPr="004A6BB1" w:rsidRDefault="003B2887" w:rsidP="006932FB">
            <w:pPr>
              <w:widowControl w:val="0"/>
              <w:ind w:right="282"/>
              <w:rPr>
                <w:rFonts w:eastAsia="DengXian"/>
                <w:bCs/>
                <w:lang w:val="fr-FR"/>
              </w:rPr>
            </w:pPr>
            <w:r w:rsidRPr="004A6BB1">
              <w:rPr>
                <w:rFonts w:eastAsia="DengXian"/>
                <w:bCs/>
                <w:lang w:val="fr-FR"/>
              </w:rPr>
              <w:t>Jusqu’à nouvel ordre</w:t>
            </w:r>
          </w:p>
        </w:tc>
      </w:tr>
    </w:tbl>
    <w:bookmarkEnd w:id="0"/>
    <w:p w14:paraId="47409AF0" w14:textId="77777777" w:rsidR="003B2887" w:rsidRPr="00E27375" w:rsidRDefault="003B2887" w:rsidP="003B2887">
      <w:pPr>
        <w:numPr>
          <w:ilvl w:val="0"/>
          <w:numId w:val="1"/>
        </w:numPr>
        <w:tabs>
          <w:tab w:val="clear" w:pos="1701"/>
        </w:tabs>
        <w:spacing w:before="120" w:after="120"/>
        <w:ind w:left="2410" w:right="1134"/>
        <w:jc w:val="both"/>
        <w:rPr>
          <w:lang w:val="fr-FR"/>
        </w:rPr>
      </w:pPr>
      <w:r w:rsidRPr="00351DBE">
        <w:rPr>
          <w:lang w:val="fr-FR"/>
        </w:rPr>
        <w:t xml:space="preserve">Pour la norme </w:t>
      </w:r>
      <w:r w:rsidRPr="00351DBE">
        <w:rPr>
          <w:lang w:val="fr-FR" w:eastAsia="en-US"/>
        </w:rPr>
        <w:t>ISO 11119-2:2012 + Amd 1:2014</w:t>
      </w:r>
      <w:r w:rsidRPr="00351DBE">
        <w:rPr>
          <w:lang w:val="fr-FR"/>
        </w:rPr>
        <w:t>, dans la colonne « Applicable à la fabrication », remplacer « Jusqu’à nouvel ordre » par « Jusqu’au 31 décembre 2028 ».</w:t>
      </w:r>
      <w:r>
        <w:rPr>
          <w:lang w:val="fr-FR"/>
        </w:rPr>
        <w:t xml:space="preserve"> </w:t>
      </w:r>
      <w:r w:rsidRPr="00351DBE">
        <w:rPr>
          <w:lang w:val="fr-FR"/>
        </w:rPr>
        <w:t xml:space="preserve">Après </w:t>
      </w:r>
      <w:r>
        <w:rPr>
          <w:lang w:val="fr-FR"/>
        </w:rPr>
        <w:t>cette</w:t>
      </w:r>
      <w:r w:rsidRPr="00351DBE">
        <w:rPr>
          <w:lang w:val="fr-FR"/>
        </w:rPr>
        <w:t xml:space="preserv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3B2887" w:rsidRPr="003338FD" w14:paraId="224A045C" w14:textId="77777777" w:rsidTr="006932FB">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484C3A1" w14:textId="77777777" w:rsidR="003B2887" w:rsidRPr="004A6BB1" w:rsidRDefault="003B2887" w:rsidP="006932FB">
            <w:pPr>
              <w:widowControl w:val="0"/>
              <w:ind w:left="141" w:right="282"/>
              <w:rPr>
                <w:rFonts w:eastAsia="DengXian"/>
                <w:bCs/>
                <w:lang w:val="fr-FR"/>
              </w:rPr>
            </w:pPr>
            <w:r w:rsidRPr="00427690">
              <w:rPr>
                <w:lang w:val="fr-FR" w:eastAsia="en-US"/>
              </w:rPr>
              <w:t>ISO 11119-2:2020</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451B42E" w14:textId="77777777" w:rsidR="003B2887" w:rsidRPr="004A6BB1" w:rsidRDefault="003B2887" w:rsidP="006932FB">
            <w:pPr>
              <w:widowControl w:val="0"/>
              <w:ind w:left="142" w:right="282"/>
              <w:rPr>
                <w:rFonts w:eastAsia="DengXian"/>
                <w:bCs/>
                <w:lang w:val="fr-FR"/>
              </w:rPr>
            </w:pPr>
            <w:r w:rsidRPr="003338FD">
              <w:rPr>
                <w:rFonts w:eastAsia="DengXian"/>
                <w:bCs/>
                <w:lang w:val="fr-FR"/>
              </w:rPr>
              <w:t>Bouteilles à gaz — Conception, construction et essais des tubes et bouteilles à gaz rechargeables en matériau composite — Partie 2: Tubes et bouteilles à gaz entièrement bobinés en matériau composite renforcés de fibres et d'une contenance allant jusqu'à 450</w:t>
            </w:r>
            <w:r w:rsidRPr="003338FD">
              <w:rPr>
                <w:rFonts w:eastAsia="DengXian"/>
                <w:bCs/>
                <w:i/>
                <w:iCs/>
                <w:lang w:val="fr-FR"/>
              </w:rPr>
              <w:t xml:space="preserve"> l </w:t>
            </w:r>
            <w:r w:rsidRPr="003338FD">
              <w:rPr>
                <w:rFonts w:eastAsia="DengXian"/>
                <w:bCs/>
                <w:lang w:val="fr-FR"/>
              </w:rPr>
              <w:t>avec liners métalliques structuraux</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D7A2780" w14:textId="77777777" w:rsidR="003B2887" w:rsidRPr="004A6BB1" w:rsidRDefault="003B2887" w:rsidP="006932FB">
            <w:pPr>
              <w:widowControl w:val="0"/>
              <w:ind w:left="45" w:right="139"/>
              <w:rPr>
                <w:rFonts w:eastAsia="DengXian"/>
                <w:bCs/>
                <w:lang w:val="fr-FR"/>
              </w:rPr>
            </w:pPr>
            <w:r w:rsidRPr="004A6BB1">
              <w:rPr>
                <w:rFonts w:eastAsia="DengXian"/>
                <w:bCs/>
                <w:lang w:val="fr-FR"/>
              </w:rPr>
              <w:t>Jusqu’à nouvel ordre</w:t>
            </w:r>
          </w:p>
        </w:tc>
      </w:tr>
    </w:tbl>
    <w:p w14:paraId="0C96135E" w14:textId="77777777" w:rsidR="003B2887" w:rsidRPr="003250D2" w:rsidRDefault="003B2887" w:rsidP="003B2887">
      <w:pPr>
        <w:numPr>
          <w:ilvl w:val="0"/>
          <w:numId w:val="1"/>
        </w:numPr>
        <w:tabs>
          <w:tab w:val="clear" w:pos="1701"/>
        </w:tabs>
        <w:spacing w:before="120" w:after="120"/>
        <w:ind w:left="2410" w:right="1134"/>
        <w:jc w:val="both"/>
        <w:rPr>
          <w:lang w:val="fr-FR"/>
        </w:rPr>
      </w:pPr>
      <w:r w:rsidRPr="003250D2">
        <w:rPr>
          <w:lang w:val="fr-FR"/>
        </w:rPr>
        <w:t xml:space="preserve">Pour la norme </w:t>
      </w:r>
      <w:r w:rsidRPr="003250D2">
        <w:rPr>
          <w:lang w:val="fr-FR" w:eastAsia="en-US"/>
        </w:rPr>
        <w:t>ISO 11119-3:2013</w:t>
      </w:r>
      <w:r w:rsidRPr="003250D2">
        <w:rPr>
          <w:lang w:val="fr-FR"/>
        </w:rPr>
        <w:t>, dans la colonne « Applicable à la fabrication », remplacer « Jusqu’à nouvel ordre » par « Jusqu’au 31 décembre 2028 ».</w:t>
      </w:r>
      <w:r>
        <w:rPr>
          <w:lang w:val="fr-FR"/>
        </w:rPr>
        <w:t xml:space="preserve"> </w:t>
      </w:r>
      <w:r w:rsidRPr="003250D2">
        <w:rPr>
          <w:lang w:val="fr-FR"/>
        </w:rPr>
        <w:t xml:space="preserve">Après </w:t>
      </w:r>
      <w:r>
        <w:rPr>
          <w:lang w:val="fr-FR"/>
        </w:rPr>
        <w:t>cette</w:t>
      </w:r>
      <w:r w:rsidRPr="003250D2">
        <w:rPr>
          <w:lang w:val="fr-FR"/>
        </w:rPr>
        <w:t xml:space="preserve"> ligne, ajouter la nouvelle ligne suivante :</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13"/>
        <w:gridCol w:w="1465"/>
      </w:tblGrid>
      <w:tr w:rsidR="003B2887" w:rsidRPr="003338FD" w14:paraId="43706214" w14:textId="77777777" w:rsidTr="006932FB">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471BDBC" w14:textId="77777777" w:rsidR="003B2887" w:rsidRPr="004A6BB1" w:rsidRDefault="003B2887" w:rsidP="006932FB">
            <w:pPr>
              <w:widowControl w:val="0"/>
              <w:ind w:left="141" w:right="282"/>
              <w:rPr>
                <w:rFonts w:eastAsia="DengXian"/>
                <w:bCs/>
                <w:lang w:val="fr-FR"/>
              </w:rPr>
            </w:pPr>
            <w:r w:rsidRPr="00490FB8">
              <w:rPr>
                <w:lang w:val="fr-FR" w:eastAsia="en-US"/>
              </w:rPr>
              <w:t>ISO 11119-3:2020</w:t>
            </w:r>
          </w:p>
        </w:tc>
        <w:tc>
          <w:tcPr>
            <w:tcW w:w="49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A88C52A" w14:textId="77777777" w:rsidR="003B2887" w:rsidRPr="004A6BB1" w:rsidRDefault="003B2887" w:rsidP="006932FB">
            <w:pPr>
              <w:widowControl w:val="0"/>
              <w:ind w:left="142" w:right="282"/>
              <w:rPr>
                <w:rFonts w:eastAsia="DengXian"/>
                <w:bCs/>
                <w:lang w:val="fr-FR"/>
              </w:rPr>
            </w:pPr>
            <w:r w:rsidRPr="003338FD">
              <w:rPr>
                <w:rFonts w:eastAsia="DengXian"/>
                <w:bCs/>
                <w:lang w:val="fr-FR"/>
              </w:rPr>
              <w:t>Bouteilles à gaz — Conception, construction et essais des tubes et bouteilles à gaz rechargeables en matériau composite — Partie 3: Tubes et bouteilles à gaz entièrement bobinés en matériau composite renforcés de fibres d'une contenance allant jusqu'à 450</w:t>
            </w:r>
            <w:r w:rsidRPr="003338FD">
              <w:rPr>
                <w:rFonts w:eastAsia="DengXian"/>
                <w:bCs/>
                <w:i/>
                <w:iCs/>
                <w:lang w:val="fr-FR"/>
              </w:rPr>
              <w:t xml:space="preserve"> l </w:t>
            </w:r>
            <w:r w:rsidRPr="003338FD">
              <w:rPr>
                <w:rFonts w:eastAsia="DengXian"/>
                <w:bCs/>
                <w:lang w:val="fr-FR"/>
              </w:rPr>
              <w:t>avec liners non métalliques ou métalliques non structuraux, ou sans liners</w:t>
            </w:r>
          </w:p>
        </w:tc>
        <w:tc>
          <w:tcPr>
            <w:tcW w:w="14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C00BD70" w14:textId="77777777" w:rsidR="003B2887" w:rsidRPr="004A6BB1" w:rsidRDefault="003B2887" w:rsidP="006932FB">
            <w:pPr>
              <w:widowControl w:val="0"/>
              <w:ind w:left="45" w:right="139"/>
              <w:rPr>
                <w:rFonts w:eastAsia="DengXian"/>
                <w:bCs/>
                <w:lang w:val="fr-FR"/>
              </w:rPr>
            </w:pPr>
            <w:r w:rsidRPr="004A6BB1">
              <w:rPr>
                <w:rFonts w:eastAsia="DengXian"/>
                <w:bCs/>
                <w:lang w:val="fr-FR"/>
              </w:rPr>
              <w:t>Jusqu’à nouvel ordre</w:t>
            </w:r>
          </w:p>
        </w:tc>
      </w:tr>
    </w:tbl>
    <w:p w14:paraId="496F84CA" w14:textId="77777777" w:rsidR="003B2887" w:rsidRPr="003338FD" w:rsidRDefault="003B2887" w:rsidP="003B2887">
      <w:pPr>
        <w:kinsoku/>
        <w:overflowPunct/>
        <w:autoSpaceDE/>
        <w:autoSpaceDN/>
        <w:adjustRightInd/>
        <w:snapToGrid/>
        <w:spacing w:before="120" w:after="120"/>
        <w:ind w:left="2268" w:right="1134" w:hanging="1134"/>
        <w:jc w:val="both"/>
        <w:rPr>
          <w:i/>
          <w:iCs/>
          <w:lang w:val="fr-FR" w:eastAsia="en-US"/>
        </w:rPr>
      </w:pPr>
      <w:r w:rsidRPr="003338FD">
        <w:rPr>
          <w:i/>
          <w:iCs/>
          <w:lang w:val="fr-FR" w:eastAsia="en-US"/>
        </w:rPr>
        <w:t>(Document de référence : document informel INF.7, tel que modifié)</w:t>
      </w:r>
    </w:p>
    <w:p w14:paraId="564605F5" w14:textId="77777777" w:rsidR="003B2887" w:rsidRPr="001C3126" w:rsidRDefault="003B2887" w:rsidP="003B2887">
      <w:pPr>
        <w:tabs>
          <w:tab w:val="left" w:pos="1701"/>
          <w:tab w:val="left" w:pos="2268"/>
          <w:tab w:val="left" w:pos="2835"/>
        </w:tabs>
        <w:spacing w:after="120"/>
        <w:ind w:left="1134" w:right="1134"/>
        <w:jc w:val="both"/>
        <w:rPr>
          <w:rFonts w:eastAsiaTheme="minorHAnsi"/>
          <w:lang w:val="fr-FR"/>
        </w:rPr>
      </w:pPr>
      <w:r w:rsidRPr="001C3126">
        <w:rPr>
          <w:rFonts w:eastAsiaTheme="minorHAnsi"/>
          <w:lang w:val="fr-FR"/>
        </w:rPr>
        <w:t>6.2.2.3</w:t>
      </w:r>
      <w:r w:rsidRPr="003338FD">
        <w:rPr>
          <w:rFonts w:eastAsiaTheme="minorHAnsi"/>
          <w:lang w:val="fr-FR"/>
        </w:rPr>
        <w:tab/>
      </w:r>
      <w:r w:rsidRPr="003338FD">
        <w:rPr>
          <w:rFonts w:eastAsiaTheme="minorHAnsi"/>
          <w:lang w:val="fr-FR"/>
        </w:rPr>
        <w:tab/>
        <w:t>A</w:t>
      </w:r>
      <w:r w:rsidRPr="001C3126">
        <w:rPr>
          <w:rFonts w:eastAsiaTheme="minorHAnsi"/>
          <w:lang w:val="fr-FR"/>
        </w:rPr>
        <w:t>jouter la nouvelle ligne suivante à la fin du premier tableau :</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961"/>
        <w:gridCol w:w="1417"/>
      </w:tblGrid>
      <w:tr w:rsidR="003B2887" w:rsidRPr="001C3126" w14:paraId="07B106ED" w14:textId="77777777" w:rsidTr="006932FB">
        <w:tc>
          <w:tcPr>
            <w:tcW w:w="2122" w:type="dxa"/>
            <w:tcBorders>
              <w:top w:val="single" w:sz="4" w:space="0" w:color="auto"/>
              <w:left w:val="single" w:sz="4" w:space="0" w:color="auto"/>
              <w:bottom w:val="single" w:sz="4" w:space="0" w:color="auto"/>
              <w:right w:val="single" w:sz="4" w:space="0" w:color="auto"/>
            </w:tcBorders>
          </w:tcPr>
          <w:p w14:paraId="575F7A45" w14:textId="77777777" w:rsidR="003B2887" w:rsidRPr="001C3126" w:rsidRDefault="003B2887" w:rsidP="006932FB">
            <w:pPr>
              <w:widowControl w:val="0"/>
              <w:ind w:right="282"/>
              <w:rPr>
                <w:lang w:val="fr-FR" w:eastAsia="en-US"/>
              </w:rPr>
            </w:pPr>
            <w:r w:rsidRPr="001C3126">
              <w:rPr>
                <w:lang w:val="fr-FR" w:eastAsia="en-US"/>
              </w:rPr>
              <w:t>ISO 23826:2021</w:t>
            </w:r>
          </w:p>
        </w:tc>
        <w:tc>
          <w:tcPr>
            <w:tcW w:w="4961" w:type="dxa"/>
            <w:tcBorders>
              <w:top w:val="single" w:sz="4" w:space="0" w:color="auto"/>
              <w:left w:val="single" w:sz="4" w:space="0" w:color="auto"/>
              <w:bottom w:val="single" w:sz="4" w:space="0" w:color="auto"/>
              <w:right w:val="single" w:sz="4" w:space="0" w:color="auto"/>
            </w:tcBorders>
          </w:tcPr>
          <w:p w14:paraId="04E282FC" w14:textId="77777777" w:rsidR="003B2887" w:rsidRPr="001C3126" w:rsidRDefault="003B2887" w:rsidP="006932FB">
            <w:pPr>
              <w:widowControl w:val="0"/>
              <w:ind w:right="282"/>
              <w:rPr>
                <w:lang w:val="fr-FR" w:eastAsia="en-US"/>
              </w:rPr>
            </w:pPr>
            <w:r w:rsidRPr="001C3126">
              <w:rPr>
                <w:lang w:val="fr-FR" w:eastAsia="en-US"/>
              </w:rPr>
              <w:t>Bouteilles à gaz − Robinets à boisseau sphérique − Spécifications et essais</w:t>
            </w:r>
          </w:p>
        </w:tc>
        <w:tc>
          <w:tcPr>
            <w:tcW w:w="1417" w:type="dxa"/>
            <w:tcBorders>
              <w:top w:val="single" w:sz="4" w:space="0" w:color="auto"/>
              <w:left w:val="single" w:sz="4" w:space="0" w:color="auto"/>
              <w:bottom w:val="single" w:sz="4" w:space="0" w:color="auto"/>
              <w:right w:val="single" w:sz="4" w:space="0" w:color="auto"/>
            </w:tcBorders>
          </w:tcPr>
          <w:p w14:paraId="00C7AFD4" w14:textId="77777777" w:rsidR="003B2887" w:rsidRPr="001C3126" w:rsidRDefault="003B2887" w:rsidP="006932FB">
            <w:pPr>
              <w:widowControl w:val="0"/>
              <w:ind w:right="28"/>
              <w:rPr>
                <w:lang w:val="fr-FR" w:eastAsia="en-US"/>
              </w:rPr>
            </w:pPr>
            <w:r w:rsidRPr="001C3126">
              <w:rPr>
                <w:lang w:val="fr-FR" w:eastAsia="en-US"/>
              </w:rPr>
              <w:t>Jusqu’à nouvel ordre</w:t>
            </w:r>
          </w:p>
        </w:tc>
      </w:tr>
    </w:tbl>
    <w:p w14:paraId="2D635A56" w14:textId="77777777" w:rsidR="003B2887" w:rsidRPr="003338FD" w:rsidRDefault="003B2887" w:rsidP="003B2887">
      <w:pPr>
        <w:kinsoku/>
        <w:overflowPunct/>
        <w:autoSpaceDE/>
        <w:autoSpaceDN/>
        <w:adjustRightInd/>
        <w:snapToGrid/>
        <w:spacing w:before="120" w:after="120"/>
        <w:ind w:left="2268" w:right="1134" w:hanging="1134"/>
        <w:jc w:val="both"/>
        <w:rPr>
          <w:i/>
          <w:iCs/>
          <w:lang w:val="fr-FR" w:eastAsia="en-US"/>
        </w:rPr>
      </w:pPr>
      <w:r w:rsidRPr="003338FD">
        <w:rPr>
          <w:i/>
          <w:iCs/>
          <w:lang w:val="fr-FR" w:eastAsia="en-US"/>
        </w:rPr>
        <w:t>(Document de référence : ST/SG/AC.10/C.3/2022/60, proposition 2)</w:t>
      </w:r>
    </w:p>
    <w:p w14:paraId="578D68F9" w14:textId="77777777" w:rsidR="003B2887" w:rsidRPr="003338FD" w:rsidRDefault="003B2887" w:rsidP="003B2887">
      <w:pPr>
        <w:pStyle w:val="H1G"/>
        <w:rPr>
          <w:lang w:val="fr-FR" w:eastAsia="en-US"/>
        </w:rPr>
      </w:pPr>
      <w:r w:rsidRPr="003338FD">
        <w:rPr>
          <w:lang w:val="fr-FR" w:eastAsia="en-US"/>
        </w:rPr>
        <w:tab/>
      </w:r>
      <w:r w:rsidRPr="003338FD">
        <w:rPr>
          <w:lang w:val="fr-FR" w:eastAsia="en-US"/>
        </w:rPr>
        <w:tab/>
        <w:t>Document ST/SG/AC.10/C.3/2022/75, Partie I, adopté avec les modifications suivantes :</w:t>
      </w:r>
    </w:p>
    <w:p w14:paraId="670104D7" w14:textId="77777777" w:rsidR="003B2887" w:rsidRPr="003338FD" w:rsidRDefault="003B2887" w:rsidP="003B2887">
      <w:pPr>
        <w:kinsoku/>
        <w:overflowPunct/>
        <w:autoSpaceDE/>
        <w:autoSpaceDN/>
        <w:adjustRightInd/>
        <w:snapToGrid/>
        <w:spacing w:after="120"/>
        <w:ind w:left="2268" w:right="1134" w:hanging="1134"/>
        <w:jc w:val="both"/>
        <w:rPr>
          <w:lang w:val="fr-FR" w:eastAsia="en-US"/>
        </w:rPr>
      </w:pPr>
      <w:r w:rsidRPr="003338FD">
        <w:rPr>
          <w:lang w:val="fr-FR" w:eastAsia="en-US"/>
        </w:rPr>
        <w:t xml:space="preserve">Supprimer tous les crochets. </w:t>
      </w:r>
    </w:p>
    <w:p w14:paraId="2D238F50" w14:textId="77777777" w:rsidR="003B2887" w:rsidRPr="003338FD" w:rsidRDefault="003B2887" w:rsidP="003B2887">
      <w:pPr>
        <w:kinsoku/>
        <w:overflowPunct/>
        <w:autoSpaceDE/>
        <w:autoSpaceDN/>
        <w:adjustRightInd/>
        <w:snapToGrid/>
        <w:spacing w:after="120"/>
        <w:ind w:left="2268" w:right="1134" w:hanging="1134"/>
        <w:jc w:val="both"/>
        <w:rPr>
          <w:lang w:val="fr-FR" w:eastAsia="en-US"/>
        </w:rPr>
      </w:pPr>
      <w:r w:rsidRPr="003338FD">
        <w:rPr>
          <w:lang w:val="fr-FR" w:eastAsia="en-US"/>
        </w:rPr>
        <w:t>2.9.2</w:t>
      </w:r>
      <w:r w:rsidRPr="003338FD">
        <w:rPr>
          <w:lang w:val="fr-FR" w:eastAsia="en-US"/>
        </w:rPr>
        <w:tab/>
        <w:t>Dans la nouvelle section pour les « Accumulateurs au sodium ionique », modifier la désignation pour le No ONU 3552 pour lire « ACCUMULATEURS AU SODIUM IONIQUE CONTENUS DANS UN ÉQUIPEMENT ou ACCUMULATEURS AU SODIUM IONIQUE EMBALLÉS AVEC UN ÉQUIPEMENT, à électrolyte organique ».</w:t>
      </w:r>
    </w:p>
    <w:p w14:paraId="483DB66C" w14:textId="77777777" w:rsidR="003B2887" w:rsidRPr="003338FD" w:rsidRDefault="003B2887" w:rsidP="003B2887">
      <w:pPr>
        <w:kinsoku/>
        <w:overflowPunct/>
        <w:autoSpaceDE/>
        <w:autoSpaceDN/>
        <w:adjustRightInd/>
        <w:snapToGrid/>
        <w:spacing w:after="120"/>
        <w:ind w:left="1134" w:right="1134"/>
        <w:jc w:val="both"/>
        <w:rPr>
          <w:lang w:val="fr-FR" w:eastAsia="en-US"/>
        </w:rPr>
      </w:pPr>
      <w:r w:rsidRPr="003338FD">
        <w:rPr>
          <w:lang w:val="fr-FR" w:eastAsia="en-US"/>
        </w:rPr>
        <w:t>Au chapitre 3.2, dans la Liste des marchandises dangereuses :</w:t>
      </w:r>
    </w:p>
    <w:p w14:paraId="028C1638" w14:textId="77777777" w:rsidR="003B2887" w:rsidRPr="003338FD" w:rsidRDefault="003B2887" w:rsidP="003B2887">
      <w:pPr>
        <w:pStyle w:val="Bullet1G"/>
        <w:numPr>
          <w:ilvl w:val="0"/>
          <w:numId w:val="1"/>
        </w:numPr>
        <w:tabs>
          <w:tab w:val="clear" w:pos="1701"/>
          <w:tab w:val="num" w:pos="2438"/>
        </w:tabs>
        <w:ind w:left="2438"/>
        <w:rPr>
          <w:lang w:val="fr-FR" w:eastAsia="en-US"/>
        </w:rPr>
      </w:pPr>
      <w:r w:rsidRPr="003338FD">
        <w:rPr>
          <w:lang w:val="fr-FR" w:eastAsia="en-US"/>
        </w:rPr>
        <w:t>Dans l’amendement relatif au No ONU 1010, remplacer « XXX » par « 402 » ;</w:t>
      </w:r>
    </w:p>
    <w:p w14:paraId="533D12AC" w14:textId="77777777" w:rsidR="003B2887" w:rsidRPr="003338FD" w:rsidRDefault="003B2887" w:rsidP="003B2887">
      <w:pPr>
        <w:pStyle w:val="Bullet1G"/>
        <w:numPr>
          <w:ilvl w:val="0"/>
          <w:numId w:val="1"/>
        </w:numPr>
        <w:tabs>
          <w:tab w:val="clear" w:pos="1701"/>
          <w:tab w:val="num" w:pos="2438"/>
        </w:tabs>
        <w:ind w:left="2438"/>
        <w:rPr>
          <w:lang w:val="fr-FR" w:eastAsia="en-US"/>
        </w:rPr>
      </w:pPr>
      <w:r w:rsidRPr="003338FD">
        <w:rPr>
          <w:lang w:val="fr-FR" w:eastAsia="en-US"/>
        </w:rPr>
        <w:t>Pour la nouvelle rubrique 3552, modifier la désignation en colonne (2) pour lire « ACCUMULATEURS AU SODIUM IONIQUE CONTENUS DANS UN ÉQUIPEMENT ou ACCUMULATEURS AU SODIUM IONIQUE EMBALLÉS AVEC UN ÉQUIPEMENT, à électrolyte organique ».</w:t>
      </w:r>
    </w:p>
    <w:p w14:paraId="69023065" w14:textId="77777777" w:rsidR="003B2887" w:rsidRPr="003338FD" w:rsidRDefault="003B2887" w:rsidP="003B2887">
      <w:pPr>
        <w:kinsoku/>
        <w:overflowPunct/>
        <w:autoSpaceDE/>
        <w:autoSpaceDN/>
        <w:adjustRightInd/>
        <w:snapToGrid/>
        <w:spacing w:after="120"/>
        <w:ind w:left="1134" w:right="1134"/>
        <w:jc w:val="both"/>
        <w:rPr>
          <w:lang w:val="fr-FR" w:eastAsia="en-US"/>
        </w:rPr>
      </w:pPr>
      <w:r w:rsidRPr="003338FD">
        <w:rPr>
          <w:lang w:val="fr-FR" w:eastAsia="en-US"/>
        </w:rPr>
        <w:t>Au chapitre 3.3 :</w:t>
      </w:r>
    </w:p>
    <w:p w14:paraId="1407705B" w14:textId="77777777" w:rsidR="003B2887" w:rsidRPr="003338FD" w:rsidRDefault="003B2887" w:rsidP="003B2887">
      <w:pPr>
        <w:pStyle w:val="Bullet1G"/>
        <w:numPr>
          <w:ilvl w:val="0"/>
          <w:numId w:val="1"/>
        </w:numPr>
        <w:tabs>
          <w:tab w:val="clear" w:pos="1701"/>
          <w:tab w:val="num" w:pos="2438"/>
        </w:tabs>
        <w:ind w:left="2438"/>
        <w:rPr>
          <w:lang w:val="fr-FR" w:eastAsia="en-US"/>
        </w:rPr>
      </w:pPr>
      <w:r w:rsidRPr="003338FD">
        <w:rPr>
          <w:lang w:val="fr-FR" w:eastAsia="en-US"/>
        </w:rPr>
        <w:t>Pour la nouvelle DS 401, remplacer « les batteries au sodium ionique » par « les piles et batteries au sodium ionique ».</w:t>
      </w:r>
    </w:p>
    <w:p w14:paraId="7C6E087B" w14:textId="77777777" w:rsidR="003B2887" w:rsidRPr="003338FD" w:rsidRDefault="003B2887" w:rsidP="003B2887">
      <w:pPr>
        <w:pStyle w:val="Bullet1G"/>
        <w:numPr>
          <w:ilvl w:val="0"/>
          <w:numId w:val="1"/>
        </w:numPr>
        <w:tabs>
          <w:tab w:val="clear" w:pos="1701"/>
          <w:tab w:val="num" w:pos="2438"/>
        </w:tabs>
        <w:ind w:left="2438"/>
        <w:rPr>
          <w:lang w:val="fr-FR" w:eastAsia="en-US"/>
        </w:rPr>
      </w:pPr>
      <w:r w:rsidRPr="003338FD">
        <w:rPr>
          <w:lang w:val="fr-FR" w:eastAsia="en-US"/>
        </w:rPr>
        <w:t>Renuméroter la nouvelle DS XXX en tant que DS 402</w:t>
      </w:r>
    </w:p>
    <w:p w14:paraId="24484415" w14:textId="77777777" w:rsidR="003B2887" w:rsidRPr="003338FD" w:rsidRDefault="003B2887" w:rsidP="003B2887">
      <w:pPr>
        <w:kinsoku/>
        <w:overflowPunct/>
        <w:autoSpaceDE/>
        <w:autoSpaceDN/>
        <w:adjustRightInd/>
        <w:snapToGrid/>
        <w:spacing w:after="120"/>
        <w:ind w:left="1134" w:right="1134"/>
        <w:jc w:val="both"/>
        <w:rPr>
          <w:lang w:val="fr-FR" w:eastAsia="en-US"/>
        </w:rPr>
      </w:pPr>
      <w:r w:rsidRPr="003338FD">
        <w:rPr>
          <w:lang w:val="fr-FR" w:eastAsia="en-US"/>
        </w:rPr>
        <w:t>Dans le tableau avec les nouvelles rubriques à ajouter dans l’index alphabétique, ajouter les nouvelles rubriques suivantes :</w:t>
      </w:r>
    </w:p>
    <w:tbl>
      <w:tblPr>
        <w:tblStyle w:val="TableGrid1"/>
        <w:tblW w:w="7371" w:type="dxa"/>
        <w:tblInd w:w="1134" w:type="dxa"/>
        <w:tblLayout w:type="fixed"/>
        <w:tblCellMar>
          <w:left w:w="57" w:type="dxa"/>
          <w:right w:w="57" w:type="dxa"/>
        </w:tblCellMar>
        <w:tblLook w:val="04A0" w:firstRow="1" w:lastRow="0" w:firstColumn="1" w:lastColumn="0" w:noHBand="0" w:noVBand="1"/>
      </w:tblPr>
      <w:tblGrid>
        <w:gridCol w:w="5060"/>
        <w:gridCol w:w="1157"/>
        <w:gridCol w:w="1154"/>
      </w:tblGrid>
      <w:tr w:rsidR="003B2887" w:rsidRPr="003338FD" w14:paraId="70856967" w14:textId="77777777" w:rsidTr="006932FB">
        <w:trPr>
          <w:trHeight w:val="340"/>
        </w:trPr>
        <w:tc>
          <w:tcPr>
            <w:tcW w:w="3432" w:type="pct"/>
            <w:vAlign w:val="center"/>
          </w:tcPr>
          <w:p w14:paraId="0368949A" w14:textId="77777777" w:rsidR="003B2887" w:rsidRPr="003338FD" w:rsidRDefault="003B2887" w:rsidP="006932FB">
            <w:pPr>
              <w:tabs>
                <w:tab w:val="left" w:pos="1701"/>
                <w:tab w:val="left" w:pos="2268"/>
                <w:tab w:val="left" w:pos="2835"/>
              </w:tabs>
              <w:spacing w:line="240" w:lineRule="auto"/>
              <w:rPr>
                <w:sz w:val="18"/>
                <w:szCs w:val="18"/>
                <w:lang w:val="fr-FR"/>
              </w:rPr>
            </w:pPr>
            <w:r w:rsidRPr="003338FD">
              <w:rPr>
                <w:sz w:val="18"/>
                <w:szCs w:val="18"/>
                <w:lang w:val="fr-FR"/>
              </w:rPr>
              <w:t>ACCUMULATEURS AU SODIUM IONIQUE à électrolyte organique</w:t>
            </w:r>
          </w:p>
        </w:tc>
        <w:tc>
          <w:tcPr>
            <w:tcW w:w="785" w:type="pct"/>
            <w:vAlign w:val="center"/>
          </w:tcPr>
          <w:p w14:paraId="5E19898C" w14:textId="77777777" w:rsidR="003B2887" w:rsidRPr="003338FD" w:rsidRDefault="003B2887" w:rsidP="006932FB">
            <w:pPr>
              <w:tabs>
                <w:tab w:val="left" w:pos="1701"/>
                <w:tab w:val="left" w:pos="2268"/>
                <w:tab w:val="left" w:pos="2835"/>
              </w:tabs>
              <w:spacing w:line="240" w:lineRule="auto"/>
              <w:rPr>
                <w:sz w:val="18"/>
                <w:szCs w:val="18"/>
                <w:lang w:val="fr-FR"/>
              </w:rPr>
            </w:pPr>
            <w:r w:rsidRPr="003338FD">
              <w:rPr>
                <w:sz w:val="18"/>
                <w:szCs w:val="18"/>
                <w:lang w:val="fr-FR"/>
              </w:rPr>
              <w:t>9</w:t>
            </w:r>
          </w:p>
        </w:tc>
        <w:tc>
          <w:tcPr>
            <w:tcW w:w="783" w:type="pct"/>
            <w:vAlign w:val="center"/>
          </w:tcPr>
          <w:p w14:paraId="14BEA324" w14:textId="77777777" w:rsidR="003B2887" w:rsidRPr="003338FD" w:rsidRDefault="003B2887" w:rsidP="006932FB">
            <w:pPr>
              <w:tabs>
                <w:tab w:val="left" w:pos="1701"/>
                <w:tab w:val="left" w:pos="2268"/>
                <w:tab w:val="left" w:pos="2835"/>
              </w:tabs>
              <w:spacing w:line="240" w:lineRule="auto"/>
              <w:rPr>
                <w:sz w:val="18"/>
                <w:szCs w:val="18"/>
                <w:lang w:val="fr-FR"/>
              </w:rPr>
            </w:pPr>
            <w:r w:rsidRPr="003338FD">
              <w:rPr>
                <w:sz w:val="18"/>
                <w:szCs w:val="18"/>
                <w:lang w:val="fr-FR"/>
              </w:rPr>
              <w:t>3551</w:t>
            </w:r>
          </w:p>
        </w:tc>
      </w:tr>
      <w:tr w:rsidR="003B2887" w:rsidRPr="003338FD" w14:paraId="05F50BD3" w14:textId="77777777" w:rsidTr="006932FB">
        <w:trPr>
          <w:trHeight w:val="340"/>
        </w:trPr>
        <w:tc>
          <w:tcPr>
            <w:tcW w:w="3432" w:type="pct"/>
            <w:vAlign w:val="center"/>
          </w:tcPr>
          <w:p w14:paraId="49297FA4" w14:textId="77777777" w:rsidR="003B2887" w:rsidRPr="003338FD" w:rsidRDefault="003B2887" w:rsidP="006932FB">
            <w:pPr>
              <w:tabs>
                <w:tab w:val="left" w:pos="1701"/>
                <w:tab w:val="left" w:pos="2268"/>
                <w:tab w:val="left" w:pos="2835"/>
              </w:tabs>
              <w:spacing w:line="240" w:lineRule="auto"/>
              <w:rPr>
                <w:sz w:val="18"/>
                <w:szCs w:val="18"/>
                <w:lang w:val="fr-FR"/>
              </w:rPr>
            </w:pPr>
            <w:r w:rsidRPr="003338FD">
              <w:rPr>
                <w:sz w:val="18"/>
                <w:szCs w:val="18"/>
                <w:lang w:val="fr-FR"/>
              </w:rPr>
              <w:t>ACCUMULATEURS AU SODIUM IONIQUE CONTENUS DANS UN ÉQUIPEMENT, à électrolyte organique</w:t>
            </w:r>
          </w:p>
        </w:tc>
        <w:tc>
          <w:tcPr>
            <w:tcW w:w="785" w:type="pct"/>
            <w:vAlign w:val="center"/>
          </w:tcPr>
          <w:p w14:paraId="58128DB8" w14:textId="77777777" w:rsidR="003B2887" w:rsidRPr="003338FD" w:rsidRDefault="003B2887" w:rsidP="006932FB">
            <w:pPr>
              <w:tabs>
                <w:tab w:val="left" w:pos="1701"/>
                <w:tab w:val="left" w:pos="2268"/>
                <w:tab w:val="left" w:pos="2835"/>
              </w:tabs>
              <w:spacing w:line="240" w:lineRule="auto"/>
              <w:rPr>
                <w:sz w:val="18"/>
                <w:szCs w:val="18"/>
                <w:lang w:val="fr-FR"/>
              </w:rPr>
            </w:pPr>
            <w:r w:rsidRPr="003338FD">
              <w:rPr>
                <w:sz w:val="18"/>
                <w:szCs w:val="18"/>
                <w:lang w:val="fr-FR"/>
              </w:rPr>
              <w:t>9</w:t>
            </w:r>
          </w:p>
        </w:tc>
        <w:tc>
          <w:tcPr>
            <w:tcW w:w="783" w:type="pct"/>
            <w:vAlign w:val="center"/>
          </w:tcPr>
          <w:p w14:paraId="5AD3AF33" w14:textId="77777777" w:rsidR="003B2887" w:rsidRPr="003338FD" w:rsidRDefault="003B2887" w:rsidP="006932FB">
            <w:pPr>
              <w:tabs>
                <w:tab w:val="left" w:pos="1701"/>
                <w:tab w:val="left" w:pos="2268"/>
                <w:tab w:val="left" w:pos="2835"/>
              </w:tabs>
              <w:spacing w:line="240" w:lineRule="auto"/>
              <w:rPr>
                <w:sz w:val="18"/>
                <w:szCs w:val="18"/>
                <w:lang w:val="fr-FR"/>
              </w:rPr>
            </w:pPr>
            <w:r w:rsidRPr="003338FD">
              <w:rPr>
                <w:sz w:val="18"/>
                <w:szCs w:val="18"/>
                <w:lang w:val="fr-FR"/>
              </w:rPr>
              <w:t>3552</w:t>
            </w:r>
          </w:p>
        </w:tc>
      </w:tr>
      <w:tr w:rsidR="003B2887" w:rsidRPr="003338FD" w14:paraId="57A60D22" w14:textId="77777777" w:rsidTr="006932FB">
        <w:trPr>
          <w:trHeight w:val="340"/>
        </w:trPr>
        <w:tc>
          <w:tcPr>
            <w:tcW w:w="3432" w:type="pct"/>
            <w:vAlign w:val="center"/>
          </w:tcPr>
          <w:p w14:paraId="24D35E64" w14:textId="77777777" w:rsidR="003B2887" w:rsidRPr="003338FD" w:rsidRDefault="003B2887" w:rsidP="006932FB">
            <w:pPr>
              <w:tabs>
                <w:tab w:val="left" w:pos="1701"/>
                <w:tab w:val="left" w:pos="2268"/>
                <w:tab w:val="left" w:pos="2835"/>
              </w:tabs>
              <w:spacing w:line="240" w:lineRule="auto"/>
              <w:rPr>
                <w:sz w:val="18"/>
                <w:szCs w:val="18"/>
                <w:lang w:val="fr-FR"/>
              </w:rPr>
            </w:pPr>
            <w:r w:rsidRPr="003338FD">
              <w:rPr>
                <w:sz w:val="18"/>
                <w:szCs w:val="18"/>
                <w:lang w:val="fr-FR"/>
              </w:rPr>
              <w:t>ACCUMULATEURS AU SODIUM IONIQUE EMBALLÉS AVEC UN ÉQUIPEMENT, à électrolyte organique</w:t>
            </w:r>
          </w:p>
        </w:tc>
        <w:tc>
          <w:tcPr>
            <w:tcW w:w="785" w:type="pct"/>
            <w:vAlign w:val="center"/>
          </w:tcPr>
          <w:p w14:paraId="5BD8F9C5" w14:textId="77777777" w:rsidR="003B2887" w:rsidRPr="003338FD" w:rsidRDefault="003B2887" w:rsidP="006932FB">
            <w:pPr>
              <w:tabs>
                <w:tab w:val="left" w:pos="1701"/>
                <w:tab w:val="left" w:pos="2268"/>
                <w:tab w:val="left" w:pos="2835"/>
              </w:tabs>
              <w:spacing w:line="240" w:lineRule="auto"/>
              <w:rPr>
                <w:sz w:val="18"/>
                <w:szCs w:val="18"/>
                <w:lang w:val="fr-FR"/>
              </w:rPr>
            </w:pPr>
            <w:r w:rsidRPr="003338FD">
              <w:rPr>
                <w:sz w:val="18"/>
                <w:szCs w:val="18"/>
                <w:lang w:val="fr-FR"/>
              </w:rPr>
              <w:t>9</w:t>
            </w:r>
          </w:p>
        </w:tc>
        <w:tc>
          <w:tcPr>
            <w:tcW w:w="783" w:type="pct"/>
            <w:vAlign w:val="center"/>
          </w:tcPr>
          <w:p w14:paraId="2DF2D36F" w14:textId="77777777" w:rsidR="003B2887" w:rsidRPr="003338FD" w:rsidRDefault="003B2887" w:rsidP="006932FB">
            <w:pPr>
              <w:tabs>
                <w:tab w:val="left" w:pos="1701"/>
                <w:tab w:val="left" w:pos="2268"/>
                <w:tab w:val="left" w:pos="2835"/>
              </w:tabs>
              <w:spacing w:line="240" w:lineRule="auto"/>
              <w:rPr>
                <w:sz w:val="18"/>
                <w:szCs w:val="18"/>
                <w:lang w:val="fr-FR"/>
              </w:rPr>
            </w:pPr>
            <w:r w:rsidRPr="003338FD">
              <w:rPr>
                <w:sz w:val="18"/>
                <w:szCs w:val="18"/>
                <w:lang w:val="fr-FR"/>
              </w:rPr>
              <w:t>3552</w:t>
            </w:r>
          </w:p>
        </w:tc>
      </w:tr>
    </w:tbl>
    <w:p w14:paraId="1852B9F4" w14:textId="77777777" w:rsidR="003B2887" w:rsidRPr="003338FD" w:rsidRDefault="003B2887" w:rsidP="003B2887">
      <w:pPr>
        <w:kinsoku/>
        <w:overflowPunct/>
        <w:autoSpaceDE/>
        <w:autoSpaceDN/>
        <w:adjustRightInd/>
        <w:snapToGrid/>
        <w:spacing w:before="120" w:after="120"/>
        <w:ind w:left="2268" w:right="1134" w:hanging="1134"/>
        <w:jc w:val="both"/>
        <w:rPr>
          <w:lang w:val="fr-FR" w:eastAsia="en-US"/>
        </w:rPr>
      </w:pPr>
      <w:r w:rsidRPr="003338FD">
        <w:rPr>
          <w:lang w:val="fr-FR" w:eastAsia="en-US"/>
        </w:rPr>
        <w:t>6.1.4.12</w:t>
      </w:r>
      <w:r w:rsidRPr="003338FD">
        <w:rPr>
          <w:lang w:val="fr-FR" w:eastAsia="en-US"/>
        </w:rPr>
        <w:tab/>
        <w:t>La modification ne s’applique pas au texte français.</w:t>
      </w:r>
    </w:p>
    <w:p w14:paraId="38B48EFF"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document informel INF.39/Rev.1)</w:t>
      </w:r>
    </w:p>
    <w:p w14:paraId="01DE9FD0" w14:textId="77777777" w:rsidR="003B2887" w:rsidRPr="003338FD" w:rsidRDefault="003B2887" w:rsidP="003B2887">
      <w:pPr>
        <w:kinsoku/>
        <w:overflowPunct/>
        <w:autoSpaceDE/>
        <w:autoSpaceDN/>
        <w:adjustRightInd/>
        <w:snapToGrid/>
        <w:spacing w:after="120"/>
        <w:ind w:left="2268" w:right="1134" w:hanging="1134"/>
        <w:jc w:val="both"/>
        <w:rPr>
          <w:lang w:val="fr-FR" w:eastAsia="en-US"/>
        </w:rPr>
      </w:pPr>
      <w:r w:rsidRPr="003338FD">
        <w:rPr>
          <w:lang w:val="fr-FR" w:eastAsia="en-US"/>
        </w:rPr>
        <w:t>6.2.2.4</w:t>
      </w:r>
      <w:r w:rsidRPr="003338FD">
        <w:rPr>
          <w:lang w:val="fr-FR" w:eastAsia="en-US"/>
        </w:rPr>
        <w:tab/>
        <w:t>La modification ne s’applique pas au texte français.</w:t>
      </w:r>
    </w:p>
    <w:p w14:paraId="54A59380"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document informel INF.39/Rev.1)</w:t>
      </w:r>
    </w:p>
    <w:p w14:paraId="6F188465" w14:textId="77777777" w:rsidR="003B2887" w:rsidRPr="003338FD" w:rsidRDefault="003B2887" w:rsidP="003B2887">
      <w:pPr>
        <w:kinsoku/>
        <w:overflowPunct/>
        <w:autoSpaceDE/>
        <w:autoSpaceDN/>
        <w:adjustRightInd/>
        <w:snapToGrid/>
        <w:spacing w:after="120"/>
        <w:ind w:left="2268" w:right="1134" w:hanging="1134"/>
        <w:jc w:val="both"/>
        <w:rPr>
          <w:lang w:val="fr-FR" w:eastAsia="en-US"/>
        </w:rPr>
      </w:pPr>
      <w:r w:rsidRPr="003338FD">
        <w:rPr>
          <w:lang w:val="fr-FR" w:eastAsia="en-US"/>
        </w:rPr>
        <w:t>6.2.2.11</w:t>
      </w:r>
      <w:r w:rsidRPr="003338FD">
        <w:rPr>
          <w:lang w:val="fr-FR" w:eastAsia="en-US"/>
        </w:rPr>
        <w:tab/>
        <w:t>La modification ne s’applique pas au texte français.</w:t>
      </w:r>
    </w:p>
    <w:p w14:paraId="1A9C00F1"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document informel INF.39/Rev.1)</w:t>
      </w:r>
    </w:p>
    <w:p w14:paraId="6DDCE6E7" w14:textId="77777777" w:rsidR="003B2887" w:rsidRPr="003338FD" w:rsidRDefault="003B2887" w:rsidP="003B2887">
      <w:pPr>
        <w:keepNext/>
        <w:keepLines/>
        <w:tabs>
          <w:tab w:val="right" w:pos="851"/>
        </w:tabs>
        <w:spacing w:before="360" w:after="240" w:line="270" w:lineRule="exact"/>
        <w:ind w:left="1134" w:right="1134" w:hanging="1134"/>
        <w:outlineLvl w:val="2"/>
        <w:rPr>
          <w:rFonts w:eastAsiaTheme="minorHAnsi"/>
          <w:b/>
          <w:sz w:val="24"/>
          <w:lang w:val="fr-FR" w:eastAsia="en-US"/>
        </w:rPr>
      </w:pPr>
      <w:r w:rsidRPr="003338FD">
        <w:rPr>
          <w:rFonts w:eastAsiaTheme="minorHAnsi"/>
          <w:b/>
          <w:sz w:val="24"/>
          <w:lang w:val="fr-FR" w:eastAsia="en-US"/>
        </w:rPr>
        <w:tab/>
      </w:r>
      <w:r w:rsidRPr="003338FD">
        <w:rPr>
          <w:rFonts w:eastAsiaTheme="minorHAnsi"/>
          <w:b/>
          <w:sz w:val="24"/>
          <w:lang w:val="fr-FR" w:eastAsia="en-US"/>
        </w:rPr>
        <w:tab/>
        <w:t>Le document informel INF.11 de la soixante-et-unième session avec des amendements complémentaires à la version espagnole a été adopté.</w:t>
      </w:r>
    </w:p>
    <w:p w14:paraId="57AD36D6" w14:textId="77777777" w:rsidR="003B2887" w:rsidRDefault="003B2887">
      <w:pPr>
        <w:suppressAutoHyphens w:val="0"/>
        <w:kinsoku/>
        <w:overflowPunct/>
        <w:autoSpaceDE/>
        <w:autoSpaceDN/>
        <w:adjustRightInd/>
        <w:snapToGrid/>
        <w:spacing w:after="200" w:line="276" w:lineRule="auto"/>
        <w:rPr>
          <w:b/>
          <w:sz w:val="28"/>
          <w:lang w:val="fr-FR"/>
        </w:rPr>
      </w:pPr>
      <w:r>
        <w:rPr>
          <w:lang w:val="fr-FR"/>
        </w:rPr>
        <w:br w:type="page"/>
      </w:r>
    </w:p>
    <w:p w14:paraId="4E932573" w14:textId="644C217A" w:rsidR="003B2887" w:rsidRPr="003338FD" w:rsidRDefault="003B2887" w:rsidP="003B2887">
      <w:pPr>
        <w:pStyle w:val="HChG"/>
        <w:rPr>
          <w:lang w:val="fr-FR"/>
        </w:rPr>
      </w:pPr>
      <w:r w:rsidRPr="003338FD">
        <w:rPr>
          <w:lang w:val="fr-FR"/>
        </w:rPr>
        <w:tab/>
        <w:t>II.</w:t>
      </w:r>
      <w:r w:rsidRPr="003338FD">
        <w:rPr>
          <w:lang w:val="fr-FR"/>
        </w:rPr>
        <w:tab/>
        <w:t xml:space="preserve">Projet d’amendements à la septième édition révisée du Manuel d’épreuves et de critères (ST/SG/AC.10/11/Rev.7 et Amend.1) </w:t>
      </w:r>
    </w:p>
    <w:p w14:paraId="7E109E97" w14:textId="77777777" w:rsidR="003B2887" w:rsidRPr="003338FD" w:rsidRDefault="003B2887" w:rsidP="003B2887">
      <w:pPr>
        <w:keepNext/>
        <w:keepLines/>
        <w:tabs>
          <w:tab w:val="right" w:pos="851"/>
        </w:tabs>
        <w:kinsoku/>
        <w:overflowPunct/>
        <w:autoSpaceDE/>
        <w:autoSpaceDN/>
        <w:adjustRightInd/>
        <w:snapToGrid/>
        <w:spacing w:before="360" w:after="240" w:line="270" w:lineRule="exact"/>
        <w:ind w:left="1134" w:right="1134" w:hanging="1134"/>
        <w:rPr>
          <w:b/>
          <w:sz w:val="24"/>
          <w:lang w:val="fr-FR" w:eastAsia="en-US"/>
        </w:rPr>
      </w:pPr>
      <w:r w:rsidRPr="003338FD">
        <w:rPr>
          <w:b/>
          <w:sz w:val="24"/>
          <w:lang w:val="fr-FR" w:eastAsia="en-US"/>
        </w:rPr>
        <w:tab/>
      </w:r>
      <w:r w:rsidRPr="003338FD">
        <w:rPr>
          <w:b/>
          <w:sz w:val="24"/>
          <w:lang w:val="fr-FR" w:eastAsia="en-US"/>
        </w:rPr>
        <w:tab/>
        <w:t>Section 1</w:t>
      </w:r>
    </w:p>
    <w:p w14:paraId="5EA103AF" w14:textId="77777777" w:rsidR="003B2887" w:rsidRPr="003338FD" w:rsidRDefault="003B2887" w:rsidP="003B2887">
      <w:pPr>
        <w:kinsoku/>
        <w:overflowPunct/>
        <w:autoSpaceDE/>
        <w:autoSpaceDN/>
        <w:adjustRightInd/>
        <w:snapToGrid/>
        <w:spacing w:after="120"/>
        <w:ind w:left="2268" w:right="1134" w:hanging="1134"/>
        <w:jc w:val="both"/>
        <w:rPr>
          <w:lang w:val="fr-FR" w:eastAsia="en-US"/>
        </w:rPr>
      </w:pPr>
      <w:r w:rsidRPr="003338FD">
        <w:rPr>
          <w:lang w:val="fr-FR" w:eastAsia="en-US"/>
        </w:rPr>
        <w:t>1.2.1.4.3</w:t>
      </w:r>
      <w:r w:rsidRPr="003338FD">
        <w:rPr>
          <w:lang w:val="fr-FR" w:eastAsia="en-US"/>
        </w:rPr>
        <w:tab/>
        <w:t>Modifier le début de la première phrase pour lire : « Les matières autoréactives (du type A au type G), les peroxydes organiques (du type A au type G), ou les matières qui polymérisent ne doivent pas être éprouvés… ». À la fin de la première phrase, dans le texte entre parenthèses, après « décomposition thermique » ajouter « ou à la polymérisation ».</w:t>
      </w:r>
    </w:p>
    <w:p w14:paraId="62174217"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ST/SG/AC.10/C.3/2022/57, avec une modification rédactionnelle)</w:t>
      </w:r>
    </w:p>
    <w:p w14:paraId="314F4D50" w14:textId="77777777" w:rsidR="003B2887" w:rsidRPr="003338FD" w:rsidRDefault="003B2887" w:rsidP="003B2887">
      <w:pPr>
        <w:keepNext/>
        <w:keepLines/>
        <w:tabs>
          <w:tab w:val="right" w:pos="851"/>
        </w:tabs>
        <w:kinsoku/>
        <w:overflowPunct/>
        <w:autoSpaceDE/>
        <w:autoSpaceDN/>
        <w:adjustRightInd/>
        <w:snapToGrid/>
        <w:spacing w:before="360" w:after="240" w:line="270" w:lineRule="exact"/>
        <w:ind w:left="1134" w:right="1134" w:hanging="1134"/>
        <w:rPr>
          <w:b/>
          <w:sz w:val="24"/>
          <w:lang w:val="fr-FR" w:eastAsia="en-US"/>
        </w:rPr>
      </w:pPr>
      <w:r w:rsidRPr="003338FD">
        <w:rPr>
          <w:b/>
          <w:sz w:val="24"/>
          <w:lang w:val="fr-FR" w:eastAsia="en-US"/>
        </w:rPr>
        <w:tab/>
      </w:r>
      <w:r w:rsidRPr="003338FD">
        <w:rPr>
          <w:b/>
          <w:sz w:val="24"/>
          <w:lang w:val="fr-FR" w:eastAsia="en-US"/>
        </w:rPr>
        <w:tab/>
        <w:t>Section 20</w:t>
      </w:r>
    </w:p>
    <w:p w14:paraId="4A55D18D" w14:textId="77777777" w:rsidR="003B2887" w:rsidRPr="003338FD" w:rsidRDefault="003B2887" w:rsidP="003B2887">
      <w:pPr>
        <w:kinsoku/>
        <w:overflowPunct/>
        <w:autoSpaceDE/>
        <w:autoSpaceDN/>
        <w:adjustRightInd/>
        <w:snapToGrid/>
        <w:spacing w:after="120"/>
        <w:ind w:left="2268" w:right="1134" w:hanging="1134"/>
        <w:jc w:val="both"/>
        <w:rPr>
          <w:lang w:val="fr-FR" w:eastAsia="en-US"/>
        </w:rPr>
      </w:pPr>
      <w:r w:rsidRPr="003338FD">
        <w:rPr>
          <w:lang w:val="fr-FR" w:eastAsia="en-US"/>
        </w:rPr>
        <w:t>20.2.5</w:t>
      </w:r>
      <w:r w:rsidRPr="003338FD">
        <w:rPr>
          <w:lang w:val="fr-FR" w:eastAsia="en-US"/>
        </w:rPr>
        <w:tab/>
        <w:t>Après « (du type A au type G) » ajouter « , d’un peroxyde organique (du type A au type G), ou d’une matière qui polymérise ». À la fin, dans le texte entre parenthèses, après « décomposition thermique » ajouter « ou à la polymérisation ».</w:t>
      </w:r>
    </w:p>
    <w:p w14:paraId="5954DFBE"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ST/SG/AC.10/C.3/2022/57)</w:t>
      </w:r>
    </w:p>
    <w:p w14:paraId="28186DD7" w14:textId="77777777" w:rsidR="003B2887" w:rsidRPr="00870A4B" w:rsidRDefault="003B2887" w:rsidP="003B2887">
      <w:pPr>
        <w:pStyle w:val="H1G"/>
        <w:rPr>
          <w:lang w:val="fr-FR"/>
        </w:rPr>
      </w:pPr>
      <w:r w:rsidRPr="00870A4B">
        <w:rPr>
          <w:lang w:val="fr-FR"/>
        </w:rPr>
        <w:tab/>
      </w:r>
      <w:r w:rsidRPr="00870A4B">
        <w:rPr>
          <w:lang w:val="fr-FR"/>
        </w:rPr>
        <w:tab/>
        <w:t>Section 32</w:t>
      </w:r>
    </w:p>
    <w:p w14:paraId="4C3AA793" w14:textId="77777777" w:rsidR="003B2887" w:rsidRPr="00870A4B" w:rsidRDefault="003B2887" w:rsidP="003B2887">
      <w:pPr>
        <w:pStyle w:val="SingleTxtG"/>
        <w:tabs>
          <w:tab w:val="left" w:pos="2268"/>
        </w:tabs>
        <w:ind w:left="2268" w:hanging="1134"/>
        <w:rPr>
          <w:lang w:val="fr-FR"/>
        </w:rPr>
      </w:pPr>
      <w:r w:rsidRPr="00870A4B">
        <w:rPr>
          <w:lang w:val="fr-FR"/>
        </w:rPr>
        <w:t>32.2.3</w:t>
      </w:r>
      <w:r w:rsidRPr="00870A4B">
        <w:rPr>
          <w:lang w:val="fr-FR"/>
        </w:rPr>
        <w:tab/>
        <w:t>Dans la troisième phrase, supprimer « en creuset fermé ou plus de 65,6 °C en creuset ouvert ».</w:t>
      </w:r>
    </w:p>
    <w:p w14:paraId="013B7D69" w14:textId="77777777" w:rsidR="003B2887" w:rsidRPr="00870A4B" w:rsidRDefault="003B2887" w:rsidP="003B2887">
      <w:pPr>
        <w:kinsoku/>
        <w:overflowPunct/>
        <w:autoSpaceDE/>
        <w:adjustRightInd/>
        <w:snapToGrid/>
        <w:spacing w:after="120"/>
        <w:ind w:left="1134" w:right="1134"/>
        <w:jc w:val="both"/>
        <w:rPr>
          <w:i/>
          <w:iCs/>
          <w:lang w:val="fr-FR" w:eastAsia="en-US"/>
        </w:rPr>
      </w:pPr>
      <w:r w:rsidRPr="00870A4B">
        <w:rPr>
          <w:i/>
          <w:iCs/>
          <w:lang w:val="fr-FR" w:eastAsia="en-US"/>
        </w:rPr>
        <w:t>(Document de référence : ST/SG/AC.10/C.3/2022/52)</w:t>
      </w:r>
    </w:p>
    <w:p w14:paraId="6246D1CD" w14:textId="77777777" w:rsidR="003B2887" w:rsidRPr="00870A4B" w:rsidRDefault="003B2887" w:rsidP="003B2887">
      <w:pPr>
        <w:pStyle w:val="SingleTxtG"/>
        <w:tabs>
          <w:tab w:val="left" w:pos="2268"/>
        </w:tabs>
        <w:ind w:left="2268" w:hanging="1134"/>
        <w:rPr>
          <w:lang w:val="fr-FR"/>
        </w:rPr>
      </w:pPr>
      <w:r w:rsidRPr="00870A4B">
        <w:rPr>
          <w:lang w:val="fr-FR"/>
        </w:rPr>
        <w:t>32.4</w:t>
      </w:r>
      <w:r w:rsidRPr="00870A4B">
        <w:rPr>
          <w:lang w:val="fr-FR"/>
        </w:rPr>
        <w:tab/>
        <w:t>Ajouter le nouveau paragraphe suivant sous le titre :</w:t>
      </w:r>
    </w:p>
    <w:p w14:paraId="51EB8934" w14:textId="77777777" w:rsidR="003B2887" w:rsidRPr="00870A4B" w:rsidRDefault="003B2887" w:rsidP="003B2887">
      <w:pPr>
        <w:pStyle w:val="SingleTxtG"/>
        <w:tabs>
          <w:tab w:val="left" w:pos="1134"/>
        </w:tabs>
        <w:rPr>
          <w:lang w:val="fr-FR"/>
        </w:rPr>
      </w:pPr>
      <w:r w:rsidRPr="00870A4B">
        <w:rPr>
          <w:lang w:val="fr-FR"/>
        </w:rPr>
        <w:t>« Il est recommandé d’utiliser des méthodes d’épreuve en creuset fermé pour déterminer le point d’éclair. Les méthodes d’épreuve en creuset ouvert sont acceptables pour les liquides qui ne peuvent pas être soumis à des épreuves en creuset fermé (par exemple, en raison de leur viscosité) ou lorsque des lorsque les données d’épreuve en creuset ouvert sont déjà disponibles. Dans ces cas, il faut soustraire 5,6 °C de la valeur mesurée, car les valeurs obtenues avec les méthodes d’épreuve en creuset ouvert sont généralement plus élevées que celles obtenues avec les méthodes d’épreuve en creuset fermé. »</w:t>
      </w:r>
    </w:p>
    <w:p w14:paraId="53FB6C20" w14:textId="77777777" w:rsidR="003B2887" w:rsidRPr="00870A4B" w:rsidRDefault="003B2887" w:rsidP="003B2887">
      <w:pPr>
        <w:kinsoku/>
        <w:overflowPunct/>
        <w:autoSpaceDE/>
        <w:adjustRightInd/>
        <w:snapToGrid/>
        <w:spacing w:after="120"/>
        <w:ind w:left="1134" w:right="1134"/>
        <w:jc w:val="both"/>
        <w:rPr>
          <w:i/>
          <w:iCs/>
          <w:lang w:val="fr-FR" w:eastAsia="en-US"/>
        </w:rPr>
      </w:pPr>
      <w:r w:rsidRPr="00870A4B">
        <w:rPr>
          <w:i/>
          <w:iCs/>
          <w:lang w:val="fr-FR" w:eastAsia="en-US"/>
        </w:rPr>
        <w:t>(Document de référence : ST/SG/AC.10/C.3/2022/52</w:t>
      </w:r>
      <w:r>
        <w:rPr>
          <w:i/>
          <w:iCs/>
          <w:lang w:val="fr-FR" w:eastAsia="en-US"/>
        </w:rPr>
        <w:t>,</w:t>
      </w:r>
      <w:r w:rsidRPr="00870A4B">
        <w:rPr>
          <w:i/>
          <w:iCs/>
          <w:lang w:val="fr-FR" w:eastAsia="en-US"/>
        </w:rPr>
        <w:t xml:space="preserve"> tel que modifié)</w:t>
      </w:r>
    </w:p>
    <w:p w14:paraId="6F6FF877" w14:textId="77777777" w:rsidR="003B2887" w:rsidRPr="00870A4B" w:rsidRDefault="003B2887" w:rsidP="003B2887">
      <w:pPr>
        <w:pStyle w:val="H1G"/>
        <w:rPr>
          <w:lang w:val="fr-FR"/>
        </w:rPr>
      </w:pPr>
      <w:r w:rsidRPr="00870A4B">
        <w:rPr>
          <w:lang w:val="fr-FR"/>
        </w:rPr>
        <w:tab/>
      </w:r>
      <w:r w:rsidRPr="00870A4B">
        <w:rPr>
          <w:lang w:val="fr-FR"/>
        </w:rPr>
        <w:tab/>
        <w:t>Section 33</w:t>
      </w:r>
    </w:p>
    <w:p w14:paraId="359BDC33" w14:textId="77777777" w:rsidR="003B2887" w:rsidRPr="00870A4B" w:rsidRDefault="003B2887" w:rsidP="003B2887">
      <w:pPr>
        <w:pStyle w:val="SingleTxtG"/>
        <w:tabs>
          <w:tab w:val="left" w:pos="2268"/>
        </w:tabs>
        <w:ind w:left="2268" w:hanging="1134"/>
        <w:rPr>
          <w:lang w:val="fr-FR"/>
        </w:rPr>
      </w:pPr>
      <w:r w:rsidRPr="00870A4B">
        <w:rPr>
          <w:lang w:val="fr-FR"/>
        </w:rPr>
        <w:t>33.2</w:t>
      </w:r>
      <w:r w:rsidRPr="00870A4B">
        <w:rPr>
          <w:lang w:val="fr-FR"/>
        </w:rPr>
        <w:tab/>
        <w:t>Ajouter le nouveau Nota suivant sous le titre :</w:t>
      </w:r>
    </w:p>
    <w:p w14:paraId="375B6AD1" w14:textId="77777777" w:rsidR="003B2887" w:rsidRPr="00870A4B" w:rsidRDefault="003B2887" w:rsidP="003B2887">
      <w:pPr>
        <w:pStyle w:val="SingleTxtG"/>
        <w:tabs>
          <w:tab w:val="left" w:pos="2268"/>
        </w:tabs>
        <w:rPr>
          <w:lang w:val="fr-FR"/>
        </w:rPr>
      </w:pPr>
      <w:r w:rsidRPr="00870A4B">
        <w:rPr>
          <w:lang w:val="fr-FR"/>
        </w:rPr>
        <w:t>« </w:t>
      </w:r>
      <w:r w:rsidRPr="00870A4B">
        <w:rPr>
          <w:b/>
          <w:bCs/>
          <w:i/>
          <w:iCs/>
          <w:lang w:val="fr-FR"/>
        </w:rPr>
        <w:t>NOTA :</w:t>
      </w:r>
      <w:r w:rsidRPr="00870A4B">
        <w:rPr>
          <w:i/>
          <w:iCs/>
          <w:lang w:val="fr-FR"/>
        </w:rPr>
        <w:t xml:space="preserve"> </w:t>
      </w:r>
      <w:r w:rsidRPr="00870A4B">
        <w:rPr>
          <w:i/>
          <w:iCs/>
          <w:lang w:val="fr-FR"/>
        </w:rPr>
        <w:tab/>
        <w:t>Le terme "poudres métalliques" recouvre les poudres de métaux ou d'alliages métalliques.</w:t>
      </w:r>
      <w:r w:rsidRPr="00870A4B">
        <w:rPr>
          <w:lang w:val="fr-FR"/>
        </w:rPr>
        <w:t> »</w:t>
      </w:r>
    </w:p>
    <w:p w14:paraId="491DA90B" w14:textId="77777777" w:rsidR="003B2887" w:rsidRPr="00870A4B" w:rsidRDefault="003B2887" w:rsidP="003B2887">
      <w:pPr>
        <w:pStyle w:val="SingleTxtG"/>
        <w:tabs>
          <w:tab w:val="left" w:pos="2268"/>
        </w:tabs>
        <w:ind w:left="2268" w:hanging="1134"/>
        <w:rPr>
          <w:lang w:val="fr-FR"/>
        </w:rPr>
      </w:pPr>
      <w:r w:rsidRPr="00870A4B">
        <w:rPr>
          <w:lang w:val="fr-FR"/>
        </w:rPr>
        <w:t>33.2.4.3.1</w:t>
      </w:r>
      <w:r w:rsidRPr="00870A4B">
        <w:rPr>
          <w:lang w:val="fr-FR"/>
        </w:rPr>
        <w:tab/>
        <w:t>À la fin de la deuxième phrase, remplacer « poudres de métaux ou d'alliages de métaux » par « poudres métalliques ».</w:t>
      </w:r>
    </w:p>
    <w:p w14:paraId="11EAF207" w14:textId="77777777" w:rsidR="003B2887" w:rsidRDefault="003B2887" w:rsidP="003B2887">
      <w:pPr>
        <w:pStyle w:val="SingleTxtG"/>
        <w:tabs>
          <w:tab w:val="left" w:pos="2268"/>
        </w:tabs>
        <w:ind w:left="2268" w:hanging="1134"/>
        <w:rPr>
          <w:lang w:val="fr-FR"/>
        </w:rPr>
      </w:pPr>
      <w:r w:rsidRPr="00870A4B">
        <w:rPr>
          <w:lang w:val="fr-FR"/>
        </w:rPr>
        <w:t>33.2.4.4.1</w:t>
      </w:r>
      <w:r w:rsidRPr="00870A4B">
        <w:rPr>
          <w:lang w:val="fr-FR"/>
        </w:rPr>
        <w:tab/>
        <w:t xml:space="preserve">Dans la deuxième phrase, remplacer </w:t>
      </w:r>
      <w:r>
        <w:rPr>
          <w:lang w:val="fr-FR"/>
        </w:rPr>
        <w:t>« </w:t>
      </w:r>
      <w:r w:rsidRPr="00870A4B">
        <w:rPr>
          <w:lang w:val="fr-FR"/>
        </w:rPr>
        <w:t>Les poudres de métaux ou d'alliages métalliques</w:t>
      </w:r>
      <w:r>
        <w:rPr>
          <w:lang w:val="fr-FR"/>
        </w:rPr>
        <w:t> » par « Les poudres métalliques ».</w:t>
      </w:r>
    </w:p>
    <w:p w14:paraId="7D53A0A6" w14:textId="77777777" w:rsidR="003B2887" w:rsidRPr="00870A4B" w:rsidRDefault="003B2887" w:rsidP="003B2887">
      <w:pPr>
        <w:pStyle w:val="SingleTxtG"/>
        <w:tabs>
          <w:tab w:val="left" w:pos="2268"/>
        </w:tabs>
        <w:ind w:left="2268" w:hanging="1134"/>
        <w:rPr>
          <w:lang w:val="fr-FR"/>
        </w:rPr>
      </w:pPr>
      <w:r w:rsidRPr="00941A42">
        <w:rPr>
          <w:lang w:val="fr-FR"/>
        </w:rPr>
        <w:t>33.2.4.4.2</w:t>
      </w:r>
      <w:r>
        <w:rPr>
          <w:lang w:val="fr-FR"/>
        </w:rPr>
        <w:tab/>
        <w:t>Dans la deuxième phrase, remplacer « </w:t>
      </w:r>
      <w:r w:rsidRPr="00870A4B">
        <w:rPr>
          <w:lang w:val="fr-FR"/>
        </w:rPr>
        <w:t>Les poudres de métaux ou d'alliages métalliques</w:t>
      </w:r>
      <w:r>
        <w:rPr>
          <w:lang w:val="fr-FR"/>
        </w:rPr>
        <w:t> » par « Les poudres métalliques ».</w:t>
      </w:r>
    </w:p>
    <w:p w14:paraId="0C4703A8" w14:textId="77777777" w:rsidR="003B2887" w:rsidRPr="00870A4B" w:rsidRDefault="003B2887" w:rsidP="003B2887">
      <w:pPr>
        <w:kinsoku/>
        <w:overflowPunct/>
        <w:autoSpaceDE/>
        <w:adjustRightInd/>
        <w:snapToGrid/>
        <w:spacing w:after="120"/>
        <w:ind w:left="1134" w:right="1134"/>
        <w:jc w:val="both"/>
        <w:rPr>
          <w:i/>
          <w:iCs/>
          <w:lang w:val="fr-FR" w:eastAsia="en-US"/>
        </w:rPr>
      </w:pPr>
      <w:r w:rsidRPr="00870A4B">
        <w:rPr>
          <w:i/>
          <w:iCs/>
          <w:lang w:val="fr-FR" w:eastAsia="en-US"/>
        </w:rPr>
        <w:t>(Document de référence : document informel INF.44)</w:t>
      </w:r>
    </w:p>
    <w:p w14:paraId="1B64078B" w14:textId="77777777" w:rsidR="003B2887" w:rsidRPr="00870A4B" w:rsidRDefault="003B2887" w:rsidP="003B2887">
      <w:pPr>
        <w:pStyle w:val="H1G"/>
        <w:rPr>
          <w:lang w:val="fr-FR"/>
        </w:rPr>
      </w:pPr>
      <w:r w:rsidRPr="00870A4B">
        <w:rPr>
          <w:lang w:val="fr-FR"/>
        </w:rPr>
        <w:tab/>
      </w:r>
      <w:r w:rsidRPr="00870A4B">
        <w:rPr>
          <w:lang w:val="fr-FR"/>
        </w:rPr>
        <w:tab/>
        <w:t>Section 51</w:t>
      </w:r>
    </w:p>
    <w:p w14:paraId="67822C38" w14:textId="77777777" w:rsidR="003B2887" w:rsidRPr="00870A4B" w:rsidRDefault="003B2887" w:rsidP="003B2887">
      <w:pPr>
        <w:pStyle w:val="SingleTxtG"/>
        <w:tabs>
          <w:tab w:val="left" w:pos="2268"/>
        </w:tabs>
        <w:ind w:left="2268" w:hanging="1134"/>
        <w:rPr>
          <w:lang w:val="fr-FR"/>
        </w:rPr>
      </w:pPr>
      <w:r w:rsidRPr="00870A4B">
        <w:rPr>
          <w:lang w:val="fr-FR"/>
        </w:rPr>
        <w:t>51.1.1</w:t>
      </w:r>
      <w:r w:rsidRPr="00870A4B">
        <w:rPr>
          <w:lang w:val="fr-FR"/>
        </w:rPr>
        <w:tab/>
        <w:t>Dans la deuxième phrase, avant « aux sections 16.4 et 16.5 » ajouter « aux sections 12 et 13 et ».</w:t>
      </w:r>
    </w:p>
    <w:p w14:paraId="07E7608D" w14:textId="77777777" w:rsidR="003B2887" w:rsidRDefault="003B2887" w:rsidP="003B2887">
      <w:pPr>
        <w:kinsoku/>
        <w:overflowPunct/>
        <w:autoSpaceDE/>
        <w:adjustRightInd/>
        <w:snapToGrid/>
        <w:spacing w:after="120"/>
        <w:ind w:left="2268" w:right="1134" w:hanging="1134"/>
        <w:jc w:val="both"/>
        <w:rPr>
          <w:lang w:val="fr-FR" w:eastAsia="en-US"/>
        </w:rPr>
      </w:pPr>
      <w:r w:rsidRPr="00870A4B">
        <w:rPr>
          <w:lang w:val="fr-FR" w:eastAsia="en-US"/>
        </w:rPr>
        <w:t>51.2.1</w:t>
      </w:r>
      <w:r w:rsidRPr="00870A4B">
        <w:rPr>
          <w:lang w:val="fr-FR" w:eastAsia="en-US"/>
        </w:rPr>
        <w:tab/>
      </w:r>
      <w:r>
        <w:rPr>
          <w:lang w:val="fr-FR" w:eastAsia="en-US"/>
        </w:rPr>
        <w:t>Modifier pour lire comme suit (la note de bas de page 1 est supprimée) :</w:t>
      </w:r>
    </w:p>
    <w:p w14:paraId="526FAC88" w14:textId="77777777" w:rsidR="003B2887" w:rsidRPr="00870A4B" w:rsidRDefault="003B2887" w:rsidP="003B2887">
      <w:pPr>
        <w:kinsoku/>
        <w:overflowPunct/>
        <w:autoSpaceDE/>
        <w:adjustRightInd/>
        <w:snapToGrid/>
        <w:spacing w:after="120"/>
        <w:ind w:left="2268" w:right="1134" w:hanging="1134"/>
        <w:jc w:val="both"/>
        <w:rPr>
          <w:lang w:val="fr-FR"/>
        </w:rPr>
      </w:pPr>
      <w:r w:rsidRPr="00870A4B">
        <w:rPr>
          <w:lang w:val="fr-FR" w:eastAsia="en-US"/>
        </w:rPr>
        <w:t>« </w:t>
      </w:r>
      <w:r>
        <w:rPr>
          <w:lang w:val="fr-FR" w:eastAsia="en-US"/>
        </w:rPr>
        <w:t>51.2.1</w:t>
      </w:r>
      <w:r>
        <w:rPr>
          <w:lang w:val="fr-FR" w:eastAsia="en-US"/>
        </w:rPr>
        <w:tab/>
      </w:r>
      <w:r w:rsidRPr="00870A4B">
        <w:rPr>
          <w:lang w:val="fr-FR" w:eastAsia="en-US"/>
        </w:rPr>
        <w:t>L</w:t>
      </w:r>
      <w:r w:rsidRPr="00870A4B">
        <w:rPr>
          <w:lang w:val="fr-FR"/>
        </w:rPr>
        <w:t xml:space="preserve">es matières explosibles désensibilisées sont des substances explosibles </w:t>
      </w:r>
      <w:r>
        <w:rPr>
          <w:lang w:val="fr-FR"/>
        </w:rPr>
        <w:t>et</w:t>
      </w:r>
      <w:r w:rsidRPr="00870A4B">
        <w:rPr>
          <w:lang w:val="fr-FR"/>
        </w:rPr>
        <w:t xml:space="preserve"> des mélanges relevant du chapitre 2.1 du SGH qui ont été désensibilisés pour neutraliser leurs propriétés explosives de telle sorte qu’ils satisfont aux critères énoncés au 2.17.2 du SGH et ne relèvent donc pas de la classe de danger « Matières et objets explosibles » (chapitre 2.1 du SGH). ». </w:t>
      </w:r>
    </w:p>
    <w:p w14:paraId="213AB6CC" w14:textId="77777777" w:rsidR="003B2887" w:rsidRPr="00870A4B" w:rsidRDefault="003B2887" w:rsidP="003B2887">
      <w:pPr>
        <w:pStyle w:val="SingleTxtG"/>
        <w:tabs>
          <w:tab w:val="left" w:pos="2268"/>
        </w:tabs>
        <w:ind w:left="2268" w:hanging="1134"/>
        <w:rPr>
          <w:lang w:val="fr-FR"/>
        </w:rPr>
      </w:pPr>
      <w:r w:rsidRPr="00373C46">
        <w:rPr>
          <w:lang w:val="fr-FR"/>
        </w:rPr>
        <w:t>51.2.2</w:t>
      </w:r>
      <w:r w:rsidRPr="00373C46">
        <w:rPr>
          <w:lang w:val="fr-FR"/>
        </w:rPr>
        <w:tab/>
        <w:t>Modifier pour lire comme suit et la note de bas de page 2 est renumérotée 1 et son contenu est inchangé.</w:t>
      </w:r>
    </w:p>
    <w:p w14:paraId="64837E55" w14:textId="77777777" w:rsidR="003B2887" w:rsidRPr="00870A4B" w:rsidRDefault="003B2887" w:rsidP="003B2887">
      <w:pPr>
        <w:pStyle w:val="SingleTxtG"/>
        <w:tabs>
          <w:tab w:val="left" w:pos="2268"/>
        </w:tabs>
        <w:rPr>
          <w:lang w:val="fr-FR"/>
        </w:rPr>
      </w:pPr>
      <w:r w:rsidRPr="00870A4B">
        <w:rPr>
          <w:lang w:val="fr-FR"/>
        </w:rPr>
        <w:t>« 51.2.2</w:t>
      </w:r>
      <w:r w:rsidRPr="00870A4B">
        <w:rPr>
          <w:lang w:val="fr-FR"/>
        </w:rPr>
        <w:tab/>
      </w:r>
      <w:r w:rsidRPr="00870A4B">
        <w:rPr>
          <w:lang w:val="fr-FR"/>
        </w:rPr>
        <w:tab/>
        <w:t>Les matières explosibles désensibilisées doivent être soumises :</w:t>
      </w:r>
    </w:p>
    <w:p w14:paraId="239274FF" w14:textId="77777777" w:rsidR="003B2887" w:rsidRPr="00870A4B" w:rsidRDefault="003B2887" w:rsidP="003B2887">
      <w:pPr>
        <w:pStyle w:val="SingleTxtG"/>
        <w:tabs>
          <w:tab w:val="left" w:pos="2835"/>
        </w:tabs>
        <w:ind w:left="2835" w:hanging="567"/>
        <w:rPr>
          <w:lang w:val="fr-FR"/>
        </w:rPr>
      </w:pPr>
      <w:r w:rsidRPr="00870A4B">
        <w:rPr>
          <w:lang w:val="fr-FR"/>
        </w:rPr>
        <w:t>a)</w:t>
      </w:r>
      <w:r w:rsidRPr="00870A4B">
        <w:rPr>
          <w:lang w:val="fr-FR"/>
        </w:rPr>
        <w:tab/>
        <w:t>À l’épreuve relative à leur énergie de décomposition exothermique</w:t>
      </w:r>
      <w:r w:rsidRPr="00870A4B">
        <w:rPr>
          <w:b/>
          <w:bCs/>
          <w:vertAlign w:val="superscript"/>
          <w:lang w:val="fr-FR"/>
        </w:rPr>
        <w:t>1</w:t>
      </w:r>
      <w:r w:rsidRPr="00870A4B">
        <w:rPr>
          <w:lang w:val="fr-FR"/>
        </w:rPr>
        <w:t>, s’il s’agit de les retirer de la classe des matière explosibles désensibilisées ;</w:t>
      </w:r>
    </w:p>
    <w:p w14:paraId="449F269D" w14:textId="77777777" w:rsidR="003B2887" w:rsidRPr="00870A4B" w:rsidRDefault="003B2887" w:rsidP="003B2887">
      <w:pPr>
        <w:pStyle w:val="SingleTxtG"/>
        <w:tabs>
          <w:tab w:val="left" w:pos="2835"/>
        </w:tabs>
        <w:ind w:left="2835" w:hanging="567"/>
        <w:rPr>
          <w:lang w:val="fr-FR"/>
        </w:rPr>
      </w:pPr>
      <w:r w:rsidRPr="00870A4B">
        <w:rPr>
          <w:lang w:val="fr-FR"/>
        </w:rPr>
        <w:t>b)</w:t>
      </w:r>
      <w:r w:rsidRPr="00870A4B">
        <w:rPr>
          <w:lang w:val="fr-FR"/>
        </w:rPr>
        <w:tab/>
        <w:t>À l’épreuve 1 a), aux épreuves des séries 2 et 3 et aux épreuves 6 a) et 6 b) du présent Manuel, et à la procédure de classement décrite dans la section 51.3, pour s’assurer de l’absence de danger d’explosion en masse lors de l’épreuve relative à la vitesse de combustion corrigée ;</w:t>
      </w:r>
    </w:p>
    <w:p w14:paraId="289935EB" w14:textId="77777777" w:rsidR="003B2887" w:rsidRPr="00870A4B" w:rsidRDefault="003B2887" w:rsidP="003B2887">
      <w:pPr>
        <w:pStyle w:val="SingleTxtG"/>
        <w:tabs>
          <w:tab w:val="left" w:pos="2835"/>
        </w:tabs>
        <w:ind w:left="2835" w:hanging="567"/>
        <w:rPr>
          <w:lang w:val="fr-FR"/>
        </w:rPr>
      </w:pPr>
      <w:r w:rsidRPr="00870A4B">
        <w:rPr>
          <w:lang w:val="fr-FR"/>
        </w:rPr>
        <w:t>c)</w:t>
      </w:r>
      <w:r w:rsidRPr="00870A4B">
        <w:rPr>
          <w:lang w:val="fr-FR"/>
        </w:rPr>
        <w:tab/>
        <w:t>À l’épreuve relative à la vitesse de combustion corrigée ; et</w:t>
      </w:r>
    </w:p>
    <w:p w14:paraId="18B64CE5" w14:textId="77777777" w:rsidR="003B2887" w:rsidRPr="00870A4B" w:rsidRDefault="003B2887" w:rsidP="003B2887">
      <w:pPr>
        <w:pStyle w:val="SingleTxtG"/>
        <w:tabs>
          <w:tab w:val="left" w:pos="2835"/>
        </w:tabs>
        <w:ind w:left="2835" w:hanging="567"/>
        <w:rPr>
          <w:lang w:val="fr-FR"/>
        </w:rPr>
      </w:pPr>
      <w:r w:rsidRPr="00870A4B">
        <w:rPr>
          <w:lang w:val="fr-FR"/>
        </w:rPr>
        <w:t>d)</w:t>
      </w:r>
      <w:r w:rsidRPr="00870A4B">
        <w:rPr>
          <w:lang w:val="fr-FR"/>
        </w:rPr>
        <w:tab/>
        <w:t>Pour la nitrocellulose, aux épreuves décrites à l’appendice 10 du présent Manuel, s’il s’agit de l’utiliser dans des mélanges de nitrocellulose. »</w:t>
      </w:r>
    </w:p>
    <w:p w14:paraId="24B09C79" w14:textId="77777777" w:rsidR="003B2887" w:rsidRPr="00870A4B" w:rsidRDefault="003B2887" w:rsidP="003B2887">
      <w:pPr>
        <w:pStyle w:val="SingleTxtG"/>
        <w:tabs>
          <w:tab w:val="left" w:pos="2268"/>
        </w:tabs>
        <w:ind w:left="2268" w:hanging="1134"/>
        <w:rPr>
          <w:lang w:val="fr-FR"/>
        </w:rPr>
      </w:pPr>
      <w:r w:rsidRPr="00870A4B">
        <w:rPr>
          <w:lang w:val="fr-FR"/>
        </w:rPr>
        <w:t>51.3.1</w:t>
      </w:r>
      <w:r w:rsidRPr="00870A4B">
        <w:rPr>
          <w:lang w:val="fr-FR"/>
        </w:rPr>
        <w:tab/>
        <w:t>Dans la première phrase, remplacer « aux épreuves 6 a) et 6 b) dans cet ordre » par « aux épreuves ci-après, visant à s’assurer de l’absence de danger d’explosion en masse ». Dans la deuxième phrase, au début, remplacer « Les matières » par « Conformément à l’épreuve 6 a), les matières ». Modifier la dernière phrase pour lire « Si le résultat de l’épreuve 6 a) est positif, le même dispositif d’excitation ayant entraîné le résultat positif au cours de cette épreuve doit être utilisé pour l’épreuve 6 b). ».</w:t>
      </w:r>
    </w:p>
    <w:p w14:paraId="266F9909" w14:textId="77777777" w:rsidR="003B2887" w:rsidRPr="00870A4B" w:rsidRDefault="003B2887" w:rsidP="003B2887">
      <w:pPr>
        <w:pStyle w:val="SingleTxtG"/>
        <w:tabs>
          <w:tab w:val="left" w:pos="2268"/>
        </w:tabs>
        <w:ind w:left="2268" w:hanging="1134"/>
        <w:rPr>
          <w:lang w:val="fr-FR"/>
        </w:rPr>
      </w:pPr>
      <w:r w:rsidRPr="00870A4B">
        <w:rPr>
          <w:lang w:val="fr-FR"/>
        </w:rPr>
        <w:t>51.3.2</w:t>
      </w:r>
      <w:r w:rsidRPr="00870A4B">
        <w:rPr>
          <w:lang w:val="fr-FR"/>
        </w:rPr>
        <w:tab/>
        <w:t xml:space="preserve">Modifier pour lire comme suit </w:t>
      </w:r>
      <w:r w:rsidRPr="00F16668">
        <w:rPr>
          <w:lang w:val="fr-FR"/>
        </w:rPr>
        <w:t>(la deuxième phrase actuelle qui devient le nouvel alinéa e))</w:t>
      </w:r>
      <w:r w:rsidRPr="00870A4B">
        <w:rPr>
          <w:lang w:val="fr-FR"/>
        </w:rPr>
        <w:t> :</w:t>
      </w:r>
    </w:p>
    <w:p w14:paraId="224EC843" w14:textId="77777777" w:rsidR="003B2887" w:rsidRPr="00870A4B" w:rsidRDefault="003B2887" w:rsidP="003B2887">
      <w:pPr>
        <w:pStyle w:val="SingleTxtG"/>
        <w:tabs>
          <w:tab w:val="left" w:pos="2268"/>
        </w:tabs>
        <w:ind w:left="2268" w:hanging="1134"/>
        <w:rPr>
          <w:lang w:val="fr-FR"/>
        </w:rPr>
      </w:pPr>
      <w:r w:rsidRPr="00870A4B">
        <w:rPr>
          <w:lang w:val="fr-FR"/>
        </w:rPr>
        <w:t>« 51.3.2</w:t>
      </w:r>
      <w:r w:rsidRPr="00870A4B">
        <w:rPr>
          <w:lang w:val="fr-FR"/>
        </w:rPr>
        <w:tab/>
        <w:t>Il n’est pas toujours nécessaire de procéder à toutes les épreuves :</w:t>
      </w:r>
    </w:p>
    <w:p w14:paraId="43656B96" w14:textId="77777777" w:rsidR="003B2887" w:rsidRPr="00870A4B" w:rsidRDefault="003B2887" w:rsidP="003B2887">
      <w:pPr>
        <w:pStyle w:val="SingleTxtG"/>
        <w:tabs>
          <w:tab w:val="left" w:pos="2835"/>
        </w:tabs>
        <w:ind w:left="2835" w:hanging="567"/>
        <w:rPr>
          <w:lang w:val="fr-FR"/>
        </w:rPr>
      </w:pPr>
      <w:r w:rsidRPr="00870A4B">
        <w:rPr>
          <w:lang w:val="fr-FR"/>
        </w:rPr>
        <w:t>a)</w:t>
      </w:r>
      <w:r w:rsidRPr="00870A4B">
        <w:rPr>
          <w:lang w:val="fr-FR"/>
        </w:rPr>
        <w:tab/>
        <w:t>Les épreuves de la série 3 ne sont pas obligatoires si la matière explosible elle-même (avant d’être désensibilisée) n’est ni trop sensible ni trop instable thermiquement conformément aux épreuves de la série 3 ;</w:t>
      </w:r>
    </w:p>
    <w:p w14:paraId="24DD2AA4" w14:textId="77777777" w:rsidR="003B2887" w:rsidRPr="00870A4B" w:rsidRDefault="003B2887" w:rsidP="003B2887">
      <w:pPr>
        <w:pStyle w:val="SingleTxtG"/>
        <w:tabs>
          <w:tab w:val="left" w:pos="2835"/>
        </w:tabs>
        <w:ind w:left="2835" w:hanging="567"/>
        <w:rPr>
          <w:lang w:val="fr-FR"/>
        </w:rPr>
      </w:pPr>
      <w:r w:rsidRPr="00870A4B">
        <w:rPr>
          <w:lang w:val="fr-FR"/>
        </w:rPr>
        <w:t>b)</w:t>
      </w:r>
      <w:r w:rsidRPr="00870A4B">
        <w:rPr>
          <w:lang w:val="fr-FR"/>
        </w:rPr>
        <w:tab/>
        <w:t>Les épreuves de la série 3 et les épreuves 6 a) et b) ne sont pas obligatoires si les résultats des épreuves de la série 2 sont positifs ;</w:t>
      </w:r>
    </w:p>
    <w:p w14:paraId="53B9A48D" w14:textId="77777777" w:rsidR="003B2887" w:rsidRPr="00870A4B" w:rsidRDefault="003B2887" w:rsidP="003B2887">
      <w:pPr>
        <w:pStyle w:val="SingleTxtG"/>
        <w:tabs>
          <w:tab w:val="left" w:pos="2835"/>
        </w:tabs>
        <w:ind w:left="2835" w:hanging="567"/>
        <w:rPr>
          <w:lang w:val="fr-FR"/>
        </w:rPr>
      </w:pPr>
      <w:r w:rsidRPr="00870A4B">
        <w:rPr>
          <w:lang w:val="fr-FR"/>
        </w:rPr>
        <w:t>c)</w:t>
      </w:r>
      <w:r w:rsidRPr="00870A4B">
        <w:rPr>
          <w:lang w:val="fr-FR"/>
        </w:rPr>
        <w:tab/>
        <w:t>Les épreuves de la série 3 ne s’appliquent pas aux mélanges de nitrocellulose qui ne contiennent pas de matières explosibles autres que la nitrocellulose et pour lesquels la stabilité de la nitrocellulose a été établie conformément à l’appendice 10 ;</w:t>
      </w:r>
    </w:p>
    <w:p w14:paraId="13EAA04C" w14:textId="77777777" w:rsidR="003B2887" w:rsidRPr="00870A4B" w:rsidRDefault="003B2887" w:rsidP="003B2887">
      <w:pPr>
        <w:pStyle w:val="SingleTxtG"/>
        <w:tabs>
          <w:tab w:val="left" w:pos="2835"/>
        </w:tabs>
        <w:ind w:left="2835" w:hanging="567"/>
        <w:rPr>
          <w:lang w:val="fr-FR"/>
        </w:rPr>
      </w:pPr>
      <w:r w:rsidRPr="00870A4B">
        <w:rPr>
          <w:lang w:val="fr-FR"/>
        </w:rPr>
        <w:t>d)</w:t>
      </w:r>
      <w:r w:rsidRPr="00870A4B">
        <w:rPr>
          <w:lang w:val="fr-FR"/>
        </w:rPr>
        <w:tab/>
        <w:t>Les épreuves 6 a) et 6 b) peuvent être modifiées ou rendues facultatives conformément à la section 51.3.3 ;</w:t>
      </w:r>
    </w:p>
    <w:p w14:paraId="2B144CBE" w14:textId="77777777" w:rsidR="003B2887" w:rsidRPr="00870A4B" w:rsidRDefault="003B2887" w:rsidP="003B2887">
      <w:pPr>
        <w:pStyle w:val="SingleTxtG"/>
        <w:tabs>
          <w:tab w:val="left" w:pos="2835"/>
        </w:tabs>
        <w:ind w:left="2835" w:hanging="567"/>
        <w:rPr>
          <w:lang w:val="fr-FR"/>
        </w:rPr>
      </w:pPr>
      <w:r w:rsidRPr="00870A4B">
        <w:rPr>
          <w:lang w:val="fr-FR"/>
        </w:rPr>
        <w:t>e)</w:t>
      </w:r>
      <w:r w:rsidRPr="00870A4B">
        <w:rPr>
          <w:lang w:val="fr-FR"/>
        </w:rPr>
        <w:tab/>
        <w:t>L’épreuve 6 b) n’est pas obligatoire si, lors de chaque épreuve 6 a) :</w:t>
      </w:r>
    </w:p>
    <w:p w14:paraId="44D0D34A" w14:textId="77777777" w:rsidR="003B2887" w:rsidRPr="00870A4B" w:rsidRDefault="003B2887" w:rsidP="003B2887">
      <w:pPr>
        <w:pStyle w:val="SingleTxtG"/>
        <w:ind w:left="3402" w:hanging="567"/>
        <w:rPr>
          <w:lang w:val="fr-FR"/>
        </w:rPr>
      </w:pPr>
      <w:r w:rsidRPr="00870A4B">
        <w:rPr>
          <w:lang w:val="fr-FR"/>
        </w:rPr>
        <w:t>i)</w:t>
      </w:r>
      <w:r w:rsidRPr="00870A4B">
        <w:rPr>
          <w:lang w:val="fr-FR"/>
        </w:rPr>
        <w:tab/>
        <w:t>L’extérieur du colis n’est pas endommagé par une détonation ou un allumage internes ; ou</w:t>
      </w:r>
    </w:p>
    <w:p w14:paraId="1A46958D" w14:textId="77777777" w:rsidR="003B2887" w:rsidRPr="00870A4B" w:rsidRDefault="003B2887" w:rsidP="003B2887">
      <w:pPr>
        <w:pStyle w:val="SingleTxtG"/>
        <w:ind w:left="3402" w:hanging="567"/>
        <w:rPr>
          <w:lang w:val="fr-FR"/>
        </w:rPr>
      </w:pPr>
      <w:r w:rsidRPr="00870A4B">
        <w:rPr>
          <w:lang w:val="fr-FR"/>
        </w:rPr>
        <w:t>ii)</w:t>
      </w:r>
      <w:r w:rsidRPr="00870A4B">
        <w:rPr>
          <w:lang w:val="fr-FR"/>
        </w:rPr>
        <w:tab/>
        <w:t>Le contenu du colis n’explose pas ou explose si faiblement qu’une propagation de l’effet explosif à un autre colis serait exclue lors de l’épreuve 6 b). »</w:t>
      </w:r>
    </w:p>
    <w:p w14:paraId="20E409A2" w14:textId="77777777" w:rsidR="003B2887" w:rsidRPr="00870A4B" w:rsidRDefault="003B2887" w:rsidP="003B2887">
      <w:pPr>
        <w:pStyle w:val="SingleTxtG"/>
        <w:tabs>
          <w:tab w:val="left" w:pos="2268"/>
        </w:tabs>
        <w:ind w:left="2268" w:hanging="1134"/>
        <w:rPr>
          <w:lang w:val="fr-FR"/>
        </w:rPr>
      </w:pPr>
      <w:r w:rsidRPr="00870A4B">
        <w:rPr>
          <w:lang w:val="fr-FR"/>
        </w:rPr>
        <w:t>51.3.3</w:t>
      </w:r>
      <w:r w:rsidRPr="00870A4B">
        <w:rPr>
          <w:lang w:val="fr-FR"/>
        </w:rPr>
        <w:tab/>
        <w:t>Renuméroter la note de bas de page 3 en tant que note de bas de page 2.</w:t>
      </w:r>
      <w:r>
        <w:rPr>
          <w:lang w:val="fr-FR"/>
        </w:rPr>
        <w:t xml:space="preserve"> Les autres modifications ne s’appliquent pas au texte français.</w:t>
      </w:r>
    </w:p>
    <w:p w14:paraId="6752434C" w14:textId="77777777" w:rsidR="003B2887" w:rsidRPr="00870A4B" w:rsidRDefault="003B2887" w:rsidP="003B2887">
      <w:pPr>
        <w:pStyle w:val="SingleTxtG"/>
        <w:tabs>
          <w:tab w:val="left" w:pos="2268"/>
        </w:tabs>
        <w:ind w:left="2268" w:hanging="1134"/>
        <w:rPr>
          <w:lang w:val="fr-FR"/>
        </w:rPr>
      </w:pPr>
      <w:r w:rsidRPr="00870A4B">
        <w:rPr>
          <w:lang w:val="fr-FR"/>
        </w:rPr>
        <w:t>51.3.4</w:t>
      </w:r>
      <w:r w:rsidRPr="00870A4B">
        <w:rPr>
          <w:lang w:val="fr-FR"/>
        </w:rPr>
        <w:tab/>
      </w:r>
      <w:r>
        <w:rPr>
          <w:lang w:val="fr-FR"/>
        </w:rPr>
        <w:t>La première modification ne s’applique pas au texte français. Dans la deuxième phrase</w:t>
      </w:r>
      <w:r w:rsidRPr="00870A4B">
        <w:rPr>
          <w:lang w:val="fr-FR"/>
        </w:rPr>
        <w:t>, remplacer « Division 1.1 » par « classe des matières explosibles (voir chapitre 2.1 du SGH) ».</w:t>
      </w:r>
    </w:p>
    <w:p w14:paraId="59ECA455" w14:textId="77777777" w:rsidR="003B2887" w:rsidRPr="00870A4B" w:rsidRDefault="003B2887" w:rsidP="003B2887">
      <w:pPr>
        <w:kinsoku/>
        <w:overflowPunct/>
        <w:autoSpaceDE/>
        <w:adjustRightInd/>
        <w:snapToGrid/>
        <w:spacing w:after="120"/>
        <w:ind w:left="1134" w:right="1134"/>
        <w:jc w:val="both"/>
        <w:rPr>
          <w:i/>
          <w:iCs/>
          <w:lang w:val="fr-FR" w:eastAsia="en-US"/>
        </w:rPr>
      </w:pPr>
      <w:r w:rsidRPr="00870A4B">
        <w:rPr>
          <w:i/>
          <w:iCs/>
          <w:lang w:val="fr-FR" w:eastAsia="en-US"/>
        </w:rPr>
        <w:t xml:space="preserve">(Document de référence : ST/SG/AC.10/C.3/2022/50 comme </w:t>
      </w:r>
      <w:r>
        <w:rPr>
          <w:i/>
          <w:iCs/>
          <w:lang w:val="fr-FR" w:eastAsia="en-US"/>
        </w:rPr>
        <w:t>repris</w:t>
      </w:r>
      <w:r w:rsidRPr="00870A4B">
        <w:rPr>
          <w:i/>
          <w:iCs/>
          <w:lang w:val="fr-FR" w:eastAsia="en-US"/>
        </w:rPr>
        <w:t xml:space="preserve"> dans le document informel INF.4 et tel que modifié dans le document informel INF.59)</w:t>
      </w:r>
    </w:p>
    <w:p w14:paraId="66693608" w14:textId="77777777" w:rsidR="003B2887" w:rsidRPr="00870A4B" w:rsidRDefault="003B2887" w:rsidP="003B2887">
      <w:pPr>
        <w:pStyle w:val="SingleTxtG"/>
        <w:tabs>
          <w:tab w:val="left" w:pos="2268"/>
        </w:tabs>
        <w:ind w:left="2268" w:hanging="1134"/>
        <w:rPr>
          <w:lang w:val="fr-FR"/>
        </w:rPr>
      </w:pPr>
      <w:r w:rsidRPr="007E51A0">
        <w:rPr>
          <w:lang w:val="fr-FR"/>
        </w:rPr>
        <w:t>51.4.4.2 b)</w:t>
      </w:r>
      <w:r w:rsidRPr="007E51A0">
        <w:rPr>
          <w:lang w:val="fr-FR"/>
        </w:rPr>
        <w:tab/>
        <w:t>Renuméroter la note de bas de page 4 en tant que note de bas de page 3.</w:t>
      </w:r>
    </w:p>
    <w:p w14:paraId="6D4AB2FC" w14:textId="77777777" w:rsidR="003B2887" w:rsidRPr="00870A4B" w:rsidDel="00E6677B" w:rsidRDefault="003B2887" w:rsidP="003B2887">
      <w:pPr>
        <w:kinsoku/>
        <w:overflowPunct/>
        <w:autoSpaceDE/>
        <w:adjustRightInd/>
        <w:snapToGrid/>
        <w:spacing w:after="120"/>
        <w:ind w:left="1134" w:right="1134"/>
        <w:jc w:val="both"/>
        <w:rPr>
          <w:i/>
          <w:iCs/>
          <w:lang w:val="fr-FR" w:eastAsia="en-US"/>
        </w:rPr>
      </w:pPr>
      <w:r>
        <w:rPr>
          <w:i/>
          <w:iCs/>
          <w:lang w:val="fr-FR" w:eastAsia="en-US"/>
        </w:rPr>
        <w:t>(Amendement de conséquence)</w:t>
      </w:r>
    </w:p>
    <w:p w14:paraId="65C164D5" w14:textId="77777777" w:rsidR="003B2887" w:rsidRPr="003338FD" w:rsidRDefault="003B2887" w:rsidP="003B2887">
      <w:pPr>
        <w:keepNext/>
        <w:keepLines/>
        <w:tabs>
          <w:tab w:val="right" w:pos="851"/>
        </w:tabs>
        <w:kinsoku/>
        <w:overflowPunct/>
        <w:autoSpaceDE/>
        <w:autoSpaceDN/>
        <w:adjustRightInd/>
        <w:snapToGrid/>
        <w:spacing w:before="360" w:after="240" w:line="270" w:lineRule="exact"/>
        <w:ind w:left="1134" w:right="1134" w:hanging="1134"/>
        <w:rPr>
          <w:b/>
          <w:sz w:val="24"/>
          <w:lang w:val="fr-FR" w:eastAsia="en-US"/>
        </w:rPr>
      </w:pPr>
      <w:r w:rsidRPr="003338FD">
        <w:rPr>
          <w:b/>
          <w:sz w:val="24"/>
          <w:lang w:val="fr-FR" w:eastAsia="en-US"/>
        </w:rPr>
        <w:tab/>
      </w:r>
      <w:r w:rsidRPr="003338FD">
        <w:rPr>
          <w:b/>
          <w:sz w:val="24"/>
          <w:lang w:val="fr-FR" w:eastAsia="en-US"/>
        </w:rPr>
        <w:tab/>
        <w:t>Document ST/SG/AC.10/C.3/2022/75, Partie II, adopté avec les modifications suivantes :</w:t>
      </w:r>
    </w:p>
    <w:p w14:paraId="47461FD0" w14:textId="77777777" w:rsidR="003B2887" w:rsidRPr="003338FD" w:rsidRDefault="003B2887" w:rsidP="003B2887">
      <w:pPr>
        <w:kinsoku/>
        <w:overflowPunct/>
        <w:autoSpaceDE/>
        <w:autoSpaceDN/>
        <w:adjustRightInd/>
        <w:snapToGrid/>
        <w:spacing w:after="120"/>
        <w:ind w:left="2268" w:right="1134" w:hanging="1134"/>
        <w:jc w:val="both"/>
        <w:rPr>
          <w:lang w:val="fr-FR" w:eastAsia="en-US"/>
        </w:rPr>
      </w:pPr>
      <w:r w:rsidRPr="003338FD">
        <w:rPr>
          <w:lang w:val="fr-FR" w:eastAsia="en-US"/>
        </w:rPr>
        <w:t xml:space="preserve">Supprimer tous les crochets. </w:t>
      </w:r>
    </w:p>
    <w:p w14:paraId="683F3FA2" w14:textId="77777777" w:rsidR="003B2887" w:rsidRPr="003338FD" w:rsidRDefault="003B2887" w:rsidP="003B2887">
      <w:pPr>
        <w:kinsoku/>
        <w:overflowPunct/>
        <w:autoSpaceDE/>
        <w:autoSpaceDN/>
        <w:adjustRightInd/>
        <w:snapToGrid/>
        <w:spacing w:after="120"/>
        <w:ind w:left="2268" w:right="1134" w:hanging="1134"/>
        <w:jc w:val="both"/>
        <w:rPr>
          <w:lang w:val="fr-FR" w:eastAsia="en-US"/>
        </w:rPr>
      </w:pPr>
      <w:r w:rsidRPr="003338FD">
        <w:rPr>
          <w:lang w:val="fr-FR" w:eastAsia="en-US"/>
        </w:rPr>
        <w:t>38.3.3</w:t>
      </w:r>
      <w:r w:rsidRPr="003338FD">
        <w:rPr>
          <w:lang w:val="fr-FR" w:eastAsia="en-US"/>
        </w:rPr>
        <w:tab/>
        <w:t xml:space="preserve">Dans la liste d’amendements applicables au paragraphe renuméroté 38.3.3.1, ajouter le nouvel tiret suivant : </w:t>
      </w:r>
    </w:p>
    <w:p w14:paraId="5D791838" w14:textId="77777777" w:rsidR="003B2887" w:rsidRPr="003338FD" w:rsidRDefault="003B2887" w:rsidP="003B2887">
      <w:pPr>
        <w:kinsoku/>
        <w:overflowPunct/>
        <w:autoSpaceDE/>
        <w:autoSpaceDN/>
        <w:adjustRightInd/>
        <w:snapToGrid/>
        <w:spacing w:after="120"/>
        <w:ind w:left="2268" w:right="1134" w:hanging="1134"/>
        <w:jc w:val="both"/>
        <w:rPr>
          <w:lang w:val="fr-FR" w:eastAsia="en-US"/>
        </w:rPr>
      </w:pPr>
      <w:r w:rsidRPr="003338FD">
        <w:rPr>
          <w:lang w:val="fr-FR" w:eastAsia="en-US"/>
        </w:rPr>
        <w:tab/>
        <w:t>« -</w:t>
      </w:r>
      <w:r w:rsidRPr="003338FD">
        <w:rPr>
          <w:lang w:val="fr-FR" w:eastAsia="en-US"/>
        </w:rPr>
        <w:tab/>
        <w:t>Ajouter le titre suivant : « Épreuves pour les piles et batteries au sodium ». »</w:t>
      </w:r>
    </w:p>
    <w:p w14:paraId="09A30B8A" w14:textId="77777777" w:rsidR="003B2887" w:rsidRPr="003338FD" w:rsidRDefault="003B2887" w:rsidP="003B2887">
      <w:pPr>
        <w:kinsoku/>
        <w:overflowPunct/>
        <w:autoSpaceDE/>
        <w:autoSpaceDN/>
        <w:adjustRightInd/>
        <w:snapToGrid/>
        <w:spacing w:after="120"/>
        <w:ind w:left="2268" w:right="1134" w:hanging="1134"/>
        <w:jc w:val="both"/>
        <w:rPr>
          <w:i/>
          <w:iCs/>
          <w:lang w:val="fr-FR" w:eastAsia="en-US"/>
        </w:rPr>
      </w:pPr>
      <w:r w:rsidRPr="003338FD">
        <w:rPr>
          <w:i/>
          <w:iCs/>
          <w:lang w:val="fr-FR" w:eastAsia="en-US"/>
        </w:rPr>
        <w:t>(Document de référence : document informel INF.39/Rev.1)</w:t>
      </w:r>
    </w:p>
    <w:p w14:paraId="69273884" w14:textId="77777777" w:rsidR="00165A8F" w:rsidRDefault="00165A8F">
      <w:pPr>
        <w:suppressAutoHyphens w:val="0"/>
        <w:kinsoku/>
        <w:overflowPunct/>
        <w:autoSpaceDE/>
        <w:autoSpaceDN/>
        <w:adjustRightInd/>
        <w:snapToGrid/>
        <w:spacing w:after="200" w:line="276" w:lineRule="auto"/>
        <w:rPr>
          <w:b/>
          <w:sz w:val="28"/>
          <w:lang w:val="fr-FR" w:eastAsia="en-US"/>
        </w:rPr>
      </w:pPr>
      <w:r>
        <w:rPr>
          <w:lang w:val="fr-FR" w:eastAsia="en-US"/>
        </w:rPr>
        <w:br w:type="page"/>
      </w:r>
    </w:p>
    <w:p w14:paraId="4EFE75E3" w14:textId="521CADF1" w:rsidR="003B2887" w:rsidRPr="003338FD" w:rsidRDefault="003B2887" w:rsidP="003B2887">
      <w:pPr>
        <w:pStyle w:val="HChG"/>
        <w:rPr>
          <w:lang w:val="fr-FR" w:eastAsia="en-US"/>
        </w:rPr>
      </w:pPr>
      <w:r w:rsidRPr="003338FD">
        <w:rPr>
          <w:lang w:val="fr-FR" w:eastAsia="en-US"/>
        </w:rPr>
        <w:tab/>
        <w:t>III.</w:t>
      </w:r>
      <w:r w:rsidRPr="003338FD">
        <w:rPr>
          <w:lang w:val="fr-FR" w:eastAsia="en-US"/>
        </w:rPr>
        <w:tab/>
        <w:t xml:space="preserve">Amendements aux principes directeurs à appliquer pour le développement du </w:t>
      </w:r>
      <w:r w:rsidRPr="002F16CC">
        <w:t>Règlement</w:t>
      </w:r>
      <w:r w:rsidRPr="003338FD">
        <w:rPr>
          <w:lang w:val="fr-FR" w:eastAsia="en-US"/>
        </w:rPr>
        <w:t xml:space="preserve"> type</w:t>
      </w:r>
      <w:r>
        <w:rPr>
          <w:lang w:val="fr-FR" w:eastAsia="en-US"/>
        </w:rPr>
        <w:t xml:space="preserve"> </w:t>
      </w:r>
      <w:r w:rsidRPr="003338FD">
        <w:rPr>
          <w:lang w:val="fr-FR" w:eastAsia="en-US"/>
        </w:rPr>
        <w:t>[English only]</w:t>
      </w:r>
    </w:p>
    <w:p w14:paraId="12FD6D9E" w14:textId="77777777" w:rsidR="003B2887" w:rsidRDefault="003B2887" w:rsidP="003B2887">
      <w:pPr>
        <w:kinsoku/>
        <w:overflowPunct/>
        <w:autoSpaceDE/>
        <w:adjustRightInd/>
        <w:snapToGrid/>
        <w:spacing w:after="120"/>
        <w:ind w:left="2268" w:right="1134" w:hanging="1134"/>
        <w:jc w:val="both"/>
        <w:rPr>
          <w:rFonts w:eastAsia="SimSun"/>
        </w:rPr>
      </w:pPr>
      <w:r>
        <w:t>Part 4, B.2</w:t>
      </w:r>
      <w:r>
        <w:tab/>
        <w:t>In table 4.2, add the following new entry:</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4128"/>
        <w:gridCol w:w="1134"/>
        <w:gridCol w:w="525"/>
        <w:gridCol w:w="1176"/>
      </w:tblGrid>
      <w:tr w:rsidR="003B2887" w14:paraId="6402145D" w14:textId="77777777" w:rsidTr="006932FB">
        <w:trPr>
          <w:trHeight w:val="134"/>
        </w:trPr>
        <w:tc>
          <w:tcPr>
            <w:tcW w:w="692" w:type="dxa"/>
            <w:tcBorders>
              <w:top w:val="single" w:sz="4" w:space="0" w:color="auto"/>
              <w:left w:val="single" w:sz="4" w:space="0" w:color="auto"/>
              <w:bottom w:val="single" w:sz="4" w:space="0" w:color="auto"/>
              <w:right w:val="single" w:sz="4" w:space="0" w:color="auto"/>
            </w:tcBorders>
            <w:hideMark/>
          </w:tcPr>
          <w:p w14:paraId="1F630C4F" w14:textId="77777777" w:rsidR="003B2887" w:rsidRDefault="003B2887" w:rsidP="006932FB">
            <w:pPr>
              <w:pStyle w:val="Default"/>
              <w:spacing w:line="276" w:lineRule="auto"/>
              <w:rPr>
                <w:sz w:val="20"/>
                <w:szCs w:val="20"/>
              </w:rPr>
            </w:pPr>
            <w:r>
              <w:rPr>
                <w:sz w:val="20"/>
                <w:szCs w:val="20"/>
              </w:rPr>
              <w:t xml:space="preserve">3423 </w:t>
            </w:r>
          </w:p>
        </w:tc>
        <w:tc>
          <w:tcPr>
            <w:tcW w:w="4128" w:type="dxa"/>
            <w:tcBorders>
              <w:top w:val="single" w:sz="4" w:space="0" w:color="auto"/>
              <w:left w:val="single" w:sz="4" w:space="0" w:color="auto"/>
              <w:bottom w:val="single" w:sz="4" w:space="0" w:color="auto"/>
              <w:right w:val="single" w:sz="4" w:space="0" w:color="auto"/>
            </w:tcBorders>
            <w:hideMark/>
          </w:tcPr>
          <w:p w14:paraId="35DBF83C" w14:textId="77777777" w:rsidR="003B2887" w:rsidRDefault="003B2887" w:rsidP="006932FB">
            <w:pPr>
              <w:suppressAutoHyphens w:val="0"/>
              <w:spacing w:line="240" w:lineRule="auto"/>
            </w:pPr>
            <w:r>
              <w:rPr>
                <w:rFonts w:asciiTheme="majorBidi" w:hAnsiTheme="majorBidi" w:cstheme="majorBidi"/>
              </w:rPr>
              <w:t>TETRAMETHYLAMMONIUM HYDROXIDE, SOLID</w:t>
            </w:r>
          </w:p>
        </w:tc>
        <w:tc>
          <w:tcPr>
            <w:tcW w:w="1134" w:type="dxa"/>
            <w:tcBorders>
              <w:top w:val="single" w:sz="4" w:space="0" w:color="auto"/>
              <w:left w:val="single" w:sz="4" w:space="0" w:color="auto"/>
              <w:bottom w:val="single" w:sz="4" w:space="0" w:color="auto"/>
              <w:right w:val="single" w:sz="4" w:space="0" w:color="auto"/>
            </w:tcBorders>
            <w:hideMark/>
          </w:tcPr>
          <w:p w14:paraId="52CEDEDA" w14:textId="77777777" w:rsidR="003B2887" w:rsidRDefault="003B2887" w:rsidP="006932FB">
            <w:pPr>
              <w:pStyle w:val="Default"/>
              <w:spacing w:line="276" w:lineRule="auto"/>
              <w:rPr>
                <w:sz w:val="20"/>
                <w:szCs w:val="20"/>
              </w:rPr>
            </w:pPr>
            <w:r>
              <w:rPr>
                <w:sz w:val="20"/>
                <w:szCs w:val="20"/>
              </w:rPr>
              <w:t>6.1</w:t>
            </w:r>
          </w:p>
        </w:tc>
        <w:tc>
          <w:tcPr>
            <w:tcW w:w="525" w:type="dxa"/>
            <w:tcBorders>
              <w:top w:val="single" w:sz="4" w:space="0" w:color="auto"/>
              <w:left w:val="single" w:sz="4" w:space="0" w:color="auto"/>
              <w:bottom w:val="single" w:sz="4" w:space="0" w:color="auto"/>
              <w:right w:val="single" w:sz="4" w:space="0" w:color="auto"/>
            </w:tcBorders>
            <w:hideMark/>
          </w:tcPr>
          <w:p w14:paraId="65482EDB" w14:textId="77777777" w:rsidR="003B2887" w:rsidRDefault="003B2887" w:rsidP="006932FB">
            <w:pPr>
              <w:pStyle w:val="Default"/>
              <w:spacing w:line="276" w:lineRule="auto"/>
              <w:rPr>
                <w:sz w:val="20"/>
                <w:szCs w:val="20"/>
              </w:rPr>
            </w:pPr>
            <w:r>
              <w:rPr>
                <w:sz w:val="20"/>
                <w:szCs w:val="20"/>
              </w:rPr>
              <w:t>I</w:t>
            </w:r>
          </w:p>
        </w:tc>
        <w:tc>
          <w:tcPr>
            <w:tcW w:w="1176" w:type="dxa"/>
            <w:tcBorders>
              <w:top w:val="single" w:sz="4" w:space="0" w:color="auto"/>
              <w:left w:val="single" w:sz="4" w:space="0" w:color="auto"/>
              <w:bottom w:val="single" w:sz="4" w:space="0" w:color="auto"/>
              <w:right w:val="single" w:sz="4" w:space="0" w:color="auto"/>
            </w:tcBorders>
            <w:hideMark/>
          </w:tcPr>
          <w:p w14:paraId="1D3A6359" w14:textId="77777777" w:rsidR="003B2887" w:rsidRDefault="003B2887" w:rsidP="006932FB">
            <w:pPr>
              <w:pStyle w:val="Default"/>
              <w:spacing w:line="276" w:lineRule="auto"/>
              <w:rPr>
                <w:sz w:val="20"/>
                <w:szCs w:val="20"/>
              </w:rPr>
            </w:pPr>
            <w:r>
              <w:rPr>
                <w:sz w:val="20"/>
                <w:szCs w:val="20"/>
              </w:rPr>
              <w:t xml:space="preserve">8 </w:t>
            </w:r>
          </w:p>
        </w:tc>
      </w:tr>
    </w:tbl>
    <w:p w14:paraId="3ED4151E" w14:textId="77777777" w:rsidR="003B2887" w:rsidRDefault="003B2887" w:rsidP="003B2887">
      <w:pPr>
        <w:pStyle w:val="SingleTxtG"/>
        <w:spacing w:before="120"/>
        <w:rPr>
          <w:i/>
          <w:iCs/>
        </w:rPr>
      </w:pPr>
      <w:r>
        <w:rPr>
          <w:i/>
          <w:iCs/>
        </w:rPr>
        <w:t>(Reference document: informal document INF.54)</w:t>
      </w:r>
    </w:p>
    <w:p w14:paraId="693AF7DD" w14:textId="77777777" w:rsidR="003B2887" w:rsidRPr="00454B42" w:rsidRDefault="003B2887" w:rsidP="003B2887">
      <w:pPr>
        <w:kinsoku/>
        <w:overflowPunct/>
        <w:autoSpaceDE/>
        <w:autoSpaceDN/>
        <w:adjustRightInd/>
        <w:snapToGrid/>
        <w:spacing w:after="120"/>
        <w:ind w:left="2268" w:right="1134" w:hanging="1134"/>
        <w:jc w:val="both"/>
        <w:rPr>
          <w:lang w:val="en-GB"/>
        </w:rPr>
      </w:pPr>
      <w:r w:rsidRPr="00454B42">
        <w:rPr>
          <w:lang w:val="en-GB"/>
        </w:rPr>
        <w:t>Part 4, C.2</w:t>
      </w:r>
      <w:r w:rsidRPr="00454B42">
        <w:rPr>
          <w:lang w:val="en-GB"/>
        </w:rPr>
        <w:tab/>
        <w:t>Amend paragraph 7 to read as follows:</w:t>
      </w:r>
    </w:p>
    <w:p w14:paraId="1643BC91" w14:textId="77777777" w:rsidR="003B2887" w:rsidRPr="00454B42" w:rsidRDefault="003B2887" w:rsidP="003B2887">
      <w:pPr>
        <w:kinsoku/>
        <w:overflowPunct/>
        <w:autoSpaceDE/>
        <w:autoSpaceDN/>
        <w:adjustRightInd/>
        <w:snapToGrid/>
        <w:spacing w:after="120"/>
        <w:ind w:left="1134" w:right="1134"/>
        <w:jc w:val="both"/>
        <w:rPr>
          <w:lang w:val="en-GB"/>
        </w:rPr>
      </w:pPr>
      <w:r w:rsidRPr="00454B42">
        <w:rPr>
          <w:lang w:val="en-GB"/>
        </w:rPr>
        <w:t>“7.</w:t>
      </w:r>
      <w:r w:rsidRPr="00454B42">
        <w:rPr>
          <w:lang w:val="en-GB"/>
        </w:rPr>
        <w:tab/>
        <w:t>When a specific portable tank instruction is specified in Column 10 for a specific dangerous goods entry, additional portable tanks with higher test pressures, greater shell thicknesses, more stringent bottom openings and pressure-relief device arrangements may be used, in accordance with the table in 4.2.5.2.5.”</w:t>
      </w:r>
    </w:p>
    <w:p w14:paraId="3FA5D401" w14:textId="77777777" w:rsidR="003B2887" w:rsidRPr="00454B42" w:rsidRDefault="003B2887" w:rsidP="003B2887">
      <w:pPr>
        <w:kinsoku/>
        <w:overflowPunct/>
        <w:autoSpaceDE/>
        <w:autoSpaceDN/>
        <w:adjustRightInd/>
        <w:snapToGrid/>
        <w:spacing w:after="120"/>
        <w:ind w:left="2268" w:right="1134" w:hanging="1134"/>
        <w:jc w:val="both"/>
        <w:rPr>
          <w:lang w:val="en-GB"/>
        </w:rPr>
      </w:pPr>
      <w:r w:rsidRPr="00454B42">
        <w:rPr>
          <w:lang w:val="en-GB"/>
        </w:rPr>
        <w:tab/>
        <w:t>After paragraph 7, insert the following new paragraph:</w:t>
      </w:r>
    </w:p>
    <w:p w14:paraId="57C2EF39" w14:textId="77777777" w:rsidR="003B2887" w:rsidRPr="00454B42" w:rsidRDefault="003B2887" w:rsidP="003B2887">
      <w:pPr>
        <w:kinsoku/>
        <w:overflowPunct/>
        <w:autoSpaceDE/>
        <w:autoSpaceDN/>
        <w:adjustRightInd/>
        <w:snapToGrid/>
        <w:spacing w:after="120"/>
        <w:ind w:left="1134" w:right="1134"/>
        <w:jc w:val="both"/>
        <w:rPr>
          <w:lang w:val="en-GB"/>
        </w:rPr>
      </w:pPr>
      <w:r w:rsidRPr="00454B42">
        <w:rPr>
          <w:lang w:val="en-GB"/>
        </w:rPr>
        <w:t>“8.</w:t>
      </w:r>
      <w:r w:rsidRPr="00454B42">
        <w:rPr>
          <w:lang w:val="en-GB"/>
        </w:rPr>
        <w:tab/>
        <w:t>Some of the portable tank instructions in the T1 to T22 range are currently unused. In other words, there are no substances in the dangerous goods list which have these instructions assigned to them. These portable tank instructions are nevertheless kept in the regulations, as portable tanks can be constructed and marked according to any of these portable tank instructions and used to transport substances with other codes, in accordance with the table in 4.2.5.2.5.”</w:t>
      </w:r>
    </w:p>
    <w:p w14:paraId="6C6034C5" w14:textId="77777777" w:rsidR="003B2887" w:rsidRPr="002F16CC" w:rsidRDefault="003B2887" w:rsidP="003B2887">
      <w:pPr>
        <w:kinsoku/>
        <w:overflowPunct/>
        <w:autoSpaceDE/>
        <w:autoSpaceDN/>
        <w:adjustRightInd/>
        <w:snapToGrid/>
        <w:spacing w:after="120"/>
        <w:ind w:left="2268" w:right="1134" w:hanging="1134"/>
        <w:jc w:val="both"/>
        <w:rPr>
          <w:lang w:val="fr-FR"/>
        </w:rPr>
      </w:pPr>
      <w:r w:rsidRPr="00454B42">
        <w:rPr>
          <w:lang w:val="en-GB"/>
        </w:rPr>
        <w:tab/>
      </w:r>
      <w:r w:rsidRPr="002F16CC">
        <w:rPr>
          <w:lang w:val="fr-FR"/>
        </w:rPr>
        <w:t>Renumber subsequent paragraphs.</w:t>
      </w:r>
    </w:p>
    <w:p w14:paraId="41D56C51" w14:textId="77777777" w:rsidR="003B2887" w:rsidRPr="00833AC2" w:rsidRDefault="003B2887" w:rsidP="003B2887">
      <w:pPr>
        <w:kinsoku/>
        <w:overflowPunct/>
        <w:autoSpaceDE/>
        <w:autoSpaceDN/>
        <w:adjustRightInd/>
        <w:snapToGrid/>
        <w:spacing w:after="120"/>
        <w:ind w:left="2268" w:right="1134" w:hanging="1134"/>
        <w:jc w:val="both"/>
        <w:rPr>
          <w:i/>
          <w:iCs/>
          <w:lang w:eastAsia="en-US"/>
        </w:rPr>
      </w:pPr>
      <w:r w:rsidRPr="00833AC2">
        <w:rPr>
          <w:i/>
          <w:iCs/>
          <w:lang w:eastAsia="en-US"/>
        </w:rPr>
        <w:t>(</w:t>
      </w:r>
      <w:r w:rsidRPr="00804977">
        <w:rPr>
          <w:i/>
          <w:iCs/>
        </w:rPr>
        <w:t>Reference document</w:t>
      </w:r>
      <w:r w:rsidRPr="00833AC2">
        <w:rPr>
          <w:i/>
          <w:iCs/>
          <w:lang w:eastAsia="en-US"/>
        </w:rPr>
        <w:t xml:space="preserve">: ST/SG/AC.10/C.3/2022/77, </w:t>
      </w:r>
      <w:r>
        <w:rPr>
          <w:i/>
          <w:iCs/>
          <w:lang w:eastAsia="en-US"/>
        </w:rPr>
        <w:t>proposal</w:t>
      </w:r>
      <w:r w:rsidRPr="00833AC2">
        <w:rPr>
          <w:i/>
          <w:iCs/>
          <w:lang w:eastAsia="en-US"/>
        </w:rPr>
        <w:t xml:space="preserve"> 3)</w:t>
      </w:r>
    </w:p>
    <w:p w14:paraId="33A937EB" w14:textId="77777777" w:rsidR="003B2887" w:rsidRPr="003338FD" w:rsidRDefault="003B2887" w:rsidP="003B2887">
      <w:pPr>
        <w:spacing w:before="240"/>
        <w:jc w:val="center"/>
        <w:rPr>
          <w:u w:val="single"/>
          <w:lang w:val="fr-FR"/>
        </w:rPr>
      </w:pPr>
      <w:r w:rsidRPr="003338FD">
        <w:rPr>
          <w:u w:val="single"/>
          <w:lang w:val="fr-FR"/>
        </w:rPr>
        <w:tab/>
      </w:r>
      <w:r w:rsidRPr="003338FD">
        <w:rPr>
          <w:u w:val="single"/>
          <w:lang w:val="fr-FR"/>
        </w:rPr>
        <w:tab/>
      </w:r>
      <w:r w:rsidRPr="003338FD">
        <w:rPr>
          <w:u w:val="single"/>
          <w:lang w:val="fr-FR"/>
        </w:rPr>
        <w:tab/>
      </w:r>
    </w:p>
    <w:p w14:paraId="5E162965" w14:textId="77777777" w:rsidR="00A67C1F" w:rsidRDefault="00A67C1F">
      <w:pPr>
        <w:suppressAutoHyphens w:val="0"/>
        <w:kinsoku/>
        <w:overflowPunct/>
        <w:autoSpaceDE/>
        <w:autoSpaceDN/>
        <w:adjustRightInd/>
        <w:snapToGrid/>
        <w:spacing w:after="200" w:line="276" w:lineRule="auto"/>
        <w:rPr>
          <w:b/>
          <w:lang w:val="fr-FR"/>
        </w:rPr>
      </w:pPr>
    </w:p>
    <w:p w14:paraId="702ADB62" w14:textId="77777777" w:rsidR="00A67C1F" w:rsidRDefault="00A67C1F">
      <w:pPr>
        <w:suppressAutoHyphens w:val="0"/>
        <w:kinsoku/>
        <w:overflowPunct/>
        <w:autoSpaceDE/>
        <w:autoSpaceDN/>
        <w:adjustRightInd/>
        <w:snapToGrid/>
        <w:spacing w:after="200" w:line="276" w:lineRule="auto"/>
        <w:rPr>
          <w:b/>
          <w:lang w:val="fr-FR"/>
        </w:rPr>
      </w:pPr>
    </w:p>
    <w:sectPr w:rsidR="00A67C1F" w:rsidSect="00D35A4A">
      <w:headerReference w:type="even" r:id="rId12"/>
      <w:headerReference w:type="default" r:id="rId13"/>
      <w:footerReference w:type="even" r:id="rId14"/>
      <w:footerReference w:type="defaul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746D" w14:textId="77777777" w:rsidR="00D0203E" w:rsidRDefault="00D0203E" w:rsidP="00F95C08">
      <w:pPr>
        <w:spacing w:line="240" w:lineRule="auto"/>
      </w:pPr>
    </w:p>
  </w:endnote>
  <w:endnote w:type="continuationSeparator" w:id="0">
    <w:p w14:paraId="4156E074" w14:textId="77777777" w:rsidR="00D0203E" w:rsidRPr="00AC3823" w:rsidRDefault="00D0203E" w:rsidP="00AC3823">
      <w:pPr>
        <w:pStyle w:val="Footer"/>
      </w:pPr>
    </w:p>
  </w:endnote>
  <w:endnote w:type="continuationNotice" w:id="1">
    <w:p w14:paraId="03E18E36" w14:textId="77777777" w:rsidR="00D0203E" w:rsidRDefault="00D020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0700" w14:textId="77777777" w:rsidR="00EC7AF4" w:rsidRPr="00D35A4A" w:rsidRDefault="00EC7AF4" w:rsidP="00D35A4A">
    <w:pPr>
      <w:pStyle w:val="Footer"/>
      <w:tabs>
        <w:tab w:val="right" w:pos="9638"/>
      </w:tabs>
      <w:rPr>
        <w:sz w:val="18"/>
      </w:rPr>
    </w:pPr>
    <w:r w:rsidRPr="00D35A4A">
      <w:rPr>
        <w:b/>
        <w:sz w:val="18"/>
      </w:rPr>
      <w:fldChar w:fldCharType="begin"/>
    </w:r>
    <w:r w:rsidRPr="00D35A4A">
      <w:rPr>
        <w:b/>
        <w:sz w:val="18"/>
      </w:rPr>
      <w:instrText xml:space="preserve"> PAGE  \* MERGEFORMAT </w:instrText>
    </w:r>
    <w:r w:rsidRPr="00D35A4A">
      <w:rPr>
        <w:b/>
        <w:sz w:val="18"/>
      </w:rPr>
      <w:fldChar w:fldCharType="separate"/>
    </w:r>
    <w:r w:rsidRPr="00D35A4A">
      <w:rPr>
        <w:b/>
        <w:noProof/>
        <w:sz w:val="18"/>
      </w:rPr>
      <w:t>2</w:t>
    </w:r>
    <w:r w:rsidRPr="00D35A4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4F81" w14:textId="77777777" w:rsidR="00EC7AF4" w:rsidRPr="00D35A4A" w:rsidRDefault="00EC7AF4" w:rsidP="00D35A4A">
    <w:pPr>
      <w:pStyle w:val="Footer"/>
      <w:tabs>
        <w:tab w:val="right" w:pos="9638"/>
      </w:tabs>
      <w:rPr>
        <w:b/>
        <w:sz w:val="18"/>
      </w:rPr>
    </w:pPr>
    <w:r>
      <w:tab/>
    </w:r>
    <w:r w:rsidRPr="00D35A4A">
      <w:rPr>
        <w:b/>
        <w:sz w:val="18"/>
      </w:rPr>
      <w:fldChar w:fldCharType="begin"/>
    </w:r>
    <w:r w:rsidRPr="00D35A4A">
      <w:rPr>
        <w:b/>
        <w:sz w:val="18"/>
      </w:rPr>
      <w:instrText xml:space="preserve"> PAGE  \* MERGEFORMAT </w:instrText>
    </w:r>
    <w:r w:rsidRPr="00D35A4A">
      <w:rPr>
        <w:b/>
        <w:sz w:val="18"/>
      </w:rPr>
      <w:fldChar w:fldCharType="separate"/>
    </w:r>
    <w:r w:rsidRPr="00D35A4A">
      <w:rPr>
        <w:b/>
        <w:noProof/>
        <w:sz w:val="18"/>
      </w:rPr>
      <w:t>3</w:t>
    </w:r>
    <w:r w:rsidRPr="00D35A4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CCB9" w14:textId="77777777" w:rsidR="00D0203E" w:rsidRPr="00AC3823" w:rsidRDefault="00D0203E" w:rsidP="00AC3823">
      <w:pPr>
        <w:pStyle w:val="Footer"/>
        <w:tabs>
          <w:tab w:val="right" w:pos="2155"/>
        </w:tabs>
        <w:spacing w:after="80" w:line="240" w:lineRule="atLeast"/>
        <w:ind w:left="680"/>
        <w:rPr>
          <w:u w:val="single"/>
        </w:rPr>
      </w:pPr>
      <w:r>
        <w:rPr>
          <w:u w:val="single"/>
        </w:rPr>
        <w:tab/>
      </w:r>
    </w:p>
  </w:footnote>
  <w:footnote w:type="continuationSeparator" w:id="0">
    <w:p w14:paraId="1FD4510D" w14:textId="77777777" w:rsidR="00D0203E" w:rsidRPr="00AC3823" w:rsidRDefault="00D0203E" w:rsidP="00AC3823">
      <w:pPr>
        <w:pStyle w:val="Footer"/>
        <w:tabs>
          <w:tab w:val="right" w:pos="2155"/>
        </w:tabs>
        <w:spacing w:after="80" w:line="240" w:lineRule="atLeast"/>
        <w:ind w:left="680"/>
        <w:rPr>
          <w:u w:val="single"/>
        </w:rPr>
      </w:pPr>
      <w:r>
        <w:rPr>
          <w:u w:val="single"/>
        </w:rPr>
        <w:tab/>
      </w:r>
    </w:p>
  </w:footnote>
  <w:footnote w:type="continuationNotice" w:id="1">
    <w:p w14:paraId="4979F277" w14:textId="77777777" w:rsidR="00D0203E" w:rsidRPr="00AC3823" w:rsidRDefault="00D0203E">
      <w:pPr>
        <w:spacing w:line="240" w:lineRule="auto"/>
        <w:rPr>
          <w:sz w:val="2"/>
          <w:szCs w:val="2"/>
        </w:rPr>
      </w:pPr>
    </w:p>
  </w:footnote>
  <w:footnote w:id="2">
    <w:p w14:paraId="6115E61B" w14:textId="38FC4EBB" w:rsidR="009F367F" w:rsidRDefault="009F367F" w:rsidP="00E831ED">
      <w:pPr>
        <w:pStyle w:val="FootnoteText"/>
        <w:ind w:left="1418" w:hanging="284"/>
      </w:pPr>
      <w:r>
        <w:rPr>
          <w:rStyle w:val="FootnoteReference"/>
        </w:rPr>
        <w:footnoteRef/>
      </w:r>
      <w:r>
        <w:t xml:space="preserve"> </w:t>
      </w:r>
      <w:r w:rsidR="00E831ED">
        <w:tab/>
      </w:r>
      <w:r w:rsidR="00BC5083">
        <w:t>Pour raisons pratiques, cette annexe</w:t>
      </w:r>
      <w:r w:rsidR="00975B37">
        <w:t xml:space="preserve"> est publiée comme addendum avec le symbole</w:t>
      </w:r>
      <w:r w:rsidR="00AE18BE">
        <w:t xml:space="preserve"> ST/SG/AC.10/C.3/1</w:t>
      </w:r>
      <w:r w:rsidR="00B67769">
        <w:t>22</w:t>
      </w:r>
      <w:r w:rsidR="00AE18BE">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2A02" w14:textId="35352E6D" w:rsidR="00EC7AF4" w:rsidRPr="00D35A4A" w:rsidRDefault="00C342CE">
    <w:pPr>
      <w:pStyle w:val="Header"/>
    </w:pPr>
    <w:r>
      <w:t>ST/SG/AC.10/C.3/1</w:t>
    </w:r>
    <w:r w:rsidR="001E6CD0">
      <w:t>22</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4084" w14:textId="7C879D9F" w:rsidR="00EC7AF4" w:rsidRPr="00D35A4A" w:rsidRDefault="00C342CE" w:rsidP="00D35A4A">
    <w:pPr>
      <w:pStyle w:val="Header"/>
      <w:jc w:val="right"/>
    </w:pPr>
    <w:r>
      <w:t>ST/SG/AC.10/C.3/1</w:t>
    </w:r>
    <w:r w:rsidR="001E6CD0">
      <w:t>22</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09D0957"/>
    <w:multiLevelType w:val="hybridMultilevel"/>
    <w:tmpl w:val="91CA64F8"/>
    <w:lvl w:ilvl="0" w:tplc="D668EFF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B73102D"/>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4A"/>
    <w:rsid w:val="00017F94"/>
    <w:rsid w:val="00023842"/>
    <w:rsid w:val="000305D3"/>
    <w:rsid w:val="00032FCC"/>
    <w:rsid w:val="000334F9"/>
    <w:rsid w:val="0004545C"/>
    <w:rsid w:val="0007796D"/>
    <w:rsid w:val="000B7790"/>
    <w:rsid w:val="00111A5A"/>
    <w:rsid w:val="00111F2F"/>
    <w:rsid w:val="00117EF7"/>
    <w:rsid w:val="00132EA9"/>
    <w:rsid w:val="00134650"/>
    <w:rsid w:val="00137EEB"/>
    <w:rsid w:val="00140592"/>
    <w:rsid w:val="0014365E"/>
    <w:rsid w:val="00165A8F"/>
    <w:rsid w:val="00167865"/>
    <w:rsid w:val="00176178"/>
    <w:rsid w:val="001A7F45"/>
    <w:rsid w:val="001D51EA"/>
    <w:rsid w:val="001E6CD0"/>
    <w:rsid w:val="001F525A"/>
    <w:rsid w:val="00223272"/>
    <w:rsid w:val="00237BBE"/>
    <w:rsid w:val="0024779E"/>
    <w:rsid w:val="00283190"/>
    <w:rsid w:val="002832AC"/>
    <w:rsid w:val="002A4E32"/>
    <w:rsid w:val="002D50BF"/>
    <w:rsid w:val="002D7C93"/>
    <w:rsid w:val="00313DB4"/>
    <w:rsid w:val="0038761F"/>
    <w:rsid w:val="003B107D"/>
    <w:rsid w:val="003B2477"/>
    <w:rsid w:val="003B2887"/>
    <w:rsid w:val="003D7A64"/>
    <w:rsid w:val="004049E1"/>
    <w:rsid w:val="0041735B"/>
    <w:rsid w:val="004239ED"/>
    <w:rsid w:val="00426D19"/>
    <w:rsid w:val="004401DE"/>
    <w:rsid w:val="00441C3B"/>
    <w:rsid w:val="00446FE5"/>
    <w:rsid w:val="00452396"/>
    <w:rsid w:val="00485482"/>
    <w:rsid w:val="00490ABA"/>
    <w:rsid w:val="004927E2"/>
    <w:rsid w:val="004A1905"/>
    <w:rsid w:val="004B6952"/>
    <w:rsid w:val="004E468C"/>
    <w:rsid w:val="004E5684"/>
    <w:rsid w:val="004E7943"/>
    <w:rsid w:val="00503921"/>
    <w:rsid w:val="00523677"/>
    <w:rsid w:val="005505B7"/>
    <w:rsid w:val="00551F81"/>
    <w:rsid w:val="00573BE5"/>
    <w:rsid w:val="00584DC4"/>
    <w:rsid w:val="00586ED3"/>
    <w:rsid w:val="00596AA9"/>
    <w:rsid w:val="005D1617"/>
    <w:rsid w:val="005F24AF"/>
    <w:rsid w:val="00614255"/>
    <w:rsid w:val="00667963"/>
    <w:rsid w:val="0068456F"/>
    <w:rsid w:val="00692350"/>
    <w:rsid w:val="006A7B4C"/>
    <w:rsid w:val="006C0F63"/>
    <w:rsid w:val="006D434F"/>
    <w:rsid w:val="006E016F"/>
    <w:rsid w:val="006F4C01"/>
    <w:rsid w:val="00701116"/>
    <w:rsid w:val="0071601D"/>
    <w:rsid w:val="0072098B"/>
    <w:rsid w:val="00746C90"/>
    <w:rsid w:val="007513FE"/>
    <w:rsid w:val="00755D57"/>
    <w:rsid w:val="007564D8"/>
    <w:rsid w:val="007A62E6"/>
    <w:rsid w:val="007B6FD6"/>
    <w:rsid w:val="007D43A5"/>
    <w:rsid w:val="007F4BA0"/>
    <w:rsid w:val="0080684C"/>
    <w:rsid w:val="00814AE5"/>
    <w:rsid w:val="00866FA9"/>
    <w:rsid w:val="00871C75"/>
    <w:rsid w:val="008776DC"/>
    <w:rsid w:val="008B40CD"/>
    <w:rsid w:val="008D1004"/>
    <w:rsid w:val="008E450D"/>
    <w:rsid w:val="008F2DD0"/>
    <w:rsid w:val="009705C8"/>
    <w:rsid w:val="009744DF"/>
    <w:rsid w:val="00975B37"/>
    <w:rsid w:val="009B3F9C"/>
    <w:rsid w:val="009C1CF4"/>
    <w:rsid w:val="009F367F"/>
    <w:rsid w:val="00A30353"/>
    <w:rsid w:val="00A40866"/>
    <w:rsid w:val="00A67C1F"/>
    <w:rsid w:val="00A76ACF"/>
    <w:rsid w:val="00AC3823"/>
    <w:rsid w:val="00AE18BE"/>
    <w:rsid w:val="00AE281C"/>
    <w:rsid w:val="00AE323C"/>
    <w:rsid w:val="00AF45E3"/>
    <w:rsid w:val="00AF63CB"/>
    <w:rsid w:val="00B00181"/>
    <w:rsid w:val="00B00B0D"/>
    <w:rsid w:val="00B14AB4"/>
    <w:rsid w:val="00B43381"/>
    <w:rsid w:val="00B67769"/>
    <w:rsid w:val="00B765F7"/>
    <w:rsid w:val="00B93CCC"/>
    <w:rsid w:val="00BA0CA9"/>
    <w:rsid w:val="00BA4A2A"/>
    <w:rsid w:val="00BB784A"/>
    <w:rsid w:val="00BC1C65"/>
    <w:rsid w:val="00BC5083"/>
    <w:rsid w:val="00BD0B50"/>
    <w:rsid w:val="00C02897"/>
    <w:rsid w:val="00C0445E"/>
    <w:rsid w:val="00C0684E"/>
    <w:rsid w:val="00C342CE"/>
    <w:rsid w:val="00C56EE9"/>
    <w:rsid w:val="00C57435"/>
    <w:rsid w:val="00C85C63"/>
    <w:rsid w:val="00C91407"/>
    <w:rsid w:val="00C96CEE"/>
    <w:rsid w:val="00D01B55"/>
    <w:rsid w:val="00D0203E"/>
    <w:rsid w:val="00D3439C"/>
    <w:rsid w:val="00D35A4A"/>
    <w:rsid w:val="00D418DC"/>
    <w:rsid w:val="00DB1831"/>
    <w:rsid w:val="00DD29F2"/>
    <w:rsid w:val="00DD3BFD"/>
    <w:rsid w:val="00DF6678"/>
    <w:rsid w:val="00E17B8C"/>
    <w:rsid w:val="00E275FC"/>
    <w:rsid w:val="00E7253A"/>
    <w:rsid w:val="00E831ED"/>
    <w:rsid w:val="00EA38FB"/>
    <w:rsid w:val="00EC21F9"/>
    <w:rsid w:val="00EC59D4"/>
    <w:rsid w:val="00EC7AF4"/>
    <w:rsid w:val="00ED12F7"/>
    <w:rsid w:val="00EF2E22"/>
    <w:rsid w:val="00F01738"/>
    <w:rsid w:val="00F203AE"/>
    <w:rsid w:val="00F360C6"/>
    <w:rsid w:val="00F612C4"/>
    <w:rsid w:val="00F660DF"/>
    <w:rsid w:val="00F730C8"/>
    <w:rsid w:val="00F95C08"/>
    <w:rsid w:val="00FC694A"/>
    <w:rsid w:val="00FE22A1"/>
    <w:rsid w:val="00FF03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88103"/>
  <w15:docId w15:val="{83DA2279-38A9-42B4-83BA-38081C6E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584DC4"/>
    <w:pPr>
      <w:keepNext/>
      <w:keepLines/>
      <w:numPr>
        <w:numId w:val="17"/>
      </w:numPr>
      <w:spacing w:after="0" w:line="240" w:lineRule="auto"/>
      <w:ind w:right="0"/>
      <w:jc w:val="left"/>
      <w:outlineLvl w:val="0"/>
    </w:pPr>
  </w:style>
  <w:style w:type="paragraph" w:styleId="Heading2">
    <w:name w:val="heading 2"/>
    <w:basedOn w:val="Normal"/>
    <w:next w:val="Normal"/>
    <w:link w:val="Heading2Char"/>
    <w:semiHidden/>
    <w:qFormat/>
    <w:rsid w:val="00023842"/>
    <w:pPr>
      <w:numPr>
        <w:ilvl w:val="1"/>
        <w:numId w:val="17"/>
      </w:numPr>
      <w:outlineLvl w:val="1"/>
    </w:pPr>
  </w:style>
  <w:style w:type="paragraph" w:styleId="Heading3">
    <w:name w:val="heading 3"/>
    <w:basedOn w:val="Normal"/>
    <w:next w:val="Normal"/>
    <w:link w:val="Heading3Char"/>
    <w:semiHidden/>
    <w:qFormat/>
    <w:rsid w:val="00023842"/>
    <w:pPr>
      <w:numPr>
        <w:ilvl w:val="2"/>
        <w:numId w:val="17"/>
      </w:numPr>
      <w:outlineLvl w:val="2"/>
    </w:pPr>
  </w:style>
  <w:style w:type="paragraph" w:styleId="Heading4">
    <w:name w:val="heading 4"/>
    <w:basedOn w:val="Normal"/>
    <w:next w:val="Normal"/>
    <w:link w:val="Heading4Char"/>
    <w:semiHidden/>
    <w:qFormat/>
    <w:rsid w:val="00023842"/>
    <w:pPr>
      <w:numPr>
        <w:ilvl w:val="3"/>
        <w:numId w:val="17"/>
      </w:numPr>
      <w:outlineLvl w:val="3"/>
    </w:pPr>
  </w:style>
  <w:style w:type="paragraph" w:styleId="Heading5">
    <w:name w:val="heading 5"/>
    <w:basedOn w:val="Normal"/>
    <w:next w:val="Normal"/>
    <w:link w:val="Heading5Char"/>
    <w:semiHidden/>
    <w:qFormat/>
    <w:rsid w:val="00023842"/>
    <w:pPr>
      <w:numPr>
        <w:ilvl w:val="4"/>
        <w:numId w:val="17"/>
      </w:numPr>
      <w:outlineLvl w:val="4"/>
    </w:pPr>
  </w:style>
  <w:style w:type="paragraph" w:styleId="Heading6">
    <w:name w:val="heading 6"/>
    <w:basedOn w:val="Normal"/>
    <w:next w:val="Normal"/>
    <w:link w:val="Heading6Char"/>
    <w:semiHidden/>
    <w:qFormat/>
    <w:rsid w:val="00023842"/>
    <w:pPr>
      <w:numPr>
        <w:ilvl w:val="5"/>
        <w:numId w:val="17"/>
      </w:numPr>
      <w:outlineLvl w:val="5"/>
    </w:pPr>
  </w:style>
  <w:style w:type="paragraph" w:styleId="Heading7">
    <w:name w:val="heading 7"/>
    <w:basedOn w:val="Normal"/>
    <w:next w:val="Normal"/>
    <w:link w:val="Heading7Char"/>
    <w:semiHidden/>
    <w:qFormat/>
    <w:rsid w:val="00023842"/>
    <w:pPr>
      <w:numPr>
        <w:ilvl w:val="6"/>
        <w:numId w:val="17"/>
      </w:numPr>
      <w:outlineLvl w:val="6"/>
    </w:pPr>
  </w:style>
  <w:style w:type="paragraph" w:styleId="Heading8">
    <w:name w:val="heading 8"/>
    <w:basedOn w:val="Normal"/>
    <w:next w:val="Normal"/>
    <w:link w:val="Heading8Char"/>
    <w:semiHidden/>
    <w:qFormat/>
    <w:rsid w:val="00023842"/>
    <w:pPr>
      <w:numPr>
        <w:ilvl w:val="7"/>
        <w:numId w:val="17"/>
      </w:numPr>
      <w:outlineLvl w:val="7"/>
    </w:pPr>
  </w:style>
  <w:style w:type="paragraph" w:styleId="Heading9">
    <w:name w:val="heading 9"/>
    <w:basedOn w:val="Normal"/>
    <w:next w:val="Normal"/>
    <w:link w:val="Heading9Char"/>
    <w:semiHidden/>
    <w:qFormat/>
    <w:rsid w:val="00023842"/>
    <w:pPr>
      <w:numPr>
        <w:ilvl w:val="8"/>
        <w:numId w:val="1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rsid w:val="002D50BF"/>
  </w:style>
  <w:style w:type="character" w:customStyle="1" w:styleId="H23GChar">
    <w:name w:val="_ H_2/3_G Char"/>
    <w:link w:val="H23G"/>
    <w:rsid w:val="002D50BF"/>
    <w:rPr>
      <w:b/>
    </w:rPr>
  </w:style>
  <w:style w:type="character" w:customStyle="1" w:styleId="HChGChar">
    <w:name w:val="_ H _Ch_G Char"/>
    <w:link w:val="HChG"/>
    <w:rsid w:val="002D50BF"/>
    <w:rPr>
      <w:b/>
      <w:sz w:val="28"/>
    </w:rPr>
  </w:style>
  <w:style w:type="character" w:customStyle="1" w:styleId="H1GCar">
    <w:name w:val="_ H_1_G Car"/>
    <w:link w:val="H1G"/>
    <w:locked/>
    <w:rsid w:val="00237BBE"/>
    <w:rPr>
      <w:b/>
      <w:sz w:val="24"/>
    </w:rPr>
  </w:style>
  <w:style w:type="numbering" w:styleId="ArticleSection">
    <w:name w:val="Outline List 3"/>
    <w:basedOn w:val="NoList"/>
    <w:semiHidden/>
    <w:rsid w:val="00237BBE"/>
    <w:pPr>
      <w:numPr>
        <w:numId w:val="17"/>
      </w:numPr>
    </w:pPr>
  </w:style>
  <w:style w:type="paragraph" w:customStyle="1" w:styleId="OBbodytext">
    <w:name w:val="OB_body_text"/>
    <w:basedOn w:val="Normal"/>
    <w:link w:val="OBbodytextChar"/>
    <w:qFormat/>
    <w:rsid w:val="00237BBE"/>
    <w:pPr>
      <w:numPr>
        <w:ilvl w:val="12"/>
      </w:numPr>
      <w:tabs>
        <w:tab w:val="left" w:pos="1418"/>
      </w:tabs>
      <w:suppressAutoHyphens w:val="0"/>
      <w:kinsoku/>
      <w:overflowPunct/>
      <w:snapToGrid/>
      <w:spacing w:after="240" w:line="240" w:lineRule="auto"/>
      <w:jc w:val="both"/>
    </w:pPr>
    <w:rPr>
      <w:sz w:val="22"/>
      <w:szCs w:val="22"/>
      <w:lang w:val="fr-FR" w:eastAsia="fr-FR"/>
    </w:rPr>
  </w:style>
  <w:style w:type="character" w:customStyle="1" w:styleId="OBbodytextChar">
    <w:name w:val="OB_body_text Char"/>
    <w:basedOn w:val="DefaultParagraphFont"/>
    <w:link w:val="OBbodytext"/>
    <w:rsid w:val="00237BBE"/>
    <w:rPr>
      <w:sz w:val="22"/>
      <w:szCs w:val="22"/>
      <w:lang w:val="fr-FR" w:eastAsia="fr-FR"/>
    </w:rPr>
  </w:style>
  <w:style w:type="paragraph" w:customStyle="1" w:styleId="OB1subpara">
    <w:name w:val="OB_1subpara"/>
    <w:basedOn w:val="BodyTextIndent"/>
    <w:qFormat/>
    <w:rsid w:val="00237BBE"/>
    <w:pPr>
      <w:tabs>
        <w:tab w:val="left" w:pos="-1440"/>
        <w:tab w:val="left" w:pos="-142"/>
        <w:tab w:val="left" w:pos="1985"/>
        <w:tab w:val="left" w:pos="11518"/>
      </w:tabs>
      <w:suppressAutoHyphens w:val="0"/>
      <w:kinsoku/>
      <w:overflowPunct/>
      <w:autoSpaceDE/>
      <w:autoSpaceDN/>
      <w:adjustRightInd/>
      <w:snapToGrid/>
      <w:spacing w:after="240" w:line="240" w:lineRule="auto"/>
      <w:ind w:left="1985" w:hanging="567"/>
      <w:jc w:val="both"/>
    </w:pPr>
    <w:rPr>
      <w:sz w:val="22"/>
      <w:lang w:val="fr-FR" w:eastAsia="en-US"/>
    </w:rPr>
  </w:style>
  <w:style w:type="paragraph" w:styleId="BodyTextIndent">
    <w:name w:val="Body Text Indent"/>
    <w:basedOn w:val="Normal"/>
    <w:link w:val="BodyTextIndentChar"/>
    <w:uiPriority w:val="99"/>
    <w:semiHidden/>
    <w:unhideWhenUsed/>
    <w:rsid w:val="00237BBE"/>
    <w:pPr>
      <w:spacing w:after="120"/>
      <w:ind w:left="283"/>
    </w:pPr>
  </w:style>
  <w:style w:type="character" w:customStyle="1" w:styleId="BodyTextIndentChar">
    <w:name w:val="Body Text Indent Char"/>
    <w:basedOn w:val="DefaultParagraphFont"/>
    <w:link w:val="BodyTextIndent"/>
    <w:uiPriority w:val="99"/>
    <w:semiHidden/>
    <w:rsid w:val="00237BBE"/>
  </w:style>
  <w:style w:type="character" w:styleId="CommentReference">
    <w:name w:val="annotation reference"/>
    <w:basedOn w:val="DefaultParagraphFont"/>
    <w:uiPriority w:val="99"/>
    <w:semiHidden/>
    <w:unhideWhenUsed/>
    <w:rsid w:val="006F4C01"/>
    <w:rPr>
      <w:sz w:val="16"/>
      <w:szCs w:val="16"/>
    </w:rPr>
  </w:style>
  <w:style w:type="paragraph" w:styleId="CommentText">
    <w:name w:val="annotation text"/>
    <w:basedOn w:val="Normal"/>
    <w:link w:val="CommentTextChar"/>
    <w:uiPriority w:val="99"/>
    <w:semiHidden/>
    <w:unhideWhenUsed/>
    <w:rsid w:val="006F4C01"/>
    <w:pPr>
      <w:spacing w:line="240" w:lineRule="auto"/>
    </w:pPr>
  </w:style>
  <w:style w:type="character" w:customStyle="1" w:styleId="CommentTextChar">
    <w:name w:val="Comment Text Char"/>
    <w:basedOn w:val="DefaultParagraphFont"/>
    <w:link w:val="CommentText"/>
    <w:uiPriority w:val="99"/>
    <w:semiHidden/>
    <w:rsid w:val="006F4C01"/>
  </w:style>
  <w:style w:type="paragraph" w:styleId="CommentSubject">
    <w:name w:val="annotation subject"/>
    <w:basedOn w:val="CommentText"/>
    <w:next w:val="CommentText"/>
    <w:link w:val="CommentSubjectChar"/>
    <w:uiPriority w:val="99"/>
    <w:semiHidden/>
    <w:unhideWhenUsed/>
    <w:rsid w:val="006F4C01"/>
    <w:rPr>
      <w:b/>
      <w:bCs/>
    </w:rPr>
  </w:style>
  <w:style w:type="character" w:customStyle="1" w:styleId="CommentSubjectChar">
    <w:name w:val="Comment Subject Char"/>
    <w:basedOn w:val="CommentTextChar"/>
    <w:link w:val="CommentSubject"/>
    <w:uiPriority w:val="99"/>
    <w:semiHidden/>
    <w:rsid w:val="006F4C01"/>
    <w:rPr>
      <w:b/>
      <w:bCs/>
    </w:rPr>
  </w:style>
  <w:style w:type="character" w:customStyle="1" w:styleId="SingleTxtGZchnZchn">
    <w:name w:val="_ Single Txt_G Zchn Zchn"/>
    <w:rsid w:val="006F4C01"/>
  </w:style>
  <w:style w:type="paragraph" w:styleId="ListParagraph">
    <w:name w:val="List Paragraph"/>
    <w:basedOn w:val="Normal"/>
    <w:uiPriority w:val="34"/>
    <w:semiHidden/>
    <w:qFormat/>
    <w:rsid w:val="006F4C01"/>
    <w:pPr>
      <w:ind w:left="720"/>
      <w:contextualSpacing/>
    </w:pPr>
  </w:style>
  <w:style w:type="table" w:customStyle="1" w:styleId="TableGrid1">
    <w:name w:val="Table Grid1"/>
    <w:basedOn w:val="TableNormal"/>
    <w:next w:val="TableGrid"/>
    <w:rsid w:val="003B2887"/>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3B2887"/>
    <w:pPr>
      <w:spacing w:after="0" w:line="240" w:lineRule="auto"/>
    </w:pPr>
  </w:style>
  <w:style w:type="table" w:customStyle="1" w:styleId="TableGrid11">
    <w:name w:val="Table Grid11"/>
    <w:basedOn w:val="TableNormal"/>
    <w:next w:val="TableGrid"/>
    <w:rsid w:val="003B2887"/>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3B2887"/>
    <w:pPr>
      <w:autoSpaceDE w:val="0"/>
      <w:autoSpaceDN w:val="0"/>
      <w:adjustRightInd w:val="0"/>
      <w:spacing w:after="0" w:line="240" w:lineRule="auto"/>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6F9F3-3BBF-47C7-BF9C-4274B03B1ECB}">
  <ds:schemaRefs>
    <ds:schemaRef ds:uri="http://schemas.openxmlformats.org/officeDocument/2006/bibliography"/>
  </ds:schemaRefs>
</ds:datastoreItem>
</file>

<file path=customXml/itemProps2.xml><?xml version="1.0" encoding="utf-8"?>
<ds:datastoreItem xmlns:ds="http://schemas.openxmlformats.org/officeDocument/2006/customXml" ds:itemID="{1DC5C0AE-F2EA-422A-846F-5482939C8536}">
  <ds:schemaRefs>
    <ds:schemaRef ds:uri="http://schemas.microsoft.com/sharepoint/v3/contenttype/forms"/>
  </ds:schemaRefs>
</ds:datastoreItem>
</file>

<file path=customXml/itemProps3.xml><?xml version="1.0" encoding="utf-8"?>
<ds:datastoreItem xmlns:ds="http://schemas.openxmlformats.org/officeDocument/2006/customXml" ds:itemID="{096A9D9B-56F4-4F34-BBEE-21692CC7D0E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3C90D9CE-B4FC-49B5-BFB2-C997AA81B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SGAC10_F.dotm</Template>
  <TotalTime>10</TotalTime>
  <Pages>17</Pages>
  <Words>6179</Words>
  <Characters>35222</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ST/SG/AC.10/C.3/112/Add.1</vt:lpstr>
      <vt:lpstr/>
    </vt:vector>
  </TitlesOfParts>
  <Company>DCM</Company>
  <LinksUpToDate>false</LinksUpToDate>
  <CharactersWithSpaces>41319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ST/SG/AC.10/C.3/112/Add.1</dc:title>
  <dc:subject/>
  <dc:creator>Rosa</dc:creator>
  <cp:keywords/>
  <cp:lastModifiedBy>Laurence Berthet</cp:lastModifiedBy>
  <cp:revision>12</cp:revision>
  <cp:lastPrinted>2020-12-22T10:43:00Z</cp:lastPrinted>
  <dcterms:created xsi:type="dcterms:W3CDTF">2022-12-19T14:28:00Z</dcterms:created>
  <dcterms:modified xsi:type="dcterms:W3CDTF">2022-12-21T10:25:00Z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9539600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