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559CB138" w14:textId="77777777" w:rsidTr="005316B0">
        <w:trPr>
          <w:trHeight w:hRule="exact" w:val="851"/>
        </w:trPr>
        <w:tc>
          <w:tcPr>
            <w:tcW w:w="1276" w:type="dxa"/>
            <w:tcBorders>
              <w:bottom w:val="single" w:sz="4" w:space="0" w:color="auto"/>
            </w:tcBorders>
          </w:tcPr>
          <w:p w14:paraId="205C4504" w14:textId="77777777" w:rsidR="001433FD" w:rsidRPr="00DB58B5" w:rsidRDefault="001433FD" w:rsidP="0001207F"/>
        </w:tc>
        <w:tc>
          <w:tcPr>
            <w:tcW w:w="2268" w:type="dxa"/>
            <w:tcBorders>
              <w:bottom w:val="single" w:sz="4" w:space="0" w:color="auto"/>
            </w:tcBorders>
            <w:vAlign w:val="bottom"/>
          </w:tcPr>
          <w:p w14:paraId="0ED0722A" w14:textId="77777777"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DB86236" w14:textId="0C38988D" w:rsidR="001433FD" w:rsidRPr="000E7903" w:rsidRDefault="000E7903" w:rsidP="000E7903">
            <w:pPr>
              <w:jc w:val="right"/>
            </w:pPr>
            <w:r w:rsidRPr="000E7903">
              <w:rPr>
                <w:sz w:val="40"/>
              </w:rPr>
              <w:t>ECE</w:t>
            </w:r>
            <w:r>
              <w:t>/TRANS/WP.15/AC.2/2023/5</w:t>
            </w:r>
          </w:p>
        </w:tc>
      </w:tr>
      <w:tr w:rsidR="001433FD" w:rsidRPr="00DB58B5" w14:paraId="75839923" w14:textId="77777777" w:rsidTr="007D3236">
        <w:trPr>
          <w:trHeight w:hRule="exact" w:val="2835"/>
        </w:trPr>
        <w:tc>
          <w:tcPr>
            <w:tcW w:w="1276" w:type="dxa"/>
            <w:tcBorders>
              <w:top w:val="single" w:sz="4" w:space="0" w:color="auto"/>
              <w:bottom w:val="single" w:sz="12" w:space="0" w:color="auto"/>
            </w:tcBorders>
          </w:tcPr>
          <w:p w14:paraId="77479811" w14:textId="77777777" w:rsidR="001433FD" w:rsidRPr="00DB58B5" w:rsidRDefault="001433FD" w:rsidP="007D3236">
            <w:pPr>
              <w:spacing w:before="120"/>
              <w:jc w:val="center"/>
            </w:pPr>
            <w:r>
              <w:rPr>
                <w:noProof/>
                <w:lang w:eastAsia="fr-CH"/>
              </w:rPr>
              <w:drawing>
                <wp:inline distT="0" distB="0" distL="0" distR="0" wp14:anchorId="3A1D16B4" wp14:editId="08FCDC66">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0A1C581" w14:textId="77777777"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922AD1F" w14:textId="77777777" w:rsidR="0001207F" w:rsidRDefault="008E306F" w:rsidP="008E306F">
            <w:pPr>
              <w:spacing w:before="240" w:line="240" w:lineRule="exact"/>
            </w:pPr>
            <w:proofErr w:type="spellStart"/>
            <w:r>
              <w:t>Distr</w:t>
            </w:r>
            <w:proofErr w:type="spellEnd"/>
            <w:r>
              <w:t>. générale</w:t>
            </w:r>
          </w:p>
          <w:p w14:paraId="32584E23" w14:textId="4287663F" w:rsidR="008E306F" w:rsidRDefault="001B36E6" w:rsidP="008E306F">
            <w:pPr>
              <w:spacing w:line="240" w:lineRule="exact"/>
            </w:pPr>
            <w:r>
              <w:t>10</w:t>
            </w:r>
            <w:r w:rsidR="008E306F">
              <w:t xml:space="preserve"> novembre 2022</w:t>
            </w:r>
          </w:p>
          <w:p w14:paraId="00BA6052" w14:textId="77777777" w:rsidR="008E306F" w:rsidRDefault="008E306F" w:rsidP="008E306F">
            <w:pPr>
              <w:spacing w:line="240" w:lineRule="exact"/>
            </w:pPr>
          </w:p>
          <w:p w14:paraId="090DE7D5" w14:textId="77777777" w:rsidR="008E306F" w:rsidRPr="00DB58B5" w:rsidRDefault="008E306F" w:rsidP="008E306F">
            <w:pPr>
              <w:spacing w:line="240" w:lineRule="exact"/>
            </w:pPr>
            <w:r>
              <w:t>Original : français</w:t>
            </w:r>
          </w:p>
        </w:tc>
      </w:tr>
    </w:tbl>
    <w:p w14:paraId="5496D959" w14:textId="00F37132" w:rsidR="00564657" w:rsidRDefault="00564657" w:rsidP="008E306F">
      <w:pPr>
        <w:spacing w:before="120"/>
        <w:rPr>
          <w:b/>
          <w:sz w:val="28"/>
          <w:szCs w:val="28"/>
        </w:rPr>
      </w:pPr>
      <w:r w:rsidRPr="000312C0">
        <w:rPr>
          <w:b/>
          <w:sz w:val="28"/>
          <w:szCs w:val="28"/>
        </w:rPr>
        <w:t>Commission économique pour l</w:t>
      </w:r>
      <w:r>
        <w:rPr>
          <w:b/>
          <w:sz w:val="28"/>
          <w:szCs w:val="28"/>
        </w:rPr>
        <w:t>’</w:t>
      </w:r>
      <w:r w:rsidRPr="000312C0">
        <w:rPr>
          <w:b/>
          <w:sz w:val="28"/>
          <w:szCs w:val="28"/>
        </w:rPr>
        <w:t>Europe</w:t>
      </w:r>
    </w:p>
    <w:p w14:paraId="3ACD5A2E" w14:textId="77777777" w:rsidR="008E306F" w:rsidRPr="009E01B8" w:rsidRDefault="008E306F" w:rsidP="008E306F">
      <w:pPr>
        <w:spacing w:before="120"/>
        <w:rPr>
          <w:sz w:val="28"/>
          <w:szCs w:val="28"/>
        </w:rPr>
      </w:pPr>
      <w:r w:rsidRPr="009E01B8">
        <w:rPr>
          <w:sz w:val="28"/>
          <w:szCs w:val="28"/>
        </w:rPr>
        <w:t>Comité des transports intérieurs</w:t>
      </w:r>
    </w:p>
    <w:p w14:paraId="730974B5" w14:textId="77777777" w:rsidR="008E306F" w:rsidRPr="009E01B8" w:rsidRDefault="008E306F" w:rsidP="008E306F">
      <w:pPr>
        <w:spacing w:before="120" w:line="240" w:lineRule="auto"/>
        <w:rPr>
          <w:b/>
          <w:sz w:val="24"/>
          <w:szCs w:val="24"/>
        </w:rPr>
      </w:pPr>
      <w:r w:rsidRPr="009E01B8">
        <w:rPr>
          <w:b/>
          <w:sz w:val="24"/>
          <w:szCs w:val="24"/>
        </w:rPr>
        <w:t>Groupe de travail des transports</w:t>
      </w:r>
      <w:r>
        <w:rPr>
          <w:b/>
          <w:sz w:val="24"/>
          <w:szCs w:val="24"/>
        </w:rPr>
        <w:br/>
      </w:r>
      <w:r w:rsidRPr="009E01B8">
        <w:rPr>
          <w:b/>
          <w:sz w:val="24"/>
          <w:szCs w:val="24"/>
        </w:rPr>
        <w:t>de marchandises dangereuses</w:t>
      </w:r>
    </w:p>
    <w:p w14:paraId="4CCF2BC1" w14:textId="77777777" w:rsidR="008E306F" w:rsidRPr="004812F5" w:rsidRDefault="008E306F" w:rsidP="008E306F">
      <w:pPr>
        <w:spacing w:before="120" w:line="240" w:lineRule="auto"/>
        <w:rPr>
          <w:b/>
        </w:rPr>
      </w:pPr>
      <w:r w:rsidRPr="004812F5">
        <w:rPr>
          <w:b/>
          <w:lang w:val="fr-FR"/>
        </w:rPr>
        <w:t>Réunion commune d</w:t>
      </w:r>
      <w:r>
        <w:rPr>
          <w:b/>
          <w:lang w:val="fr-FR"/>
        </w:rPr>
        <w:t>’</w:t>
      </w:r>
      <w:r w:rsidRPr="004812F5">
        <w:rPr>
          <w:b/>
          <w:lang w:val="fr-FR"/>
        </w:rPr>
        <w:t>experts sur le Règlement annexé</w:t>
      </w:r>
      <w:r>
        <w:rPr>
          <w:b/>
          <w:lang w:val="fr-FR"/>
        </w:rPr>
        <w:br/>
      </w:r>
      <w:r w:rsidRPr="004812F5">
        <w:rPr>
          <w:b/>
          <w:lang w:val="fr-FR"/>
        </w:rPr>
        <w:t>à l</w:t>
      </w:r>
      <w:r>
        <w:rPr>
          <w:b/>
          <w:lang w:val="fr-FR"/>
        </w:rPr>
        <w:t>’</w:t>
      </w:r>
      <w:r w:rsidRPr="004812F5">
        <w:rPr>
          <w:b/>
          <w:lang w:val="fr-FR"/>
        </w:rPr>
        <w:t>Accord européen</w:t>
      </w:r>
      <w:r>
        <w:rPr>
          <w:b/>
          <w:lang w:val="fr-FR"/>
        </w:rPr>
        <w:t xml:space="preserve"> </w:t>
      </w:r>
      <w:r w:rsidRPr="004812F5">
        <w:rPr>
          <w:b/>
          <w:lang w:val="fr-FR"/>
        </w:rPr>
        <w:t>relatif au transport international</w:t>
      </w:r>
      <w:r>
        <w:rPr>
          <w:b/>
          <w:lang w:val="fr-FR"/>
        </w:rPr>
        <w:br/>
      </w:r>
      <w:r w:rsidRPr="004812F5">
        <w:rPr>
          <w:b/>
          <w:lang w:val="fr-FR"/>
        </w:rPr>
        <w:t xml:space="preserve">des marchandises </w:t>
      </w:r>
      <w:r w:rsidRPr="004812F5">
        <w:rPr>
          <w:b/>
          <w:bCs/>
          <w:iCs/>
          <w:lang w:val="fr-FR"/>
        </w:rPr>
        <w:t>dangereuses par voies</w:t>
      </w:r>
      <w:r>
        <w:rPr>
          <w:b/>
          <w:bCs/>
          <w:iCs/>
          <w:lang w:val="fr-FR"/>
        </w:rPr>
        <w:t xml:space="preserve"> </w:t>
      </w:r>
      <w:r w:rsidRPr="004812F5">
        <w:rPr>
          <w:b/>
          <w:bCs/>
          <w:iCs/>
          <w:lang w:val="fr-FR"/>
        </w:rPr>
        <w:t>de navigation</w:t>
      </w:r>
      <w:r>
        <w:rPr>
          <w:b/>
          <w:bCs/>
          <w:iCs/>
          <w:lang w:val="fr-FR"/>
        </w:rPr>
        <w:br/>
      </w:r>
      <w:r w:rsidRPr="004812F5">
        <w:rPr>
          <w:b/>
          <w:bCs/>
          <w:iCs/>
          <w:lang w:val="fr-FR"/>
        </w:rPr>
        <w:t xml:space="preserve">intérieures (ADN) </w:t>
      </w:r>
      <w:r w:rsidRPr="004812F5">
        <w:rPr>
          <w:b/>
          <w:bCs/>
          <w:lang w:val="fr-FR"/>
        </w:rPr>
        <w:t>(Comité de sécurité de l</w:t>
      </w:r>
      <w:r>
        <w:rPr>
          <w:b/>
          <w:bCs/>
          <w:lang w:val="fr-FR"/>
        </w:rPr>
        <w:t>’</w:t>
      </w:r>
      <w:r w:rsidRPr="004812F5">
        <w:rPr>
          <w:b/>
          <w:bCs/>
          <w:lang w:val="fr-FR"/>
        </w:rPr>
        <w:t>ADN)</w:t>
      </w:r>
    </w:p>
    <w:p w14:paraId="42CE6973" w14:textId="77777777" w:rsidR="008E306F" w:rsidRPr="00CC271C" w:rsidRDefault="008E306F" w:rsidP="008E306F">
      <w:pPr>
        <w:spacing w:before="120"/>
        <w:rPr>
          <w:b/>
        </w:rPr>
      </w:pPr>
      <w:r w:rsidRPr="004F53D2">
        <w:rPr>
          <w:b/>
        </w:rPr>
        <w:t>Quarante</w:t>
      </w:r>
      <w:r>
        <w:rPr>
          <w:b/>
        </w:rPr>
        <w:t xml:space="preserve"> </w:t>
      </w:r>
      <w:r w:rsidRPr="004F53D2">
        <w:rPr>
          <w:b/>
        </w:rPr>
        <w:t>et</w:t>
      </w:r>
      <w:r>
        <w:rPr>
          <w:b/>
        </w:rPr>
        <w:t xml:space="preserve"> </w:t>
      </w:r>
      <w:r w:rsidRPr="004F53D2">
        <w:rPr>
          <w:b/>
        </w:rPr>
        <w:t>unième</w:t>
      </w:r>
      <w:r w:rsidRPr="00545DEF" w:rsidDel="00545DEF">
        <w:rPr>
          <w:b/>
        </w:rPr>
        <w:t xml:space="preserve"> </w:t>
      </w:r>
      <w:r w:rsidRPr="00CC271C">
        <w:rPr>
          <w:b/>
        </w:rPr>
        <w:t>session</w:t>
      </w:r>
    </w:p>
    <w:p w14:paraId="03B02E8F" w14:textId="77777777" w:rsidR="008E306F" w:rsidRDefault="008E306F" w:rsidP="008E306F">
      <w:pPr>
        <w:rPr>
          <w:bCs/>
          <w:lang w:val="fr-FR"/>
        </w:rPr>
      </w:pPr>
      <w:r>
        <w:t xml:space="preserve">Genève, </w:t>
      </w:r>
      <w:r>
        <w:rPr>
          <w:bCs/>
          <w:lang w:val="fr-FR"/>
        </w:rPr>
        <w:t>23-27 janvier 2023</w:t>
      </w:r>
    </w:p>
    <w:p w14:paraId="18F6C5E5" w14:textId="0C9B1C9C" w:rsidR="008E306F" w:rsidRDefault="008E306F" w:rsidP="008E306F">
      <w:r>
        <w:t>Point 5 b) de l’ordre du jour provisoire</w:t>
      </w:r>
    </w:p>
    <w:p w14:paraId="2D776533" w14:textId="636030F5" w:rsidR="008E306F" w:rsidRPr="00A745B0" w:rsidRDefault="008E306F" w:rsidP="008E306F">
      <w:pPr>
        <w:rPr>
          <w:rFonts w:eastAsiaTheme="minorEastAsia"/>
          <w:b/>
          <w:bCs/>
          <w:lang w:val="fr-FR"/>
        </w:rPr>
      </w:pPr>
      <w:r w:rsidRPr="00A745B0">
        <w:rPr>
          <w:rFonts w:eastAsiaTheme="minorEastAsia"/>
          <w:b/>
          <w:bCs/>
          <w:lang w:val="fr-FR"/>
        </w:rPr>
        <w:t>Propositions d’amendements au Règlement annexé à l’ADN</w:t>
      </w:r>
      <w:r>
        <w:rPr>
          <w:rFonts w:eastAsiaTheme="minorEastAsia"/>
          <w:b/>
          <w:bCs/>
          <w:lang w:val="fr-FR"/>
        </w:rPr>
        <w:t xml:space="preserve"> </w:t>
      </w:r>
      <w:r w:rsidRPr="00A745B0">
        <w:rPr>
          <w:rFonts w:eastAsiaTheme="minorEastAsia"/>
          <w:b/>
          <w:bCs/>
          <w:lang w:val="fr-FR"/>
        </w:rPr>
        <w:t>:</w:t>
      </w:r>
    </w:p>
    <w:p w14:paraId="5872155D" w14:textId="3557DF66" w:rsidR="008E306F" w:rsidRPr="00A745B0" w:rsidRDefault="008E306F" w:rsidP="008E306F">
      <w:pPr>
        <w:rPr>
          <w:rFonts w:eastAsiaTheme="minorEastAsia"/>
          <w:b/>
          <w:bCs/>
          <w:lang w:val="fr-FR"/>
        </w:rPr>
      </w:pPr>
      <w:r>
        <w:rPr>
          <w:rFonts w:eastAsiaTheme="minorEastAsia"/>
          <w:b/>
          <w:bCs/>
          <w:lang w:val="fr-FR"/>
        </w:rPr>
        <w:t>a</w:t>
      </w:r>
      <w:r w:rsidRPr="00A745B0">
        <w:rPr>
          <w:rFonts w:eastAsiaTheme="minorEastAsia"/>
          <w:b/>
          <w:bCs/>
          <w:lang w:val="fr-FR"/>
        </w:rPr>
        <w:t>utres propositions</w:t>
      </w:r>
    </w:p>
    <w:p w14:paraId="4AB8C557" w14:textId="7C431119" w:rsidR="008E306F" w:rsidRDefault="008E306F" w:rsidP="008E306F"/>
    <w:p w14:paraId="670AFBB9" w14:textId="223F6AA0" w:rsidR="008E306F" w:rsidRPr="00A745B0" w:rsidRDefault="008E306F" w:rsidP="008E306F">
      <w:pPr>
        <w:pStyle w:val="HChG"/>
        <w:rPr>
          <w:lang w:val="fr-FR"/>
        </w:rPr>
      </w:pPr>
      <w:r w:rsidRPr="00A745B0">
        <w:rPr>
          <w:lang w:val="fr-FR"/>
        </w:rPr>
        <w:tab/>
      </w:r>
      <w:r w:rsidRPr="00A745B0">
        <w:rPr>
          <w:lang w:val="fr-FR"/>
        </w:rPr>
        <w:tab/>
        <w:t>Agrément des sociétés de classification – Proposition d’amendement du chapitre 1.15 (section 1.15.3) du Règlement annexé à l’ADN</w:t>
      </w:r>
    </w:p>
    <w:p w14:paraId="2B67D00F" w14:textId="27C2DA5E" w:rsidR="008E306F" w:rsidRPr="003E5095" w:rsidRDefault="008E306F" w:rsidP="008E306F">
      <w:pPr>
        <w:pStyle w:val="H1G"/>
        <w:rPr>
          <w:vertAlign w:val="superscript"/>
        </w:rPr>
      </w:pPr>
      <w:r w:rsidRPr="00A745B0">
        <w:rPr>
          <w:lang w:val="fr-FR"/>
        </w:rPr>
        <w:tab/>
      </w:r>
      <w:r w:rsidRPr="00A745B0">
        <w:rPr>
          <w:lang w:val="fr-FR"/>
        </w:rPr>
        <w:tab/>
        <w:t xml:space="preserve">Communication </w:t>
      </w:r>
      <w:r>
        <w:rPr>
          <w:lang w:val="fr-FR"/>
        </w:rPr>
        <w:t>des</w:t>
      </w:r>
      <w:r w:rsidRPr="00A745B0">
        <w:rPr>
          <w:lang w:val="fr-FR"/>
        </w:rPr>
        <w:t xml:space="preserve"> Gouvernement</w:t>
      </w:r>
      <w:r>
        <w:rPr>
          <w:lang w:val="fr-FR"/>
        </w:rPr>
        <w:t>s</w:t>
      </w:r>
      <w:r w:rsidR="003E54C4" w:rsidRPr="00A745B0">
        <w:rPr>
          <w:lang w:val="fr-FR"/>
        </w:rPr>
        <w:t xml:space="preserve"> </w:t>
      </w:r>
      <w:r w:rsidRPr="00A745B0">
        <w:rPr>
          <w:lang w:val="fr-FR"/>
        </w:rPr>
        <w:t xml:space="preserve">de la Belgique et du </w:t>
      </w:r>
      <w:r w:rsidR="00F676B7">
        <w:rPr>
          <w:lang w:val="fr-FR"/>
        </w:rPr>
        <w:br/>
      </w:r>
      <w:r w:rsidRPr="00A745B0">
        <w:rPr>
          <w:lang w:val="fr-FR"/>
        </w:rPr>
        <w:t xml:space="preserve">Luxembourg </w:t>
      </w:r>
      <w:r w:rsidRPr="003E5095">
        <w:rPr>
          <w:rStyle w:val="Appelnotedebasdep"/>
          <w:snapToGrid w:val="0"/>
          <w:sz w:val="20"/>
        </w:rPr>
        <w:footnoteReference w:customMarkFollows="1" w:id="2"/>
        <w:t>*</w:t>
      </w:r>
      <w:r w:rsidR="003E5095" w:rsidRPr="003E5095">
        <w:rPr>
          <w:snapToGrid w:val="0"/>
          <w:sz w:val="20"/>
          <w:vertAlign w:val="superscript"/>
        </w:rPr>
        <w:t xml:space="preserve">, </w:t>
      </w:r>
      <w:r w:rsidR="003E5095" w:rsidRPr="003E5095">
        <w:rPr>
          <w:rStyle w:val="Appelnotedebasdep"/>
          <w:snapToGrid w:val="0"/>
          <w:sz w:val="20"/>
        </w:rPr>
        <w:footnoteReference w:customMarkFollows="1" w:id="3"/>
        <w:t>**</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8E306F" w:rsidRPr="00A745B0" w14:paraId="14F21DDA" w14:textId="77777777" w:rsidTr="00B969AD">
        <w:trPr>
          <w:jc w:val="center"/>
        </w:trPr>
        <w:tc>
          <w:tcPr>
            <w:tcW w:w="9628" w:type="dxa"/>
            <w:shd w:val="clear" w:color="auto" w:fill="auto"/>
          </w:tcPr>
          <w:p w14:paraId="48A59FD9" w14:textId="77777777" w:rsidR="008E306F" w:rsidRPr="00A745B0" w:rsidRDefault="008E306F" w:rsidP="00B969AD">
            <w:pPr>
              <w:spacing w:before="240" w:after="120"/>
              <w:ind w:left="255"/>
              <w:rPr>
                <w:i/>
                <w:sz w:val="24"/>
              </w:rPr>
            </w:pPr>
            <w:r w:rsidRPr="00A745B0">
              <w:rPr>
                <w:i/>
                <w:sz w:val="24"/>
              </w:rPr>
              <w:t xml:space="preserve">Résumé </w:t>
            </w:r>
          </w:p>
        </w:tc>
      </w:tr>
      <w:tr w:rsidR="008E306F" w14:paraId="7F03184C" w14:textId="77777777" w:rsidTr="00B969AD">
        <w:trPr>
          <w:jc w:val="center"/>
        </w:trPr>
        <w:tc>
          <w:tcPr>
            <w:tcW w:w="9628" w:type="dxa"/>
            <w:shd w:val="clear" w:color="auto" w:fill="auto"/>
          </w:tcPr>
          <w:p w14:paraId="276FFBC1" w14:textId="77777777" w:rsidR="008E306F" w:rsidRPr="00A745B0" w:rsidRDefault="008E306F" w:rsidP="00B969AD">
            <w:pPr>
              <w:pStyle w:val="SingleTxtG"/>
              <w:ind w:left="2835" w:hanging="2551"/>
            </w:pPr>
            <w:r w:rsidRPr="00A745B0">
              <w:rPr>
                <w:b/>
                <w:lang w:eastAsia="fr-FR"/>
              </w:rPr>
              <w:t xml:space="preserve">Résumé analytique : </w:t>
            </w:r>
            <w:r w:rsidRPr="00A745B0">
              <w:rPr>
                <w:b/>
                <w:lang w:eastAsia="fr-FR"/>
              </w:rPr>
              <w:tab/>
            </w:r>
            <w:r w:rsidRPr="00A745B0">
              <w:t>Proposition d’amendement du chapitre 1.15 et plus particulièrement de la section 1.15.3 du Règlement annexé à l’ADN.</w:t>
            </w:r>
          </w:p>
          <w:p w14:paraId="0E19E080" w14:textId="77777777" w:rsidR="008E306F" w:rsidRPr="00A745B0" w:rsidRDefault="008E306F" w:rsidP="00B969AD">
            <w:pPr>
              <w:pStyle w:val="SingleTxtG"/>
              <w:ind w:left="2835" w:hanging="2551"/>
            </w:pPr>
            <w:r w:rsidRPr="00A745B0">
              <w:rPr>
                <w:b/>
                <w:lang w:eastAsia="fr-FR"/>
              </w:rPr>
              <w:t xml:space="preserve">Mesure à prendre : </w:t>
            </w:r>
            <w:r w:rsidRPr="00A745B0">
              <w:rPr>
                <w:b/>
                <w:lang w:eastAsia="fr-FR"/>
              </w:rPr>
              <w:tab/>
            </w:r>
            <w:r w:rsidRPr="00A745B0">
              <w:rPr>
                <w:lang w:eastAsia="fr-FR"/>
              </w:rPr>
              <w:t xml:space="preserve">Voir </w:t>
            </w:r>
            <w:r w:rsidRPr="003E5095">
              <w:rPr>
                <w:lang w:eastAsia="fr-FR"/>
              </w:rPr>
              <w:t>paragraphes 11 et 12</w:t>
            </w:r>
          </w:p>
          <w:p w14:paraId="11C6499F" w14:textId="77777777" w:rsidR="008E306F" w:rsidRDefault="008E306F" w:rsidP="00B969AD">
            <w:pPr>
              <w:pStyle w:val="SingleTxtG"/>
              <w:ind w:left="2835" w:hanging="2551"/>
            </w:pPr>
            <w:r w:rsidRPr="00A745B0">
              <w:rPr>
                <w:b/>
                <w:lang w:eastAsia="fr-FR"/>
              </w:rPr>
              <w:t>Documents de référence :</w:t>
            </w:r>
            <w:r>
              <w:rPr>
                <w:b/>
                <w:lang w:eastAsia="fr-FR"/>
              </w:rPr>
              <w:t xml:space="preserve"> </w:t>
            </w:r>
            <w:r>
              <w:rPr>
                <w:b/>
                <w:lang w:eastAsia="fr-FR"/>
              </w:rPr>
              <w:tab/>
            </w:r>
          </w:p>
        </w:tc>
      </w:tr>
      <w:tr w:rsidR="008E306F" w14:paraId="7C0DCA3D" w14:textId="77777777" w:rsidTr="00B969AD">
        <w:trPr>
          <w:jc w:val="center"/>
        </w:trPr>
        <w:tc>
          <w:tcPr>
            <w:tcW w:w="9628" w:type="dxa"/>
            <w:shd w:val="clear" w:color="auto" w:fill="auto"/>
          </w:tcPr>
          <w:p w14:paraId="34C81D03" w14:textId="77777777" w:rsidR="008E306F" w:rsidRDefault="008E306F" w:rsidP="00B969AD"/>
        </w:tc>
      </w:tr>
    </w:tbl>
    <w:p w14:paraId="3814714F" w14:textId="73BFBF42" w:rsidR="008E306F" w:rsidRPr="00734511" w:rsidRDefault="008E306F" w:rsidP="008E306F">
      <w:pPr>
        <w:pStyle w:val="HChG"/>
        <w:rPr>
          <w:lang w:val="fr-FR"/>
        </w:rPr>
      </w:pPr>
      <w:r>
        <w:rPr>
          <w:lang w:val="fr-FR"/>
        </w:rPr>
        <w:lastRenderedPageBreak/>
        <w:tab/>
      </w:r>
      <w:r>
        <w:rPr>
          <w:lang w:val="fr-FR"/>
        </w:rPr>
        <w:tab/>
      </w:r>
      <w:r w:rsidRPr="008E306F">
        <w:t>Introduction</w:t>
      </w:r>
    </w:p>
    <w:p w14:paraId="034BB3F4" w14:textId="027AFD9E" w:rsidR="008E306F" w:rsidRPr="003B48BC" w:rsidRDefault="003B48BC" w:rsidP="003B48BC">
      <w:pPr>
        <w:pStyle w:val="SingleTxtG"/>
      </w:pPr>
      <w:r>
        <w:t>1.</w:t>
      </w:r>
      <w:r>
        <w:tab/>
      </w:r>
      <w:r w:rsidR="008E306F" w:rsidRPr="003B48BC">
        <w:t>La Belgique et le Luxembourg estiment qu'il est nécessaire de modifier certaines dispositions de la section 1.15.3 relative à l'agrément des sociétés de classification et proposent un amendement au Règlement annexé allant dans ce sens.</w:t>
      </w:r>
    </w:p>
    <w:p w14:paraId="0A43395D" w14:textId="1E192E01" w:rsidR="008E306F" w:rsidRPr="00734511" w:rsidRDefault="008E306F" w:rsidP="008E306F">
      <w:pPr>
        <w:pStyle w:val="HChG"/>
        <w:rPr>
          <w:lang w:val="fr-FR"/>
        </w:rPr>
      </w:pPr>
      <w:r w:rsidRPr="00734511">
        <w:rPr>
          <w:lang w:val="fr-FR"/>
        </w:rPr>
        <w:tab/>
      </w:r>
      <w:r w:rsidR="003B48BC">
        <w:rPr>
          <w:lang w:val="fr-FR"/>
        </w:rPr>
        <w:t>I.</w:t>
      </w:r>
      <w:r w:rsidRPr="00734511">
        <w:rPr>
          <w:lang w:val="fr-FR"/>
        </w:rPr>
        <w:tab/>
      </w:r>
      <w:r>
        <w:rPr>
          <w:lang w:val="fr-FR"/>
        </w:rPr>
        <w:t>Généralités et analyse</w:t>
      </w:r>
    </w:p>
    <w:p w14:paraId="4FFC4E39" w14:textId="27B2449C" w:rsidR="008E306F" w:rsidRPr="003B48BC" w:rsidRDefault="003B48BC" w:rsidP="003B48BC">
      <w:pPr>
        <w:pStyle w:val="SingleTxtG"/>
      </w:pPr>
      <w:r>
        <w:t>2.</w:t>
      </w:r>
      <w:r>
        <w:tab/>
      </w:r>
      <w:r w:rsidR="008E306F" w:rsidRPr="003B48BC">
        <w:t>Les dispositions qui encadrent les conditions et critères à remplir par les sociétés de classification aux fins de leur agrément dans le cadre de l’ADN sont regroupées dans la section 1.15.3 du Règlement annexé à l’ADN (sous-sections 1.15.3.1 à 1.15.3.8).</w:t>
      </w:r>
    </w:p>
    <w:p w14:paraId="1D51BC56" w14:textId="7AF3EBE6" w:rsidR="008E306F" w:rsidRPr="003B48BC" w:rsidRDefault="003B48BC" w:rsidP="003B48BC">
      <w:pPr>
        <w:pStyle w:val="SingleTxtG"/>
      </w:pPr>
      <w:r>
        <w:t>3.</w:t>
      </w:r>
      <w:r>
        <w:tab/>
      </w:r>
      <w:r w:rsidR="008E306F" w:rsidRPr="003B48BC">
        <w:t>Il existe d’autres instruments internationaux dans lesquels des conditions et critères ayant le même objet ont été développés, par exemple la Directive (UE) 2016/1629 du Parlement européen et du Conseil du 14 septembre 2016, établissant les prescriptions techniques applicables aux bateaux de navigation intérieure, modifiant la directive 2009/100/CE et abrogeant la directive 2006/87/CE. Ces conditions et critères sont très voisins de ceux figurant dans le Règlement annexé à l’ADN (voir l’annexe du document ECE/TRANS/WP.15/AC.2/2020/32)</w:t>
      </w:r>
      <w:r w:rsidR="003E5095">
        <w:t>.</w:t>
      </w:r>
    </w:p>
    <w:p w14:paraId="63B2FF6A" w14:textId="6DBBAF14" w:rsidR="008E306F" w:rsidRPr="003B48BC" w:rsidRDefault="003B48BC" w:rsidP="003B48BC">
      <w:pPr>
        <w:pStyle w:val="SingleTxtG"/>
      </w:pPr>
      <w:r>
        <w:t>4.</w:t>
      </w:r>
      <w:r>
        <w:tab/>
      </w:r>
      <w:r w:rsidR="008E306F" w:rsidRPr="003B48BC">
        <w:t>Lors de l'examen du document ECE/TRANS/WP.15/AC.2/2020/32, il a été constaté que les dispositions désignées au paragraphe 2 peuvent être perçues de différentes manières. Toutefois, en vue d'harmoniser le Règlement annexé à l’ADN, il importe de réécrire les sections et sous-sections concernées afin de permettre une interprétation uniforme dans toutes les Parties contractantes.</w:t>
      </w:r>
    </w:p>
    <w:p w14:paraId="64FD6CFB" w14:textId="1B64E21F" w:rsidR="008E306F" w:rsidRPr="003B48BC" w:rsidRDefault="003B48BC" w:rsidP="003B48BC">
      <w:pPr>
        <w:pStyle w:val="SingleTxtG"/>
      </w:pPr>
      <w:r>
        <w:t>5.</w:t>
      </w:r>
      <w:r>
        <w:tab/>
      </w:r>
      <w:r w:rsidR="008E306F" w:rsidRPr="003B48BC">
        <w:t>Partant, les conditions et critères développés dans les sous-sections 1.15.3.2 à 1.15.3.7 n’appellent pas d’observation particulière.</w:t>
      </w:r>
    </w:p>
    <w:p w14:paraId="694AD377" w14:textId="7FCB504A" w:rsidR="008E306F" w:rsidRPr="003B48BC" w:rsidRDefault="003B48BC" w:rsidP="003B48BC">
      <w:pPr>
        <w:pStyle w:val="SingleTxtG"/>
      </w:pPr>
      <w:r>
        <w:t>6.</w:t>
      </w:r>
      <w:r>
        <w:tab/>
      </w:r>
      <w:r w:rsidR="008E306F" w:rsidRPr="003B48BC">
        <w:t>La sous-section 1.15.3.1, qui pose des exigences générales, ne requiert curieusement aucune compétence ou expertise relative à la connaissance de l’ADN et de son Règlement annexé.</w:t>
      </w:r>
    </w:p>
    <w:p w14:paraId="769F66DA" w14:textId="5DD3620B" w:rsidR="008E306F" w:rsidRPr="003B48BC" w:rsidRDefault="003B48BC" w:rsidP="003B48BC">
      <w:pPr>
        <w:pStyle w:val="SingleTxtG"/>
      </w:pPr>
      <w:r>
        <w:t>7.</w:t>
      </w:r>
      <w:r>
        <w:tab/>
      </w:r>
      <w:r w:rsidR="008E306F" w:rsidRPr="003B48BC">
        <w:t>La sous-section 1.15.3.8, qui porte sur les exigences relatives au système de qualité interne, appelle quant à lui plusieurs remarques :</w:t>
      </w:r>
    </w:p>
    <w:p w14:paraId="5C39A53E" w14:textId="216B7149" w:rsidR="008E306F" w:rsidRPr="003B48BC" w:rsidRDefault="008E306F" w:rsidP="003B48BC">
      <w:pPr>
        <w:pStyle w:val="Bullet1G"/>
      </w:pPr>
      <w:r w:rsidRPr="003B48BC">
        <w:t>Il fait référence à deux normes (EN</w:t>
      </w:r>
      <w:r w:rsidR="00263A4C">
        <w:t> </w:t>
      </w:r>
      <w:r w:rsidRPr="003B48BC">
        <w:t>ISO/IEC</w:t>
      </w:r>
      <w:r w:rsidR="00263A4C">
        <w:t> </w:t>
      </w:r>
      <w:r w:rsidRPr="003B48BC">
        <w:t>17020:2012 (à l’exception du 8.1.3), et ISO</w:t>
      </w:r>
      <w:r w:rsidR="00263A4C">
        <w:t> </w:t>
      </w:r>
      <w:r w:rsidRPr="003B48BC">
        <w:t>9001 ou EN</w:t>
      </w:r>
      <w:r w:rsidR="00263A4C">
        <w:t> </w:t>
      </w:r>
      <w:r w:rsidRPr="003B48BC">
        <w:t>ISO</w:t>
      </w:r>
      <w:r w:rsidR="00263A4C">
        <w:t> </w:t>
      </w:r>
      <w:r w:rsidRPr="003B48BC">
        <w:t>9001:2015)</w:t>
      </w:r>
      <w:r w:rsidR="003B48BC">
        <w:t>.</w:t>
      </w:r>
    </w:p>
    <w:p w14:paraId="2A8512AB" w14:textId="344CAF20" w:rsidR="008E306F" w:rsidRPr="003B48BC" w:rsidRDefault="008E306F" w:rsidP="003B48BC">
      <w:pPr>
        <w:pStyle w:val="Bullet1G"/>
      </w:pPr>
      <w:r w:rsidRPr="003B48BC">
        <w:t>Le système de qualité interne doit "être fondé sur les aspects pertinents" de ces deux normes, sans que ces aspects pertinents soient explicités</w:t>
      </w:r>
      <w:r w:rsidR="003B48BC">
        <w:t>.</w:t>
      </w:r>
    </w:p>
    <w:p w14:paraId="4E29E71D" w14:textId="77777777" w:rsidR="008E306F" w:rsidRPr="003B48BC" w:rsidRDefault="008E306F" w:rsidP="003B48BC">
      <w:pPr>
        <w:pStyle w:val="Bullet1G"/>
      </w:pPr>
      <w:r w:rsidRPr="003B48BC">
        <w:t>Ce système doit être "certifié par un corps indépendant de vérificateurs reconnus par l'administration de l'État dans lequel il est implanté" :</w:t>
      </w:r>
    </w:p>
    <w:p w14:paraId="389417D5" w14:textId="77777777" w:rsidR="008E306F" w:rsidRPr="003B48BC" w:rsidRDefault="008E306F" w:rsidP="003B48BC">
      <w:pPr>
        <w:pStyle w:val="Bullet2G"/>
      </w:pPr>
      <w:r w:rsidRPr="003B48BC">
        <w:t>Dans la notion de "reconnus par l'administration de l'État dans lequel il est implanté", s’agit-il de l’État dans lequel est implantée la société de classification, ou de l’État dans lequel est implanté le corps de vérificateurs ?</w:t>
      </w:r>
    </w:p>
    <w:p w14:paraId="2463071E" w14:textId="77777777" w:rsidR="008E306F" w:rsidRPr="003B48BC" w:rsidRDefault="008E306F" w:rsidP="003B48BC">
      <w:pPr>
        <w:pStyle w:val="Bullet2G"/>
      </w:pPr>
      <w:r w:rsidRPr="003B48BC">
        <w:t>Qu’entend-on par "corps indépendant de vérificateurs" ?</w:t>
      </w:r>
    </w:p>
    <w:p w14:paraId="6A159F78" w14:textId="4706ACE9" w:rsidR="008E306F" w:rsidRDefault="003B48BC" w:rsidP="003B48BC">
      <w:pPr>
        <w:pStyle w:val="HChG"/>
        <w:rPr>
          <w:lang w:val="fr-FR"/>
        </w:rPr>
      </w:pPr>
      <w:r>
        <w:rPr>
          <w:lang w:val="fr-FR"/>
        </w:rPr>
        <w:tab/>
        <w:t>II.</w:t>
      </w:r>
      <w:r>
        <w:rPr>
          <w:lang w:val="fr-FR"/>
        </w:rPr>
        <w:tab/>
      </w:r>
      <w:r w:rsidR="008E306F">
        <w:rPr>
          <w:lang w:val="fr-FR"/>
        </w:rPr>
        <w:t>Réponses aux questions soulevées aux points 2 à 7 ci-dessus</w:t>
      </w:r>
    </w:p>
    <w:p w14:paraId="5A93A8C4" w14:textId="5473B753" w:rsidR="008E306F" w:rsidRPr="003B48BC" w:rsidRDefault="003B48BC" w:rsidP="003B48BC">
      <w:pPr>
        <w:pStyle w:val="SingleTxtG"/>
      </w:pPr>
      <w:r>
        <w:t>8.</w:t>
      </w:r>
      <w:r>
        <w:tab/>
      </w:r>
      <w:r w:rsidR="008E306F" w:rsidRPr="003B48BC">
        <w:t>Les réponses que l’on peut apporter sont les suivantes :</w:t>
      </w:r>
    </w:p>
    <w:p w14:paraId="6DBE4FCD" w14:textId="52B01BA9" w:rsidR="008E306F" w:rsidRPr="003B48BC" w:rsidRDefault="008E306F" w:rsidP="003B48BC">
      <w:pPr>
        <w:pStyle w:val="Bullet1G"/>
      </w:pPr>
      <w:r w:rsidRPr="003B48BC">
        <w:t>La norme EN</w:t>
      </w:r>
      <w:r w:rsidR="00263A4C">
        <w:t> </w:t>
      </w:r>
      <w:r w:rsidRPr="003B48BC">
        <w:t>ISO/IEC</w:t>
      </w:r>
      <w:r w:rsidR="00263A4C">
        <w:t> </w:t>
      </w:r>
      <w:r w:rsidRPr="003B48BC">
        <w:t>17020 s’adresse à des "organismes procédant à l’inspection", et les sociétés de classification entrent dans cette catégorie, le respect des dispositions de cette norme est donc pertinent</w:t>
      </w:r>
      <w:r w:rsidR="003B48BC">
        <w:t>.</w:t>
      </w:r>
    </w:p>
    <w:p w14:paraId="39085B31" w14:textId="1D24650E" w:rsidR="008E306F" w:rsidRPr="003B48BC" w:rsidRDefault="008E306F" w:rsidP="003B48BC">
      <w:pPr>
        <w:pStyle w:val="Bullet1G"/>
      </w:pPr>
      <w:r w:rsidRPr="003B48BC">
        <w:t>La norme EN</w:t>
      </w:r>
      <w:r w:rsidR="00263A4C">
        <w:t> </w:t>
      </w:r>
      <w:r w:rsidRPr="003B48BC">
        <w:t>ISO/IEC</w:t>
      </w:r>
      <w:r w:rsidR="00263A4C">
        <w:t> </w:t>
      </w:r>
      <w:r w:rsidRPr="003B48BC">
        <w:t>17020, (même lorsqu’on exclut son paragraphe 8.1.3), couvre les exigences de la norme EN</w:t>
      </w:r>
      <w:r w:rsidR="00263A4C">
        <w:t> </w:t>
      </w:r>
      <w:r w:rsidRPr="003B48BC">
        <w:t>ISO</w:t>
      </w:r>
      <w:r w:rsidR="00263A4C">
        <w:t> </w:t>
      </w:r>
      <w:r w:rsidRPr="003B48BC">
        <w:t>9001:2015, et il est donc inutile d’exiger que le système de qualité interne se réfère aux deux normes, la référence à la norme EN</w:t>
      </w:r>
      <w:r w:rsidR="00F676B7">
        <w:t> </w:t>
      </w:r>
      <w:r w:rsidRPr="003B48BC">
        <w:t>ISO/IEC</w:t>
      </w:r>
      <w:r w:rsidR="00263A4C">
        <w:t> </w:t>
      </w:r>
      <w:r w:rsidRPr="003B48BC">
        <w:t>17020 étant suffisante</w:t>
      </w:r>
      <w:r w:rsidR="003B48BC">
        <w:t>.</w:t>
      </w:r>
    </w:p>
    <w:p w14:paraId="109F3A0D" w14:textId="323E4C9D" w:rsidR="008E306F" w:rsidRPr="003B48BC" w:rsidRDefault="008E306F" w:rsidP="003B48BC">
      <w:pPr>
        <w:pStyle w:val="Bullet1G"/>
      </w:pPr>
      <w:r w:rsidRPr="003B48BC">
        <w:lastRenderedPageBreak/>
        <w:t>La norme EN</w:t>
      </w:r>
      <w:r w:rsidR="00263A4C">
        <w:t> </w:t>
      </w:r>
      <w:r w:rsidRPr="003B48BC">
        <w:t>ISO/IEC</w:t>
      </w:r>
      <w:r w:rsidR="00263A4C">
        <w:t> </w:t>
      </w:r>
      <w:r w:rsidRPr="003B48BC">
        <w:t>17020 est essentiellement fondée sur la notion d’accréditation, et cette accréditation est délivrée, après audit, par un organisme d’accréditation (en général, il y en a un par État, et ces organismes d’accréditation fonctionnent entre eux sous un régime de reconnaissance mutuelle)</w:t>
      </w:r>
      <w:r w:rsidR="003B48BC">
        <w:t>.</w:t>
      </w:r>
    </w:p>
    <w:p w14:paraId="4782B0A1" w14:textId="77777777" w:rsidR="008E306F" w:rsidRPr="003B48BC" w:rsidRDefault="008E306F" w:rsidP="003B48BC">
      <w:pPr>
        <w:pStyle w:val="Bullet1G"/>
      </w:pPr>
      <w:r w:rsidRPr="003B48BC">
        <w:t>Exiger que les sociétés de classification soient accréditées par un organisme accréditeur résout par la même occasion l’ambiguïté actuelle relative au "corps indépendant de vérificateurs", puisque le rôle de "corps indépendant de vérificateurs" serait rempli par l’organisme d’accréditation.</w:t>
      </w:r>
    </w:p>
    <w:p w14:paraId="7BBEFB42" w14:textId="5A342F38" w:rsidR="008E306F" w:rsidRPr="003B48BC" w:rsidRDefault="003B48BC" w:rsidP="003B48BC">
      <w:pPr>
        <w:pStyle w:val="SingleTxtG"/>
      </w:pPr>
      <w:r>
        <w:t>9.</w:t>
      </w:r>
      <w:r>
        <w:tab/>
      </w:r>
      <w:r w:rsidR="008E306F" w:rsidRPr="003B48BC">
        <w:t>Dans ce contexte, il convient de mettre également en avant que, dans le cadre des réglementations élaborées par la CEE-ONU pour les transports intérieurs de marchandises dangereuses, les organismes de contrôle agissant dans le cadre de la section 1.8.6 du RID ou de l’ADR sont soumis à l’accréditation selon la norme EN</w:t>
      </w:r>
      <w:r w:rsidR="00263A4C">
        <w:t> </w:t>
      </w:r>
      <w:r w:rsidR="008E306F" w:rsidRPr="003B48BC">
        <w:t>ISO/CEI</w:t>
      </w:r>
      <w:r w:rsidR="00263A4C">
        <w:t> </w:t>
      </w:r>
      <w:r w:rsidR="008E306F" w:rsidRPr="003B48BC">
        <w:t>17020 (voir par exemple la sous-section 1.8.6.8 du RID / ADR). Dans le cadre de ces règlements RID / ADR, les organismes de contrôle mènent leur activité sur des équipements ou matériels contenant quelques dizaines de m</w:t>
      </w:r>
      <w:r w:rsidR="008E306F" w:rsidRPr="00AE3AB6">
        <w:rPr>
          <w:vertAlign w:val="superscript"/>
        </w:rPr>
        <w:t>3</w:t>
      </w:r>
      <w:r w:rsidR="008E306F" w:rsidRPr="003B48BC">
        <w:t xml:space="preserve"> de marchandises dangereuses.</w:t>
      </w:r>
    </w:p>
    <w:p w14:paraId="68BA0CF5" w14:textId="5218C4EC" w:rsidR="008E306F" w:rsidRPr="003B48BC" w:rsidRDefault="003B48BC" w:rsidP="003B48BC">
      <w:pPr>
        <w:pStyle w:val="SingleTxtG"/>
      </w:pPr>
      <w:r>
        <w:t>10.</w:t>
      </w:r>
      <w:r>
        <w:tab/>
      </w:r>
      <w:r w:rsidR="008E306F" w:rsidRPr="003B48BC">
        <w:t>Il est donc tout à fait logique d’avoir les mêmes exigences pour les sociétés de classification ADN, que leurs activités amènent à agir sur des matériels ou équipement pouvant contenir plusieurs milliers de m</w:t>
      </w:r>
      <w:r w:rsidR="008E306F" w:rsidRPr="00AE3AB6">
        <w:rPr>
          <w:vertAlign w:val="superscript"/>
        </w:rPr>
        <w:t>3</w:t>
      </w:r>
      <w:r w:rsidR="008E306F" w:rsidRPr="003B48BC">
        <w:t xml:space="preserve"> de marchandises dangereuses.</w:t>
      </w:r>
    </w:p>
    <w:p w14:paraId="64943D10" w14:textId="0158DD6A" w:rsidR="008E306F" w:rsidRPr="00965C48" w:rsidRDefault="008E306F" w:rsidP="003B48BC">
      <w:pPr>
        <w:pStyle w:val="HChG"/>
        <w:rPr>
          <w:lang w:val="fr-FR"/>
        </w:rPr>
      </w:pPr>
      <w:r>
        <w:rPr>
          <w:lang w:val="fr-FR"/>
        </w:rPr>
        <w:tab/>
      </w:r>
      <w:r w:rsidR="003B48BC">
        <w:rPr>
          <w:lang w:val="fr-FR"/>
        </w:rPr>
        <w:t>I</w:t>
      </w:r>
      <w:r w:rsidR="00372F13">
        <w:rPr>
          <w:lang w:val="fr-FR"/>
        </w:rPr>
        <w:t>II</w:t>
      </w:r>
      <w:r w:rsidR="003B48BC">
        <w:rPr>
          <w:lang w:val="fr-FR"/>
        </w:rPr>
        <w:t>.</w:t>
      </w:r>
      <w:r>
        <w:rPr>
          <w:lang w:val="fr-FR"/>
        </w:rPr>
        <w:tab/>
      </w:r>
      <w:r w:rsidRPr="003B48BC">
        <w:t>Proposition</w:t>
      </w:r>
    </w:p>
    <w:p w14:paraId="25F78AAC" w14:textId="44B25C3B" w:rsidR="008E306F" w:rsidRPr="00965C48" w:rsidRDefault="003B48BC" w:rsidP="003B48BC">
      <w:pPr>
        <w:pStyle w:val="SingleTxtG"/>
        <w:rPr>
          <w:lang w:val="fr-FR"/>
        </w:rPr>
      </w:pPr>
      <w:r>
        <w:rPr>
          <w:lang w:val="fr-FR"/>
        </w:rPr>
        <w:t>11.</w:t>
      </w:r>
      <w:r>
        <w:rPr>
          <w:lang w:val="fr-FR"/>
        </w:rPr>
        <w:tab/>
      </w:r>
      <w:r w:rsidR="008E306F" w:rsidRPr="00965C48">
        <w:rPr>
          <w:lang w:val="fr-FR"/>
        </w:rPr>
        <w:t xml:space="preserve">Il est proposé de remplacer </w:t>
      </w:r>
      <w:r w:rsidR="008E306F">
        <w:rPr>
          <w:lang w:val="fr-FR"/>
        </w:rPr>
        <w:t>de la sous-section</w:t>
      </w:r>
      <w:r w:rsidR="008E306F" w:rsidRPr="00965C48">
        <w:rPr>
          <w:lang w:val="fr-FR"/>
        </w:rPr>
        <w:t xml:space="preserve"> 1.15.3.8 du Règlement annexé à l’ADN comme suit </w:t>
      </w:r>
      <w:r w:rsidR="00586869">
        <w:rPr>
          <w:lang w:val="fr-FR"/>
        </w:rPr>
        <w:t>(</w:t>
      </w:r>
      <w:r w:rsidR="00902A66">
        <w:t>les modifications figurent en caractères soulignés pour les ajouts et biffés pour les suppressions</w:t>
      </w:r>
      <w:r w:rsidR="00586869">
        <w:rPr>
          <w:lang w:val="fr-FR"/>
        </w:rPr>
        <w:t>)</w:t>
      </w:r>
      <w:r w:rsidR="008E306F" w:rsidRPr="00965C48">
        <w:rPr>
          <w:lang w:val="fr-FR"/>
        </w:rPr>
        <w:t>:</w:t>
      </w:r>
    </w:p>
    <w:p w14:paraId="248FA5A1" w14:textId="6E8F1849" w:rsidR="008E306F" w:rsidRPr="00965C48" w:rsidRDefault="00C72FA5" w:rsidP="00EE238E">
      <w:pPr>
        <w:pStyle w:val="SingleTxtG"/>
        <w:rPr>
          <w:lang w:val="fr-FR"/>
        </w:rPr>
      </w:pPr>
      <w:r>
        <w:rPr>
          <w:lang w:val="fr-FR"/>
        </w:rPr>
        <w:t>« </w:t>
      </w:r>
      <w:r w:rsidR="008E306F" w:rsidRPr="00965C48">
        <w:rPr>
          <w:lang w:val="fr-FR"/>
        </w:rPr>
        <w:t>1.15.3.8</w:t>
      </w:r>
      <w:r w:rsidR="008E306F" w:rsidRPr="00965C48">
        <w:rPr>
          <w:lang w:val="fr-FR"/>
        </w:rPr>
        <w:tab/>
      </w:r>
      <w:r w:rsidR="008E306F" w:rsidRPr="00965C48">
        <w:rPr>
          <w:strike/>
          <w:lang w:val="fr-FR"/>
        </w:rPr>
        <w:t>La société de classification a élaboré, a mis en œuvre et maintient un système efficace de qualité interne fondé sur les aspects pertinents des normes de qualité internationalement reconnues et conforme aux normes EN ISO/IEC 17020:2012 (sauf clause 8.1.3) (organismes de contrôle) et ISO 9001 ou EN ISO 9001:2015. Ce système est certifié par un corps indépendant de vérificateurs reconnus par l'administration de l'État dans lequel il est implanté.</w:t>
      </w:r>
    </w:p>
    <w:p w14:paraId="35D1CD5B" w14:textId="1CEF72DD" w:rsidR="008E306F" w:rsidRPr="00586869" w:rsidRDefault="008E306F" w:rsidP="00EE238E">
      <w:pPr>
        <w:pStyle w:val="SingleTxtG"/>
        <w:rPr>
          <w:u w:val="single"/>
          <w:lang w:val="fr-FR"/>
        </w:rPr>
      </w:pPr>
      <w:r w:rsidRPr="00586869">
        <w:rPr>
          <w:u w:val="single"/>
          <w:lang w:val="fr-FR"/>
        </w:rPr>
        <w:t>La société de classification est un organisme d’inspection de Type A au sens de la norme EN</w:t>
      </w:r>
      <w:r w:rsidR="00263A4C" w:rsidRPr="00586869">
        <w:rPr>
          <w:u w:val="single"/>
          <w:lang w:val="fr-FR"/>
        </w:rPr>
        <w:t> </w:t>
      </w:r>
      <w:r w:rsidRPr="00586869">
        <w:rPr>
          <w:u w:val="single"/>
          <w:lang w:val="fr-FR"/>
        </w:rPr>
        <w:t>ISO/IEC</w:t>
      </w:r>
      <w:r w:rsidR="00263A4C" w:rsidRPr="00586869">
        <w:rPr>
          <w:u w:val="single"/>
          <w:lang w:val="fr-FR"/>
        </w:rPr>
        <w:t> </w:t>
      </w:r>
      <w:r w:rsidRPr="00586869">
        <w:rPr>
          <w:u w:val="single"/>
          <w:lang w:val="fr-FR"/>
        </w:rPr>
        <w:t>17020:2012.</w:t>
      </w:r>
    </w:p>
    <w:p w14:paraId="4CBFFAEB" w14:textId="67658680" w:rsidR="008E306F" w:rsidRPr="00586869" w:rsidRDefault="008E306F" w:rsidP="00EE238E">
      <w:pPr>
        <w:pStyle w:val="SingleTxtG"/>
        <w:rPr>
          <w:u w:val="single"/>
          <w:lang w:val="fr-FR"/>
        </w:rPr>
      </w:pPr>
      <w:r w:rsidRPr="00586869">
        <w:rPr>
          <w:u w:val="single"/>
          <w:lang w:val="fr-FR"/>
        </w:rPr>
        <w:t>Elle doit être accréditée conformément à la norme EN</w:t>
      </w:r>
      <w:r w:rsidR="00263A4C" w:rsidRPr="00586869">
        <w:rPr>
          <w:u w:val="single"/>
          <w:lang w:val="fr-FR"/>
        </w:rPr>
        <w:t> </w:t>
      </w:r>
      <w:r w:rsidRPr="00586869">
        <w:rPr>
          <w:u w:val="single"/>
          <w:lang w:val="fr-FR"/>
        </w:rPr>
        <w:t>ISO/IEC</w:t>
      </w:r>
      <w:r w:rsidR="00263A4C" w:rsidRPr="00586869">
        <w:rPr>
          <w:u w:val="single"/>
          <w:lang w:val="fr-FR"/>
        </w:rPr>
        <w:t> </w:t>
      </w:r>
      <w:r w:rsidRPr="00586869">
        <w:rPr>
          <w:u w:val="single"/>
          <w:lang w:val="fr-FR"/>
        </w:rPr>
        <w:t>17020:2012 (à l’exception du 8.1.3), par un organisme d’accréditation d’un État partie contractante à l’ADN qui soit également membre du Forum International d’Accréditation (IAF).</w:t>
      </w:r>
    </w:p>
    <w:p w14:paraId="7C09E18F" w14:textId="74082290" w:rsidR="008E306F" w:rsidRDefault="008E306F" w:rsidP="00EE238E">
      <w:pPr>
        <w:pStyle w:val="SingleTxtG"/>
        <w:rPr>
          <w:lang w:val="fr-FR"/>
        </w:rPr>
      </w:pPr>
      <w:r w:rsidRPr="00586869">
        <w:rPr>
          <w:u w:val="single"/>
          <w:lang w:val="fr-FR"/>
        </w:rPr>
        <w:t>Un État partie contractante à l’ADN doit reconnaître une accréditation délivrée dans le respect des dispositions du paragraphe précédent</w:t>
      </w:r>
      <w:r w:rsidRPr="00965C48">
        <w:rPr>
          <w:lang w:val="fr-FR"/>
        </w:rPr>
        <w:t>.</w:t>
      </w:r>
      <w:r w:rsidR="00C72FA5">
        <w:rPr>
          <w:lang w:val="fr-FR"/>
        </w:rPr>
        <w:t> »</w:t>
      </w:r>
    </w:p>
    <w:p w14:paraId="221F2323" w14:textId="77FEA22A" w:rsidR="008E306F" w:rsidRPr="00630A6E" w:rsidRDefault="003E5095" w:rsidP="003B48BC">
      <w:pPr>
        <w:pStyle w:val="SingleTxtG"/>
        <w:rPr>
          <w:lang w:val="fr-FR"/>
        </w:rPr>
      </w:pPr>
      <w:r>
        <w:rPr>
          <w:lang w:val="fr-FR"/>
        </w:rPr>
        <w:t>12.</w:t>
      </w:r>
      <w:r>
        <w:rPr>
          <w:lang w:val="fr-FR"/>
        </w:rPr>
        <w:tab/>
      </w:r>
      <w:r w:rsidR="008E306F" w:rsidRPr="00630A6E">
        <w:rPr>
          <w:lang w:val="fr-FR"/>
        </w:rPr>
        <w:t>En conséquence</w:t>
      </w:r>
      <w:r w:rsidR="008E306F">
        <w:rPr>
          <w:lang w:val="fr-FR"/>
        </w:rPr>
        <w:t>, d’ajouter à la section 1.2.3 Abréviations du Règlement annexé à l’</w:t>
      </w:r>
      <w:r w:rsidR="008E306F" w:rsidRPr="00630A6E">
        <w:rPr>
          <w:lang w:val="fr-FR"/>
        </w:rPr>
        <w:t xml:space="preserve">ADN une ligne concernant </w:t>
      </w:r>
      <w:r w:rsidR="008E306F">
        <w:rPr>
          <w:lang w:val="fr-FR"/>
        </w:rPr>
        <w:t>l’</w:t>
      </w:r>
      <w:r w:rsidR="008E306F" w:rsidRPr="00630A6E">
        <w:rPr>
          <w:lang w:val="fr-FR"/>
        </w:rPr>
        <w:t>IAF</w:t>
      </w:r>
      <w:r w:rsidR="008E306F">
        <w:rPr>
          <w:lang w:val="fr-FR"/>
        </w:rPr>
        <w:t xml:space="preserve"> comme suit</w:t>
      </w:r>
      <w:r w:rsidR="008E306F" w:rsidRPr="00630A6E">
        <w:rPr>
          <w:lang w:val="fr-FR"/>
        </w:rPr>
        <w:t xml:space="preserve"> :</w:t>
      </w:r>
    </w:p>
    <w:p w14:paraId="1F93B6AE" w14:textId="1D473B24" w:rsidR="008E306F" w:rsidRPr="00965C48" w:rsidRDefault="008E306F" w:rsidP="00E601B0">
      <w:pPr>
        <w:pStyle w:val="SingleTxtG"/>
        <w:rPr>
          <w:lang w:val="fr-FR"/>
        </w:rPr>
      </w:pPr>
      <w:r w:rsidRPr="00630A6E">
        <w:rPr>
          <w:lang w:val="fr-FR"/>
        </w:rPr>
        <w:t xml:space="preserve">IAF : International </w:t>
      </w:r>
      <w:proofErr w:type="spellStart"/>
      <w:r w:rsidRPr="00630A6E">
        <w:rPr>
          <w:lang w:val="fr-FR"/>
        </w:rPr>
        <w:t>Accreditation</w:t>
      </w:r>
      <w:proofErr w:type="spellEnd"/>
      <w:r w:rsidRPr="00630A6E">
        <w:rPr>
          <w:lang w:val="fr-FR"/>
        </w:rPr>
        <w:t xml:space="preserve"> Forum, Box 1811, Chelsea </w:t>
      </w:r>
      <w:proofErr w:type="spellStart"/>
      <w:r w:rsidRPr="00630A6E">
        <w:rPr>
          <w:lang w:val="fr-FR"/>
        </w:rPr>
        <w:t>Quebec</w:t>
      </w:r>
      <w:proofErr w:type="spellEnd"/>
      <w:r w:rsidRPr="00630A6E">
        <w:rPr>
          <w:lang w:val="fr-FR"/>
        </w:rPr>
        <w:t xml:space="preserve"> J9B</w:t>
      </w:r>
      <w:r>
        <w:rPr>
          <w:lang w:val="fr-FR"/>
        </w:rPr>
        <w:t xml:space="preserve"> 1A1, </w:t>
      </w:r>
      <w:r w:rsidRPr="003E5095">
        <w:rPr>
          <w:lang w:val="fr-FR"/>
        </w:rPr>
        <w:t xml:space="preserve">Canada, </w:t>
      </w:r>
      <w:hyperlink r:id="rId11" w:history="1">
        <w:r w:rsidRPr="003E5095">
          <w:rPr>
            <w:rStyle w:val="Lienhypertexte"/>
            <w:color w:val="auto"/>
            <w:lang w:val="fr-FR"/>
          </w:rPr>
          <w:t>https://iaf.nu</w:t>
        </w:r>
      </w:hyperlink>
      <w:r>
        <w:rPr>
          <w:lang w:val="fr-FR"/>
        </w:rPr>
        <w:t xml:space="preserve"> .</w:t>
      </w:r>
    </w:p>
    <w:p w14:paraId="00D3F733" w14:textId="58BB4A0D" w:rsidR="008E306F" w:rsidRPr="003B48BC" w:rsidRDefault="003B48BC" w:rsidP="003B48BC">
      <w:pPr>
        <w:spacing w:before="240"/>
        <w:jc w:val="center"/>
        <w:rPr>
          <w:u w:val="single"/>
          <w:lang w:val="fr-FR"/>
        </w:rPr>
      </w:pPr>
      <w:r>
        <w:rPr>
          <w:u w:val="single"/>
          <w:lang w:val="fr-FR"/>
        </w:rPr>
        <w:tab/>
      </w:r>
      <w:r>
        <w:rPr>
          <w:u w:val="single"/>
          <w:lang w:val="fr-FR"/>
        </w:rPr>
        <w:tab/>
      </w:r>
      <w:r>
        <w:rPr>
          <w:u w:val="single"/>
          <w:lang w:val="fr-FR"/>
        </w:rPr>
        <w:tab/>
      </w:r>
    </w:p>
    <w:p w14:paraId="33F3F414" w14:textId="77777777" w:rsidR="008E306F" w:rsidRDefault="008E306F" w:rsidP="003B48BC">
      <w:pPr>
        <w:pStyle w:val="SingleTxtG"/>
      </w:pPr>
    </w:p>
    <w:sectPr w:rsidR="008E306F" w:rsidSect="008E306F">
      <w:headerReference w:type="even" r:id="rId12"/>
      <w:headerReference w:type="default" r:id="rId13"/>
      <w:footerReference w:type="even" r:id="rId14"/>
      <w:footerReference w:type="default" r:id="rId15"/>
      <w:footerReference w:type="first" r:id="rId16"/>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AB9A6" w14:textId="77777777" w:rsidR="00C62B2E" w:rsidRDefault="00C62B2E" w:rsidP="00F95C08">
      <w:pPr>
        <w:spacing w:line="240" w:lineRule="auto"/>
      </w:pPr>
    </w:p>
  </w:endnote>
  <w:endnote w:type="continuationSeparator" w:id="0">
    <w:p w14:paraId="055458A3" w14:textId="77777777" w:rsidR="00C62B2E" w:rsidRPr="00AC3823" w:rsidRDefault="00C62B2E" w:rsidP="00AC3823">
      <w:pPr>
        <w:pStyle w:val="Pieddepage"/>
      </w:pPr>
    </w:p>
  </w:endnote>
  <w:endnote w:type="continuationNotice" w:id="1">
    <w:p w14:paraId="160B162F" w14:textId="77777777" w:rsidR="00C62B2E" w:rsidRDefault="00C62B2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ACE3" w14:textId="77777777" w:rsidR="008E306F" w:rsidRPr="008E306F" w:rsidRDefault="008E306F" w:rsidP="008E306F">
    <w:pPr>
      <w:pStyle w:val="Pieddepage"/>
      <w:tabs>
        <w:tab w:val="right" w:pos="9638"/>
      </w:tabs>
      <w:rPr>
        <w:sz w:val="18"/>
      </w:rPr>
    </w:pPr>
    <w:r w:rsidRPr="008E306F">
      <w:rPr>
        <w:b/>
        <w:sz w:val="18"/>
      </w:rPr>
      <w:fldChar w:fldCharType="begin"/>
    </w:r>
    <w:r w:rsidRPr="008E306F">
      <w:rPr>
        <w:b/>
        <w:sz w:val="18"/>
      </w:rPr>
      <w:instrText xml:space="preserve"> PAGE  \* MERGEFORMAT </w:instrText>
    </w:r>
    <w:r w:rsidRPr="008E306F">
      <w:rPr>
        <w:b/>
        <w:sz w:val="18"/>
      </w:rPr>
      <w:fldChar w:fldCharType="separate"/>
    </w:r>
    <w:r w:rsidRPr="008E306F">
      <w:rPr>
        <w:b/>
        <w:noProof/>
        <w:sz w:val="18"/>
      </w:rPr>
      <w:t>2</w:t>
    </w:r>
    <w:r w:rsidRPr="008E306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97C8C" w14:textId="77777777" w:rsidR="008E306F" w:rsidRPr="008E306F" w:rsidRDefault="008E306F" w:rsidP="008E306F">
    <w:pPr>
      <w:pStyle w:val="Pieddepage"/>
      <w:tabs>
        <w:tab w:val="right" w:pos="9638"/>
      </w:tabs>
      <w:rPr>
        <w:b/>
        <w:sz w:val="18"/>
      </w:rPr>
    </w:pPr>
    <w:r>
      <w:tab/>
    </w:r>
    <w:r w:rsidRPr="008E306F">
      <w:rPr>
        <w:b/>
        <w:sz w:val="18"/>
      </w:rPr>
      <w:fldChar w:fldCharType="begin"/>
    </w:r>
    <w:r w:rsidRPr="008E306F">
      <w:rPr>
        <w:b/>
        <w:sz w:val="18"/>
      </w:rPr>
      <w:instrText xml:space="preserve"> PAGE  \* MERGEFORMAT </w:instrText>
    </w:r>
    <w:r w:rsidRPr="008E306F">
      <w:rPr>
        <w:b/>
        <w:sz w:val="18"/>
      </w:rPr>
      <w:fldChar w:fldCharType="separate"/>
    </w:r>
    <w:r w:rsidRPr="008E306F">
      <w:rPr>
        <w:b/>
        <w:noProof/>
        <w:sz w:val="18"/>
      </w:rPr>
      <w:t>3</w:t>
    </w:r>
    <w:r w:rsidRPr="008E306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B41BD" w14:textId="1399DE87" w:rsidR="000D3EE9" w:rsidRPr="000E7903" w:rsidRDefault="000E7903" w:rsidP="000E7903">
    <w:pPr>
      <w:pStyle w:val="Pieddepage"/>
      <w:tabs>
        <w:tab w:val="left" w:pos="6520"/>
        <w:tab w:val="right" w:pos="9638"/>
      </w:tabs>
      <w:spacing w:before="120"/>
      <w:rPr>
        <w:sz w:val="20"/>
      </w:rPr>
    </w:pPr>
    <w:r>
      <w:rPr>
        <w:sz w:val="20"/>
      </w:rPr>
      <w:t>GE.22-25381  (F)</w:t>
    </w:r>
    <w:bookmarkStart w:id="0" w:name="_GoBack"/>
    <w:bookmarkEnd w:id="0"/>
    <w:r>
      <w:rPr>
        <w:sz w:val="20"/>
      </w:rPr>
      <w:tab/>
    </w:r>
    <w:r w:rsidRPr="000E7903">
      <w:rPr>
        <w:noProof/>
        <w:sz w:val="20"/>
        <w:lang w:eastAsia="fr-CH"/>
      </w:rPr>
      <w:drawing>
        <wp:inline distT="0" distB="0" distL="0" distR="0" wp14:anchorId="4B165AF2" wp14:editId="33ABDCCB">
          <wp:extent cx="1105200" cy="234000"/>
          <wp:effectExtent l="0" t="0" r="0" b="0"/>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18C895A7" wp14:editId="70E4F043">
          <wp:extent cx="638175" cy="6381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3EE5F" w14:textId="77777777" w:rsidR="00C62B2E" w:rsidRPr="00AC3823" w:rsidRDefault="00C62B2E" w:rsidP="00AC3823">
      <w:pPr>
        <w:pStyle w:val="Pieddepage"/>
        <w:tabs>
          <w:tab w:val="right" w:pos="2155"/>
        </w:tabs>
        <w:spacing w:after="80" w:line="240" w:lineRule="atLeast"/>
        <w:ind w:left="680"/>
        <w:rPr>
          <w:u w:val="single"/>
        </w:rPr>
      </w:pPr>
      <w:r>
        <w:rPr>
          <w:u w:val="single"/>
        </w:rPr>
        <w:tab/>
      </w:r>
    </w:p>
  </w:footnote>
  <w:footnote w:type="continuationSeparator" w:id="0">
    <w:p w14:paraId="3BF155E1" w14:textId="77777777" w:rsidR="00C62B2E" w:rsidRPr="00AC3823" w:rsidRDefault="00C62B2E" w:rsidP="00AC3823">
      <w:pPr>
        <w:pStyle w:val="Pieddepage"/>
        <w:tabs>
          <w:tab w:val="right" w:pos="2155"/>
        </w:tabs>
        <w:spacing w:after="80" w:line="240" w:lineRule="atLeast"/>
        <w:ind w:left="680"/>
        <w:rPr>
          <w:u w:val="single"/>
        </w:rPr>
      </w:pPr>
      <w:r>
        <w:rPr>
          <w:u w:val="single"/>
        </w:rPr>
        <w:tab/>
      </w:r>
    </w:p>
  </w:footnote>
  <w:footnote w:type="continuationNotice" w:id="1">
    <w:p w14:paraId="09386751" w14:textId="77777777" w:rsidR="00C62B2E" w:rsidRPr="00AC3823" w:rsidRDefault="00C62B2E">
      <w:pPr>
        <w:spacing w:line="240" w:lineRule="auto"/>
        <w:rPr>
          <w:sz w:val="2"/>
          <w:szCs w:val="2"/>
        </w:rPr>
      </w:pPr>
    </w:p>
  </w:footnote>
  <w:footnote w:id="2">
    <w:p w14:paraId="5EBF05AA" w14:textId="4F9D4412" w:rsidR="008E306F" w:rsidRPr="00BD650C" w:rsidRDefault="008E306F" w:rsidP="008E306F">
      <w:pPr>
        <w:pStyle w:val="Notedebasdepage"/>
      </w:pPr>
      <w:r>
        <w:rPr>
          <w:rStyle w:val="Appelnotedebasdep"/>
        </w:rPr>
        <w:tab/>
      </w:r>
      <w:r w:rsidRPr="00C60354">
        <w:rPr>
          <w:rStyle w:val="Appelnotedebasdep"/>
          <w:sz w:val="20"/>
        </w:rPr>
        <w:t>*</w:t>
      </w:r>
      <w:r>
        <w:rPr>
          <w:rStyle w:val="Appelnotedebasdep"/>
          <w:sz w:val="20"/>
          <w:vertAlign w:val="baseline"/>
        </w:rPr>
        <w:tab/>
      </w:r>
      <w:r w:rsidRPr="00904815">
        <w:rPr>
          <w:lang w:val="fr-FR"/>
        </w:rPr>
        <w:t xml:space="preserve">Diffusé en langue allemande par la Commission centrale pour la navigation du Rhin sous la cote </w:t>
      </w:r>
      <w:r w:rsidRPr="008E306F">
        <w:rPr>
          <w:lang w:val="fr-FR"/>
        </w:rPr>
        <w:t>CCNR/ZKR/ADN/WP.15/AC.2/2023/</w:t>
      </w:r>
      <w:r>
        <w:rPr>
          <w:lang w:val="fr-FR"/>
        </w:rPr>
        <w:t>5</w:t>
      </w:r>
      <w:r w:rsidRPr="008E306F">
        <w:rPr>
          <w:lang w:val="fr-FR"/>
        </w:rPr>
        <w:t>.</w:t>
      </w:r>
    </w:p>
  </w:footnote>
  <w:footnote w:id="3">
    <w:p w14:paraId="7206E240" w14:textId="6E1BAE71" w:rsidR="003E5095" w:rsidRPr="003E5095" w:rsidRDefault="003E5095">
      <w:pPr>
        <w:pStyle w:val="Notedebasdepage"/>
      </w:pPr>
      <w:r w:rsidRPr="00F676B7">
        <w:rPr>
          <w:rStyle w:val="Appelnotedebasdep"/>
        </w:rPr>
        <w:tab/>
      </w:r>
      <w:r w:rsidRPr="00F676B7">
        <w:rPr>
          <w:rStyle w:val="Appelnotedebasdep"/>
          <w:sz w:val="20"/>
        </w:rPr>
        <w:t>**</w:t>
      </w:r>
      <w:r>
        <w:rPr>
          <w:rStyle w:val="Appelnotedebasdep"/>
          <w:sz w:val="20"/>
          <w:vertAlign w:val="baseline"/>
        </w:rPr>
        <w:tab/>
      </w:r>
      <w:r w:rsidR="00F676B7" w:rsidRPr="00F676B7">
        <w:rPr>
          <w:szCs w:val="18"/>
          <w:lang w:val="fr-FR"/>
        </w:rPr>
        <w:t>A/76/6 (Sect.20), par. 20.76.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07C8F" w14:textId="6BC76BB4" w:rsidR="008E306F" w:rsidRPr="008E306F" w:rsidRDefault="00DB2FAF">
    <w:pPr>
      <w:pStyle w:val="En-tte"/>
    </w:pPr>
    <w:r>
      <w:fldChar w:fldCharType="begin"/>
    </w:r>
    <w:r>
      <w:instrText xml:space="preserve"> TITLE  \* MERGEFORMAT </w:instrText>
    </w:r>
    <w:r>
      <w:fldChar w:fldCharType="separate"/>
    </w:r>
    <w:r>
      <w:t>ECE/TRANS/WP.15/AC.2/2023/5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91387" w14:textId="1300B5B2" w:rsidR="008E306F" w:rsidRPr="008E306F" w:rsidRDefault="00DB2FAF" w:rsidP="008E306F">
    <w:pPr>
      <w:pStyle w:val="En-tte"/>
      <w:jc w:val="right"/>
    </w:pPr>
    <w:r>
      <w:fldChar w:fldCharType="begin"/>
    </w:r>
    <w:r>
      <w:instrText xml:space="preserve"> TITLE  \* MERGEFORMAT </w:instrText>
    </w:r>
    <w:r>
      <w:fldChar w:fldCharType="separate"/>
    </w:r>
    <w:r>
      <w:t>ECE/TRANS/WP.15/AC.2/2023/5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988205A"/>
    <w:multiLevelType w:val="hybridMultilevel"/>
    <w:tmpl w:val="6CD45DD6"/>
    <w:lvl w:ilvl="0" w:tplc="040C0011">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3C0B394F"/>
    <w:multiLevelType w:val="hybridMultilevel"/>
    <w:tmpl w:val="58565D94"/>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4" w15:restartNumberingAfterBreak="0">
    <w:nsid w:val="682238AC"/>
    <w:multiLevelType w:val="hybridMultilevel"/>
    <w:tmpl w:val="B248103C"/>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5"/>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06F"/>
    <w:rsid w:val="0001207F"/>
    <w:rsid w:val="00017F94"/>
    <w:rsid w:val="00023842"/>
    <w:rsid w:val="000334F9"/>
    <w:rsid w:val="0007796D"/>
    <w:rsid w:val="000942EE"/>
    <w:rsid w:val="000A52BF"/>
    <w:rsid w:val="000B7790"/>
    <w:rsid w:val="000D3EE9"/>
    <w:rsid w:val="000D62F3"/>
    <w:rsid w:val="000E7903"/>
    <w:rsid w:val="00111F2F"/>
    <w:rsid w:val="001433FD"/>
    <w:rsid w:val="0014365E"/>
    <w:rsid w:val="001541D3"/>
    <w:rsid w:val="00176178"/>
    <w:rsid w:val="00180021"/>
    <w:rsid w:val="001A0304"/>
    <w:rsid w:val="001A064B"/>
    <w:rsid w:val="001B36E6"/>
    <w:rsid w:val="001D400F"/>
    <w:rsid w:val="001F525A"/>
    <w:rsid w:val="00211AC7"/>
    <w:rsid w:val="00223272"/>
    <w:rsid w:val="00240333"/>
    <w:rsid w:val="002458C7"/>
    <w:rsid w:val="0024779E"/>
    <w:rsid w:val="00263A4C"/>
    <w:rsid w:val="002832AC"/>
    <w:rsid w:val="002834A0"/>
    <w:rsid w:val="002D7C93"/>
    <w:rsid w:val="00343829"/>
    <w:rsid w:val="0037241C"/>
    <w:rsid w:val="00372F13"/>
    <w:rsid w:val="003B48BC"/>
    <w:rsid w:val="003E5095"/>
    <w:rsid w:val="003E54C4"/>
    <w:rsid w:val="003E7EA4"/>
    <w:rsid w:val="00405817"/>
    <w:rsid w:val="004339B3"/>
    <w:rsid w:val="00441C3B"/>
    <w:rsid w:val="00446B0A"/>
    <w:rsid w:val="00446FE5"/>
    <w:rsid w:val="00452396"/>
    <w:rsid w:val="004E468C"/>
    <w:rsid w:val="004F2920"/>
    <w:rsid w:val="005316B0"/>
    <w:rsid w:val="005505B7"/>
    <w:rsid w:val="00564657"/>
    <w:rsid w:val="00573BE5"/>
    <w:rsid w:val="00586869"/>
    <w:rsid w:val="00586ED3"/>
    <w:rsid w:val="00596AA9"/>
    <w:rsid w:val="006E2F73"/>
    <w:rsid w:val="00703D0F"/>
    <w:rsid w:val="00706363"/>
    <w:rsid w:val="0071534D"/>
    <w:rsid w:val="0071601D"/>
    <w:rsid w:val="007A62E6"/>
    <w:rsid w:val="0080684C"/>
    <w:rsid w:val="008204DA"/>
    <w:rsid w:val="0083123A"/>
    <w:rsid w:val="00871C75"/>
    <w:rsid w:val="008767E8"/>
    <w:rsid w:val="008776DC"/>
    <w:rsid w:val="008B5CB0"/>
    <w:rsid w:val="008E306F"/>
    <w:rsid w:val="00902A66"/>
    <w:rsid w:val="00915979"/>
    <w:rsid w:val="009705C8"/>
    <w:rsid w:val="009C1CF4"/>
    <w:rsid w:val="009F02C9"/>
    <w:rsid w:val="00A30353"/>
    <w:rsid w:val="00A62D91"/>
    <w:rsid w:val="00A90D54"/>
    <w:rsid w:val="00AA113A"/>
    <w:rsid w:val="00AC3823"/>
    <w:rsid w:val="00AD0664"/>
    <w:rsid w:val="00AE323C"/>
    <w:rsid w:val="00AE3AB6"/>
    <w:rsid w:val="00B00181"/>
    <w:rsid w:val="00B00B0D"/>
    <w:rsid w:val="00B07F65"/>
    <w:rsid w:val="00B2562E"/>
    <w:rsid w:val="00B30069"/>
    <w:rsid w:val="00B50E25"/>
    <w:rsid w:val="00B64918"/>
    <w:rsid w:val="00B765F7"/>
    <w:rsid w:val="00BA0CA9"/>
    <w:rsid w:val="00C02897"/>
    <w:rsid w:val="00C318CD"/>
    <w:rsid w:val="00C50482"/>
    <w:rsid w:val="00C62B2E"/>
    <w:rsid w:val="00C65CA6"/>
    <w:rsid w:val="00C72FA5"/>
    <w:rsid w:val="00C7616F"/>
    <w:rsid w:val="00CB16B5"/>
    <w:rsid w:val="00CD6D5C"/>
    <w:rsid w:val="00CE0608"/>
    <w:rsid w:val="00CE77F6"/>
    <w:rsid w:val="00D3439C"/>
    <w:rsid w:val="00D44CF3"/>
    <w:rsid w:val="00D70306"/>
    <w:rsid w:val="00D978AC"/>
    <w:rsid w:val="00DA6C5E"/>
    <w:rsid w:val="00DB1831"/>
    <w:rsid w:val="00DB2FAF"/>
    <w:rsid w:val="00DD3BFD"/>
    <w:rsid w:val="00DF431C"/>
    <w:rsid w:val="00DF6678"/>
    <w:rsid w:val="00E174D0"/>
    <w:rsid w:val="00E24089"/>
    <w:rsid w:val="00E601B0"/>
    <w:rsid w:val="00E939CE"/>
    <w:rsid w:val="00EB509D"/>
    <w:rsid w:val="00EE238E"/>
    <w:rsid w:val="00EF2E22"/>
    <w:rsid w:val="00F0592C"/>
    <w:rsid w:val="00F31F4B"/>
    <w:rsid w:val="00F43289"/>
    <w:rsid w:val="00F660DF"/>
    <w:rsid w:val="00F676B7"/>
    <w:rsid w:val="00F95C08"/>
    <w:rsid w:val="00FA1D3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36D2D"/>
  <w15:docId w15:val="{2137D738-8B18-4EF0-AF43-07A6E9039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0684C"/>
    <w:pPr>
      <w:tabs>
        <w:tab w:val="left" w:pos="1701"/>
        <w:tab w:val="left" w:pos="2268"/>
        <w:tab w:val="left" w:pos="2835"/>
      </w:tabs>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left" w:pos="1701"/>
        <w:tab w:val="left" w:pos="2268"/>
        <w:tab w:val="left" w:pos="2835"/>
      </w:tabs>
      <w:spacing w:after="120"/>
      <w:ind w:right="1134"/>
      <w:jc w:val="both"/>
    </w:pPr>
  </w:style>
  <w:style w:type="character" w:styleId="Appelnotedebasdep">
    <w:name w:val="footnote reference"/>
    <w:aliases w:val="4_G,Footnote Reference/"/>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uiPriority w:val="39"/>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
    <w:basedOn w:val="Normal"/>
    <w:link w:val="NotedebasdepageCar"/>
    <w:uiPriority w:val="99"/>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uiPriority w:val="99"/>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rsid w:val="0001207F"/>
  </w:style>
  <w:style w:type="character" w:customStyle="1" w:styleId="HChGChar">
    <w:name w:val="_ H _Ch_G Char"/>
    <w:link w:val="HChG"/>
    <w:rsid w:val="0001207F"/>
    <w:rPr>
      <w:b/>
      <w:sz w:val="28"/>
    </w:rPr>
  </w:style>
  <w:style w:type="character" w:styleId="Marquedecommentaire">
    <w:name w:val="annotation reference"/>
    <w:basedOn w:val="Policepardfaut"/>
    <w:uiPriority w:val="99"/>
    <w:semiHidden/>
    <w:unhideWhenUsed/>
    <w:rsid w:val="00211AC7"/>
    <w:rPr>
      <w:sz w:val="16"/>
      <w:szCs w:val="16"/>
    </w:rPr>
  </w:style>
  <w:style w:type="paragraph" w:styleId="Commentaire">
    <w:name w:val="annotation text"/>
    <w:basedOn w:val="Normal"/>
    <w:link w:val="CommentaireCar"/>
    <w:uiPriority w:val="99"/>
    <w:semiHidden/>
    <w:unhideWhenUsed/>
    <w:rsid w:val="00211AC7"/>
    <w:pPr>
      <w:spacing w:line="240" w:lineRule="auto"/>
    </w:pPr>
  </w:style>
  <w:style w:type="character" w:customStyle="1" w:styleId="CommentaireCar">
    <w:name w:val="Commentaire Car"/>
    <w:basedOn w:val="Policepardfaut"/>
    <w:link w:val="Commentaire"/>
    <w:uiPriority w:val="99"/>
    <w:semiHidden/>
    <w:rsid w:val="00211AC7"/>
  </w:style>
  <w:style w:type="paragraph" w:styleId="Objetducommentaire">
    <w:name w:val="annotation subject"/>
    <w:basedOn w:val="Commentaire"/>
    <w:next w:val="Commentaire"/>
    <w:link w:val="ObjetducommentaireCar"/>
    <w:uiPriority w:val="99"/>
    <w:semiHidden/>
    <w:unhideWhenUsed/>
    <w:rsid w:val="00211AC7"/>
    <w:rPr>
      <w:b/>
      <w:bCs/>
    </w:rPr>
  </w:style>
  <w:style w:type="character" w:customStyle="1" w:styleId="ObjetducommentaireCar">
    <w:name w:val="Objet du commentaire Car"/>
    <w:basedOn w:val="CommentaireCar"/>
    <w:link w:val="Objetducommentaire"/>
    <w:uiPriority w:val="99"/>
    <w:semiHidden/>
    <w:rsid w:val="00211A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af.n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UserInfo>
        <DisplayName>Romain Hubert</DisplayName>
        <AccountId>40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007F08-EB87-4B63-8D3C-6D2B4DA3A34C}">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928DDCC4-2D44-47E4-93EF-0CFA3D738078}">
  <ds:schemaRefs>
    <ds:schemaRef ds:uri="http://schemas.microsoft.com/sharepoint/v3/contenttype/forms"/>
  </ds:schemaRefs>
</ds:datastoreItem>
</file>

<file path=customXml/itemProps3.xml><?xml version="1.0" encoding="utf-8"?>
<ds:datastoreItem xmlns:ds="http://schemas.openxmlformats.org/officeDocument/2006/customXml" ds:itemID="{F0E2A2B2-73C3-4D74-921D-D56F09DE2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1067</Words>
  <Characters>6086</Characters>
  <Application>Microsoft Office Word</Application>
  <DocSecurity>0</DocSecurity>
  <Lines>121</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ECE/TRANS/WP.15/AC.2/2023/5</vt:lpstr>
      <vt:lpstr/>
    </vt:vector>
  </TitlesOfParts>
  <Company>DCM</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ECE/TRANS/WP.15/AC.2/2023/5</dc:title>
  <dc:subject>FINAL</dc:subject>
  <dc:creator>ND</dc:creator>
  <cp:keywords/>
  <dc:description/>
  <cp:lastModifiedBy>Maud Dariche</cp:lastModifiedBy>
  <cp:revision>3</cp:revision>
  <cp:lastPrinted>2022-11-11T09:11:00Z</cp:lastPrinted>
  <dcterms:created xsi:type="dcterms:W3CDTF">2022-11-11T09:10:00Z</dcterms:created>
  <dcterms:modified xsi:type="dcterms:W3CDTF">2022-11-11T09:11:00Z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