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FEC46D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B7D82F8" w14:textId="77777777" w:rsidR="002D5AAC" w:rsidRDefault="002D5AAC" w:rsidP="009C02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91650E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82A0AC6" w14:textId="050D8593" w:rsidR="002D5AAC" w:rsidRDefault="009C025D" w:rsidP="009C025D">
            <w:pPr>
              <w:jc w:val="right"/>
            </w:pPr>
            <w:r w:rsidRPr="009C025D">
              <w:rPr>
                <w:sz w:val="40"/>
              </w:rPr>
              <w:t>ECE</w:t>
            </w:r>
            <w:r>
              <w:t>/TRANS/327</w:t>
            </w:r>
          </w:p>
        </w:tc>
      </w:tr>
      <w:tr w:rsidR="002D5AAC" w:rsidRPr="009C025D" w14:paraId="1ADD35F6" w14:textId="77777777" w:rsidTr="009C025D">
        <w:trPr>
          <w:trHeight w:val="2279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6676CB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50E51DF" wp14:editId="61679F6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8C29FF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101551E" w14:textId="77777777" w:rsidR="002D5AAC" w:rsidRDefault="009C025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A6F84F8" w14:textId="5467F8ED" w:rsidR="009C025D" w:rsidRDefault="009C025D" w:rsidP="009C02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6 December 2022</w:t>
            </w:r>
          </w:p>
          <w:p w14:paraId="3749B5D4" w14:textId="77777777" w:rsidR="009C025D" w:rsidRDefault="009C025D" w:rsidP="009C02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D80A240" w14:textId="75CD8375" w:rsidR="009C025D" w:rsidRPr="008D53B6" w:rsidRDefault="009C025D" w:rsidP="009C02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36BE78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395A7EE" w14:textId="77777777" w:rsidR="009C025D" w:rsidRPr="009C025D" w:rsidRDefault="009C025D" w:rsidP="009C025D">
      <w:pPr>
        <w:spacing w:before="120"/>
        <w:rPr>
          <w:sz w:val="28"/>
          <w:szCs w:val="28"/>
        </w:rPr>
      </w:pPr>
      <w:r w:rsidRPr="009C025D">
        <w:rPr>
          <w:sz w:val="28"/>
          <w:szCs w:val="28"/>
        </w:rPr>
        <w:t>Комитет по внутреннему транспорту</w:t>
      </w:r>
    </w:p>
    <w:p w14:paraId="0F58323A" w14:textId="77777777" w:rsidR="009C025D" w:rsidRPr="00182AA5" w:rsidRDefault="009C025D" w:rsidP="009C025D">
      <w:pPr>
        <w:spacing w:before="120"/>
        <w:rPr>
          <w:b/>
          <w:bCs/>
        </w:rPr>
      </w:pPr>
      <w:r>
        <w:rPr>
          <w:b/>
          <w:bCs/>
        </w:rPr>
        <w:t>Восемьдесят пятая сессия</w:t>
      </w:r>
    </w:p>
    <w:p w14:paraId="458B97FD" w14:textId="77777777" w:rsidR="009C025D" w:rsidRDefault="009C025D" w:rsidP="009C025D">
      <w:r>
        <w:t xml:space="preserve">Женева, 21–24 февраля 2023 года </w:t>
      </w:r>
    </w:p>
    <w:p w14:paraId="1752923D" w14:textId="77777777" w:rsidR="009C025D" w:rsidRDefault="009C025D" w:rsidP="009C025D">
      <w:r>
        <w:t xml:space="preserve">Пункт 1 предварительной повестки дня </w:t>
      </w:r>
    </w:p>
    <w:p w14:paraId="55C0F305" w14:textId="77777777" w:rsidR="009C025D" w:rsidRPr="00EF1358" w:rsidRDefault="009C025D" w:rsidP="009C025D">
      <w:pPr>
        <w:rPr>
          <w:b/>
          <w:bCs/>
        </w:rPr>
      </w:pPr>
      <w:r>
        <w:rPr>
          <w:b/>
          <w:bCs/>
        </w:rPr>
        <w:t>Утверждение повестки дня</w:t>
      </w:r>
    </w:p>
    <w:p w14:paraId="1BDBAD34" w14:textId="77777777" w:rsidR="009C025D" w:rsidRPr="009C025D" w:rsidRDefault="009C025D" w:rsidP="009C025D">
      <w:pPr>
        <w:pStyle w:val="HChG"/>
      </w:pPr>
      <w:r w:rsidRPr="009C025D">
        <w:tab/>
      </w:r>
      <w:r w:rsidRPr="009C025D">
        <w:tab/>
        <w:t>Предварительная повестка дня восемьдесят пятой сессии,</w:t>
      </w:r>
    </w:p>
    <w:p w14:paraId="559057D1" w14:textId="7E902F93" w:rsidR="009C025D" w:rsidRPr="009C025D" w:rsidRDefault="009C025D" w:rsidP="009C025D">
      <w:pPr>
        <w:pStyle w:val="SingleTxtG"/>
      </w:pPr>
      <w:r w:rsidRPr="009C025D">
        <w:t>которая состоится во Дворце Наций в Женеве и откроется в 10 ч 00 мин во вторник, 21</w:t>
      </w:r>
      <w:r>
        <w:rPr>
          <w:lang w:val="en-US"/>
        </w:rPr>
        <w:t> </w:t>
      </w:r>
      <w:r w:rsidRPr="009C025D">
        <w:t>февраля 2023 года</w:t>
      </w:r>
    </w:p>
    <w:p w14:paraId="1D85C20C" w14:textId="77777777" w:rsidR="009C025D" w:rsidRPr="009C025D" w:rsidRDefault="009C025D" w:rsidP="009C025D">
      <w:pPr>
        <w:pStyle w:val="SingleTxtG"/>
        <w:spacing w:line="238" w:lineRule="atLeast"/>
      </w:pPr>
      <w:r w:rsidRPr="009C025D">
        <w:t>1.</w:t>
      </w:r>
      <w:r w:rsidRPr="009C025D">
        <w:tab/>
        <w:t>Утверждение повестки дня.</w:t>
      </w:r>
    </w:p>
    <w:p w14:paraId="2F720706" w14:textId="77777777" w:rsidR="009C025D" w:rsidRPr="009C025D" w:rsidRDefault="009C025D" w:rsidP="009C025D">
      <w:pPr>
        <w:pStyle w:val="HChG"/>
      </w:pPr>
      <w:r w:rsidRPr="009C025D">
        <w:tab/>
        <w:t>I.</w:t>
      </w:r>
      <w:r w:rsidRPr="009C025D">
        <w:tab/>
        <w:t>Сегмент высокого уровня</w:t>
      </w:r>
    </w:p>
    <w:p w14:paraId="448441A7" w14:textId="77777777" w:rsidR="009C025D" w:rsidRPr="009C025D" w:rsidRDefault="009C025D" w:rsidP="009C025D">
      <w:pPr>
        <w:pStyle w:val="SingleTxtG"/>
        <w:spacing w:line="238" w:lineRule="atLeast"/>
        <w:ind w:left="1701" w:hanging="567"/>
      </w:pPr>
      <w:r w:rsidRPr="009C025D">
        <w:t>2.</w:t>
      </w:r>
      <w:r w:rsidRPr="009C025D">
        <w:tab/>
        <w:t>Действия сектора внутреннего транспорта по присоединению к глобальной борьбе с изменением климата.</w:t>
      </w:r>
    </w:p>
    <w:p w14:paraId="20D780A8" w14:textId="77777777" w:rsidR="009C025D" w:rsidRPr="009C025D" w:rsidRDefault="009C025D" w:rsidP="009C025D">
      <w:pPr>
        <w:pStyle w:val="HChG"/>
      </w:pPr>
      <w:r w:rsidRPr="009C025D">
        <w:tab/>
        <w:t>II.</w:t>
      </w:r>
      <w:r w:rsidRPr="009C025D">
        <w:tab/>
        <w:t>Тринадцатое совещание только для правительственных делегатов с участием председателей вспомогательных органов Комитета</w:t>
      </w:r>
    </w:p>
    <w:p w14:paraId="066F7078" w14:textId="77777777" w:rsidR="009C025D" w:rsidRPr="009C025D" w:rsidRDefault="009C025D" w:rsidP="009C025D">
      <w:pPr>
        <w:pStyle w:val="SingleTxtG"/>
        <w:spacing w:line="238" w:lineRule="atLeast"/>
        <w:ind w:left="1701" w:hanging="567"/>
      </w:pPr>
      <w:r w:rsidRPr="009C025D">
        <w:t>3.</w:t>
      </w:r>
      <w:r w:rsidRPr="009C025D">
        <w:tab/>
        <w:t>Совещание по вопросам осуществления пересмотренного круга ведения и Стратегии Комитета по внутреннему транспорту на период до 2030 года только для правительственных делегатов с участием председателей вспомогательных органов Комитета.</w:t>
      </w:r>
    </w:p>
    <w:p w14:paraId="7C3A7159" w14:textId="77777777" w:rsidR="009C025D" w:rsidRPr="009C025D" w:rsidRDefault="009C025D" w:rsidP="009C025D">
      <w:pPr>
        <w:pStyle w:val="HChG"/>
      </w:pPr>
      <w:r w:rsidRPr="009C025D">
        <w:tab/>
        <w:t>III.</w:t>
      </w:r>
      <w:r w:rsidRPr="009C025D">
        <w:tab/>
        <w:t>Управление и программные вопросы, требующие принятия решений со стороны Комитета</w:t>
      </w:r>
    </w:p>
    <w:p w14:paraId="691B67A7" w14:textId="77777777" w:rsidR="009C025D" w:rsidRPr="009C025D" w:rsidRDefault="009C025D" w:rsidP="009C025D">
      <w:pPr>
        <w:pStyle w:val="SingleTxtG"/>
        <w:spacing w:line="238" w:lineRule="atLeast"/>
        <w:ind w:left="1701" w:hanging="567"/>
      </w:pPr>
      <w:r w:rsidRPr="009C025D">
        <w:t>4.</w:t>
      </w:r>
      <w:r w:rsidRPr="009C025D">
        <w:tab/>
        <w:t>Вопросы управления и прочие вопросы, вытекающие из решений Европейской экономической комиссии Организации Объединенных Наций, Экономического и Социального Совета и других органов и конференций Организации Объединенных Наций.</w:t>
      </w:r>
    </w:p>
    <w:p w14:paraId="5B64697A" w14:textId="77777777" w:rsidR="009C025D" w:rsidRPr="009C025D" w:rsidRDefault="009C025D" w:rsidP="009C025D">
      <w:pPr>
        <w:pStyle w:val="SingleTxtG"/>
        <w:spacing w:line="238" w:lineRule="atLeast"/>
        <w:ind w:left="1701" w:hanging="567"/>
      </w:pPr>
      <w:r w:rsidRPr="009C025D">
        <w:t>5.</w:t>
      </w:r>
      <w:r w:rsidRPr="009C025D">
        <w:tab/>
        <w:t>Вопросы управления и важнейшие решения, касающиеся ведения деятельности Комитета по внутреннему транспорту и его вспомогательных органов:</w:t>
      </w:r>
      <w:bookmarkStart w:id="0" w:name="_Hlk89790130"/>
      <w:bookmarkEnd w:id="0"/>
    </w:p>
    <w:p w14:paraId="362F582B" w14:textId="77777777" w:rsidR="009C025D" w:rsidRPr="009C025D" w:rsidRDefault="009C025D" w:rsidP="009C025D">
      <w:pPr>
        <w:pStyle w:val="SingleTxtG"/>
        <w:spacing w:line="238" w:lineRule="atLeast"/>
        <w:ind w:left="1701"/>
      </w:pPr>
      <w:r w:rsidRPr="009C025D">
        <w:t>a)</w:t>
      </w:r>
      <w:r w:rsidRPr="009C025D">
        <w:tab/>
        <w:t>решения, касающиеся вспомогательных органов и структуры Комитета;</w:t>
      </w:r>
    </w:p>
    <w:p w14:paraId="51564435" w14:textId="77777777" w:rsidR="009C025D" w:rsidRPr="009C025D" w:rsidRDefault="009C025D" w:rsidP="009C025D">
      <w:pPr>
        <w:pStyle w:val="SingleTxtG"/>
        <w:spacing w:line="238" w:lineRule="atLeast"/>
        <w:ind w:left="1701"/>
      </w:pPr>
      <w:r w:rsidRPr="009C025D">
        <w:t>b)</w:t>
      </w:r>
      <w:r w:rsidRPr="009C025D">
        <w:tab/>
        <w:t>итоги совещаний Бюро Комитета по внутреннему транспорту.</w:t>
      </w:r>
    </w:p>
    <w:p w14:paraId="7583963E" w14:textId="77777777" w:rsidR="009C025D" w:rsidRPr="009C025D" w:rsidRDefault="009C025D" w:rsidP="009C025D">
      <w:pPr>
        <w:pStyle w:val="SingleTxtG"/>
        <w:keepNext/>
        <w:spacing w:line="238" w:lineRule="atLeast"/>
      </w:pPr>
      <w:r w:rsidRPr="009C025D">
        <w:t>6.</w:t>
      </w:r>
      <w:r w:rsidRPr="009C025D">
        <w:tab/>
        <w:t>Программные вопросы:</w:t>
      </w:r>
    </w:p>
    <w:p w14:paraId="5427C56E" w14:textId="77777777" w:rsidR="009C025D" w:rsidRPr="009C025D" w:rsidRDefault="009C025D" w:rsidP="009C025D">
      <w:pPr>
        <w:pStyle w:val="SingleTxtG"/>
        <w:spacing w:line="238" w:lineRule="atLeast"/>
        <w:ind w:left="2268" w:hanging="567"/>
      </w:pPr>
      <w:r w:rsidRPr="009C025D">
        <w:t>a)</w:t>
      </w:r>
      <w:r w:rsidRPr="009C025D">
        <w:tab/>
        <w:t>программа работы на 2023 год и рекомендации в отношении ключевых компонентов программы работы на 2025 год;</w:t>
      </w:r>
    </w:p>
    <w:p w14:paraId="14CDDF03" w14:textId="77777777" w:rsidR="009C025D" w:rsidRPr="009C025D" w:rsidRDefault="009C025D" w:rsidP="009C025D">
      <w:pPr>
        <w:pStyle w:val="SingleTxtG"/>
        <w:ind w:left="2268" w:hanging="567"/>
      </w:pPr>
      <w:r w:rsidRPr="009C025D">
        <w:lastRenderedPageBreak/>
        <w:t>b)</w:t>
      </w:r>
      <w:r w:rsidRPr="009C025D">
        <w:tab/>
        <w:t>план по программам на 2024 год;</w:t>
      </w:r>
    </w:p>
    <w:p w14:paraId="38F12598" w14:textId="77777777" w:rsidR="009C025D" w:rsidRPr="009C025D" w:rsidRDefault="009C025D" w:rsidP="009C025D">
      <w:pPr>
        <w:pStyle w:val="SingleTxtG"/>
        <w:ind w:left="2268" w:hanging="567"/>
      </w:pPr>
      <w:r w:rsidRPr="009C025D">
        <w:t>c)</w:t>
      </w:r>
      <w:r w:rsidRPr="009C025D">
        <w:tab/>
        <w:t>перечень публикаций на 2024 год;</w:t>
      </w:r>
    </w:p>
    <w:p w14:paraId="163C1834" w14:textId="77777777" w:rsidR="009C025D" w:rsidRPr="009C025D" w:rsidRDefault="009C025D" w:rsidP="009C025D">
      <w:pPr>
        <w:pStyle w:val="SingleTxtG"/>
        <w:ind w:left="2268" w:hanging="567"/>
      </w:pPr>
      <w:r w:rsidRPr="009C025D">
        <w:t>d)</w:t>
      </w:r>
      <w:r w:rsidRPr="009C025D">
        <w:tab/>
        <w:t>расписание совещаний в 2023 году.</w:t>
      </w:r>
    </w:p>
    <w:p w14:paraId="1A795085" w14:textId="77777777" w:rsidR="009C025D" w:rsidRPr="009C025D" w:rsidRDefault="009C025D" w:rsidP="009C025D">
      <w:pPr>
        <w:pStyle w:val="HChG"/>
      </w:pPr>
      <w:r w:rsidRPr="009C025D">
        <w:tab/>
        <w:t>IV.</w:t>
      </w:r>
      <w:r w:rsidRPr="009C025D">
        <w:tab/>
        <w:t xml:space="preserve">Стратегическая транспортная политика и вопросы регулирования </w:t>
      </w:r>
    </w:p>
    <w:p w14:paraId="3B12B8B0" w14:textId="77777777" w:rsidR="009C025D" w:rsidRPr="009C025D" w:rsidRDefault="009C025D" w:rsidP="009C025D">
      <w:pPr>
        <w:pStyle w:val="SingleTxtG"/>
        <w:ind w:left="1701" w:hanging="567"/>
      </w:pPr>
      <w:r w:rsidRPr="009C025D">
        <w:t>7.</w:t>
      </w:r>
      <w:r w:rsidRPr="009C025D">
        <w:tab/>
        <w:t>Стратегические вопросы горизонтальной и межсекторальной политики или нормативного характера:</w:t>
      </w:r>
    </w:p>
    <w:p w14:paraId="5843FE85" w14:textId="77777777" w:rsidR="009C025D" w:rsidRPr="009C025D" w:rsidRDefault="009C025D" w:rsidP="009C025D">
      <w:pPr>
        <w:pStyle w:val="SingleTxtG"/>
        <w:ind w:left="2268" w:hanging="567"/>
      </w:pPr>
      <w:r w:rsidRPr="009C025D">
        <w:t>a)</w:t>
      </w:r>
      <w:r w:rsidRPr="009C025D">
        <w:tab/>
        <w:t>положение в связи с присоединением к международным конвенциям и соглашениям Организации Объединенных Наций в области внутреннего транспорта;</w:t>
      </w:r>
    </w:p>
    <w:p w14:paraId="43881234" w14:textId="77777777" w:rsidR="009C025D" w:rsidRPr="009C025D" w:rsidRDefault="009C025D" w:rsidP="009C025D">
      <w:pPr>
        <w:pStyle w:val="SingleTxtG"/>
        <w:ind w:left="2268" w:hanging="567"/>
      </w:pPr>
      <w:r w:rsidRPr="009C025D">
        <w:t>b)</w:t>
      </w:r>
      <w:r w:rsidRPr="009C025D">
        <w:tab/>
        <w:t>осуществление международных конвенций и соглашений Организации Объединенных Наций в области внутреннего транспорта (заявления делегатов);</w:t>
      </w:r>
    </w:p>
    <w:p w14:paraId="562F1F38" w14:textId="77777777" w:rsidR="009C025D" w:rsidRPr="009C025D" w:rsidRDefault="009C025D" w:rsidP="009C025D">
      <w:pPr>
        <w:pStyle w:val="SingleTxtG"/>
        <w:ind w:left="2268" w:hanging="567"/>
      </w:pPr>
      <w:r w:rsidRPr="009C025D">
        <w:t>c)</w:t>
      </w:r>
      <w:r w:rsidRPr="009C025D">
        <w:tab/>
        <w:t>вызовы и новые тенденции в области внутреннего транспорта:</w:t>
      </w:r>
    </w:p>
    <w:p w14:paraId="68CD8860" w14:textId="77777777" w:rsidR="009C025D" w:rsidRPr="009C025D" w:rsidRDefault="009C025D" w:rsidP="009C025D">
      <w:pPr>
        <w:pStyle w:val="SingleTxtG"/>
        <w:ind w:left="2835" w:hanging="567"/>
      </w:pPr>
      <w:r w:rsidRPr="009C025D">
        <w:t>i)</w:t>
      </w:r>
      <w:r w:rsidRPr="009C025D">
        <w:tab/>
        <w:t>в различных регионах (заявления делегатов);</w:t>
      </w:r>
    </w:p>
    <w:p w14:paraId="2FF5AD55" w14:textId="77777777" w:rsidR="009C025D" w:rsidRPr="009C025D" w:rsidRDefault="009C025D" w:rsidP="009C025D">
      <w:pPr>
        <w:pStyle w:val="SingleTxtG"/>
        <w:ind w:left="2835" w:hanging="567"/>
      </w:pPr>
      <w:r w:rsidRPr="009C025D">
        <w:t>ii)</w:t>
      </w:r>
      <w:r w:rsidRPr="009C025D">
        <w:tab/>
        <w:t>в особой ситуации войны против Украины: влияние на транспортную связанность;</w:t>
      </w:r>
    </w:p>
    <w:p w14:paraId="7F076347" w14:textId="77777777" w:rsidR="009C025D" w:rsidRPr="009C025D" w:rsidRDefault="009C025D" w:rsidP="009C025D">
      <w:pPr>
        <w:pStyle w:val="SingleTxtG"/>
        <w:ind w:left="2268" w:hanging="567"/>
      </w:pPr>
      <w:r w:rsidRPr="009C025D">
        <w:t>d)</w:t>
      </w:r>
      <w:r w:rsidRPr="009C025D">
        <w:tab/>
        <w:t>технологии информации и компьютеризации и интеллектуальные транспортные системы;</w:t>
      </w:r>
    </w:p>
    <w:p w14:paraId="59788CFC" w14:textId="77777777" w:rsidR="009C025D" w:rsidRPr="009C025D" w:rsidRDefault="009C025D" w:rsidP="009C025D">
      <w:pPr>
        <w:pStyle w:val="SingleTxtG"/>
        <w:ind w:left="2268" w:hanging="567"/>
      </w:pPr>
      <w:r w:rsidRPr="009C025D">
        <w:t>e)</w:t>
      </w:r>
      <w:r w:rsidRPr="009C025D">
        <w:tab/>
        <w:t>окружающая среда, изменение климата и транспорт:</w:t>
      </w:r>
    </w:p>
    <w:p w14:paraId="00C5727F" w14:textId="77777777" w:rsidR="009C025D" w:rsidRPr="009C025D" w:rsidRDefault="009C025D" w:rsidP="009C025D">
      <w:pPr>
        <w:pStyle w:val="SingleTxtG"/>
        <w:ind w:left="2835" w:hanging="567"/>
      </w:pPr>
      <w:r w:rsidRPr="009C025D">
        <w:t>i)</w:t>
      </w:r>
      <w:r w:rsidRPr="009C025D">
        <w:tab/>
        <w:t>последующая деятельность Комитета по внутреннему транспорту в контексте Повестки дня на период до 2030 года;</w:t>
      </w:r>
    </w:p>
    <w:p w14:paraId="31C62889" w14:textId="77777777" w:rsidR="009C025D" w:rsidRPr="009C025D" w:rsidRDefault="009C025D" w:rsidP="009C025D">
      <w:pPr>
        <w:pStyle w:val="SingleTxtG"/>
        <w:ind w:left="2835" w:hanging="567"/>
      </w:pPr>
      <w:r w:rsidRPr="009C025D">
        <w:t>ii)</w:t>
      </w:r>
      <w:r w:rsidRPr="009C025D">
        <w:tab/>
        <w:t>деятельность Комитета по внутреннему транспорту в области адаптации к изменению климата и смягчения его последствий;</w:t>
      </w:r>
    </w:p>
    <w:p w14:paraId="1A0DE4AB" w14:textId="77777777" w:rsidR="009C025D" w:rsidRPr="009C025D" w:rsidRDefault="009C025D" w:rsidP="009C025D">
      <w:pPr>
        <w:pStyle w:val="SingleTxtG"/>
        <w:ind w:left="2835" w:hanging="567"/>
      </w:pPr>
      <w:r w:rsidRPr="009C025D">
        <w:t>iii)</w:t>
      </w:r>
      <w:r w:rsidRPr="009C025D">
        <w:tab/>
        <w:t>«зеленый» транспорт и окружающая среда;</w:t>
      </w:r>
    </w:p>
    <w:p w14:paraId="220A2B62" w14:textId="77777777" w:rsidR="009C025D" w:rsidRPr="009C025D" w:rsidRDefault="009C025D" w:rsidP="009C025D">
      <w:pPr>
        <w:pStyle w:val="SingleTxtG"/>
        <w:ind w:left="2835" w:hanging="567"/>
      </w:pPr>
      <w:r w:rsidRPr="009C025D">
        <w:t>iv)</w:t>
      </w:r>
      <w:r w:rsidRPr="009C025D">
        <w:tab/>
        <w:t>Общеевропейская программа по транспорту, окружающей среде и охране здоровья;</w:t>
      </w:r>
    </w:p>
    <w:p w14:paraId="7B2F13B8" w14:textId="77777777" w:rsidR="009C025D" w:rsidRPr="009C025D" w:rsidRDefault="009C025D" w:rsidP="009C025D">
      <w:pPr>
        <w:pStyle w:val="SingleTxtG"/>
        <w:ind w:left="2268" w:hanging="567"/>
      </w:pPr>
      <w:r w:rsidRPr="009C025D">
        <w:t>f)</w:t>
      </w:r>
      <w:r w:rsidRPr="009C025D">
        <w:tab/>
        <w:t>безопасность на внутреннем транспорте;</w:t>
      </w:r>
    </w:p>
    <w:p w14:paraId="58147C7B" w14:textId="77777777" w:rsidR="009C025D" w:rsidRPr="009C025D" w:rsidRDefault="009C025D" w:rsidP="009C025D">
      <w:pPr>
        <w:pStyle w:val="SingleTxtG"/>
        <w:ind w:left="2268" w:hanging="567"/>
      </w:pPr>
      <w:r w:rsidRPr="009C025D">
        <w:t>g)</w:t>
      </w:r>
      <w:r w:rsidRPr="009C025D">
        <w:tab/>
        <w:t>аналитическая работа в области транспорта;</w:t>
      </w:r>
    </w:p>
    <w:p w14:paraId="24F85BDE" w14:textId="77777777" w:rsidR="009C025D" w:rsidRPr="009C025D" w:rsidRDefault="009C025D" w:rsidP="009C025D">
      <w:pPr>
        <w:pStyle w:val="SingleTxtG"/>
        <w:ind w:left="2268" w:hanging="567"/>
      </w:pPr>
      <w:bookmarkStart w:id="1" w:name="_Hlk83202293"/>
      <w:r w:rsidRPr="009C025D">
        <w:t>h)</w:t>
      </w:r>
      <w:r w:rsidRPr="009C025D">
        <w:tab/>
        <w:t>деятельность по наращиванию потенциала в странах — участницах программ Организации Объединенных Наций в регионе Европейской экономической комиссии Организации Объединенных Наций;</w:t>
      </w:r>
    </w:p>
    <w:p w14:paraId="66E91DAD" w14:textId="77777777" w:rsidR="009C025D" w:rsidRPr="009C025D" w:rsidRDefault="009C025D" w:rsidP="009C025D">
      <w:pPr>
        <w:pStyle w:val="SingleTxtG"/>
        <w:ind w:left="2268" w:hanging="567"/>
      </w:pPr>
      <w:r w:rsidRPr="009C025D">
        <w:t>i)</w:t>
      </w:r>
      <w:r w:rsidRPr="009C025D">
        <w:tab/>
        <w:t>продолжение поддержки стран, не имеющих выхода к морю: Венская программа действий;</w:t>
      </w:r>
    </w:p>
    <w:bookmarkEnd w:id="1"/>
    <w:p w14:paraId="1824615F" w14:textId="77777777" w:rsidR="009C025D" w:rsidRPr="009C025D" w:rsidRDefault="009C025D" w:rsidP="009C025D">
      <w:pPr>
        <w:pStyle w:val="SingleTxtG"/>
        <w:ind w:left="2268" w:hanging="567"/>
      </w:pPr>
      <w:r w:rsidRPr="009C025D">
        <w:t>j)</w:t>
      </w:r>
      <w:r w:rsidRPr="009C025D">
        <w:tab/>
        <w:t xml:space="preserve">безопасность дорожного движения; </w:t>
      </w:r>
    </w:p>
    <w:p w14:paraId="46B84617" w14:textId="77777777" w:rsidR="009C025D" w:rsidRPr="009C025D" w:rsidRDefault="009C025D" w:rsidP="009C025D">
      <w:pPr>
        <w:pStyle w:val="SingleTxtG"/>
        <w:ind w:left="2268" w:hanging="567"/>
      </w:pPr>
      <w:r w:rsidRPr="009C025D">
        <w:t>k)</w:t>
      </w:r>
      <w:r w:rsidRPr="009C025D">
        <w:tab/>
        <w:t>согласование правил в области транспортных средств;</w:t>
      </w:r>
    </w:p>
    <w:p w14:paraId="2665AC42" w14:textId="77777777" w:rsidR="009C025D" w:rsidRPr="009C025D" w:rsidRDefault="009C025D" w:rsidP="009C025D">
      <w:pPr>
        <w:pStyle w:val="SingleTxtG"/>
        <w:ind w:left="2268" w:hanging="567"/>
      </w:pPr>
      <w:r w:rsidRPr="009C025D">
        <w:t>l)</w:t>
      </w:r>
      <w:r w:rsidRPr="009C025D">
        <w:tab/>
        <w:t>перевозка опасных грузов;</w:t>
      </w:r>
    </w:p>
    <w:p w14:paraId="258E39E4" w14:textId="77777777" w:rsidR="009C025D" w:rsidRPr="009C025D" w:rsidRDefault="009C025D" w:rsidP="009C025D">
      <w:pPr>
        <w:pStyle w:val="SingleTxtG"/>
        <w:ind w:left="2268" w:hanging="567"/>
      </w:pPr>
      <w:r w:rsidRPr="009C025D">
        <w:t>m)</w:t>
      </w:r>
      <w:r w:rsidRPr="009C025D">
        <w:tab/>
        <w:t xml:space="preserve">Фонд Организации Объединенных Наций по безопасности дорожного движения; </w:t>
      </w:r>
    </w:p>
    <w:p w14:paraId="5C4FB878" w14:textId="77777777" w:rsidR="009C025D" w:rsidRPr="009C025D" w:rsidRDefault="009C025D" w:rsidP="009C025D">
      <w:pPr>
        <w:pStyle w:val="SingleTxtG"/>
        <w:ind w:left="2268" w:hanging="567"/>
      </w:pPr>
      <w:r w:rsidRPr="009C025D">
        <w:t>n)</w:t>
      </w:r>
      <w:r w:rsidRPr="009C025D">
        <w:tab/>
        <w:t xml:space="preserve">Специальный посланник Генерального секретаря по безопасности дорожного движения; </w:t>
      </w:r>
    </w:p>
    <w:p w14:paraId="7964A8DC" w14:textId="77777777" w:rsidR="009C025D" w:rsidRPr="009C025D" w:rsidRDefault="009C025D" w:rsidP="009C025D">
      <w:pPr>
        <w:pStyle w:val="SingleTxtG"/>
        <w:ind w:left="2268" w:hanging="567"/>
      </w:pPr>
      <w:r w:rsidRPr="009C025D">
        <w:t>o)</w:t>
      </w:r>
      <w:r w:rsidRPr="009C025D">
        <w:tab/>
        <w:t>активизация работы по облегчению пересечения границ (Конвенция МДП, проект eTIR, Конвенция о согласовании и другие меры по облегчению пересечения границ и таможенного транзита);</w:t>
      </w:r>
    </w:p>
    <w:p w14:paraId="25AEF4E3" w14:textId="77777777" w:rsidR="009C025D" w:rsidRPr="009C025D" w:rsidRDefault="009C025D" w:rsidP="009C025D">
      <w:pPr>
        <w:pStyle w:val="SingleTxtG"/>
        <w:ind w:left="2268" w:hanging="567"/>
      </w:pPr>
      <w:r w:rsidRPr="009C025D">
        <w:lastRenderedPageBreak/>
        <w:t>p)</w:t>
      </w:r>
      <w:r w:rsidRPr="009C025D">
        <w:tab/>
        <w:t>перевозка скоропортящихся пищевых продуктов;</w:t>
      </w:r>
    </w:p>
    <w:p w14:paraId="43F570C5" w14:textId="77777777" w:rsidR="009C025D" w:rsidRPr="009C025D" w:rsidRDefault="009C025D" w:rsidP="009C025D">
      <w:pPr>
        <w:pStyle w:val="SingleTxtG"/>
        <w:ind w:left="2268" w:hanging="567"/>
      </w:pPr>
      <w:r w:rsidRPr="009C025D">
        <w:t>q)</w:t>
      </w:r>
      <w:r w:rsidRPr="009C025D">
        <w:tab/>
        <w:t>автомобильный транспорт;</w:t>
      </w:r>
    </w:p>
    <w:p w14:paraId="39F41A45" w14:textId="77777777" w:rsidR="009C025D" w:rsidRPr="009C025D" w:rsidRDefault="009C025D" w:rsidP="009C025D">
      <w:pPr>
        <w:pStyle w:val="SingleTxtG"/>
        <w:ind w:left="2268" w:hanging="567"/>
      </w:pPr>
      <w:r w:rsidRPr="009C025D">
        <w:t>r)</w:t>
      </w:r>
      <w:r w:rsidRPr="009C025D">
        <w:tab/>
        <w:t>железнодорожный транспорт;</w:t>
      </w:r>
    </w:p>
    <w:p w14:paraId="64A0A7B3" w14:textId="77777777" w:rsidR="009C025D" w:rsidRPr="009C025D" w:rsidRDefault="009C025D" w:rsidP="009C025D">
      <w:pPr>
        <w:pStyle w:val="SingleTxtG"/>
        <w:ind w:left="2268" w:hanging="567"/>
      </w:pPr>
      <w:r w:rsidRPr="009C025D">
        <w:t>s)</w:t>
      </w:r>
      <w:r w:rsidRPr="009C025D">
        <w:tab/>
        <w:t>интермодальные перевозки и логистика;</w:t>
      </w:r>
    </w:p>
    <w:p w14:paraId="024E67AE" w14:textId="77777777" w:rsidR="009C025D" w:rsidRPr="009C025D" w:rsidRDefault="009C025D" w:rsidP="009C025D">
      <w:pPr>
        <w:pStyle w:val="SingleTxtG"/>
        <w:ind w:left="2268" w:hanging="567"/>
      </w:pPr>
      <w:r w:rsidRPr="009C025D">
        <w:t>t)</w:t>
      </w:r>
      <w:r w:rsidRPr="009C025D">
        <w:tab/>
        <w:t>деятельность, связанная с проектами: проекты Трансъевропейской автомагистрали Север — Юг и Трансъевропейской железнодорожной магистрали;</w:t>
      </w:r>
    </w:p>
    <w:p w14:paraId="14EC3609" w14:textId="77777777" w:rsidR="009C025D" w:rsidRPr="009C025D" w:rsidRDefault="009C025D" w:rsidP="009C025D">
      <w:pPr>
        <w:pStyle w:val="SingleTxtG"/>
        <w:ind w:left="2268" w:hanging="567"/>
      </w:pPr>
      <w:r w:rsidRPr="009C025D">
        <w:t>u)</w:t>
      </w:r>
      <w:r w:rsidRPr="009C025D">
        <w:tab/>
        <w:t>внутренний водный транспорт;</w:t>
      </w:r>
    </w:p>
    <w:p w14:paraId="44E1B71C" w14:textId="77777777" w:rsidR="009C025D" w:rsidRPr="009C025D" w:rsidRDefault="009C025D" w:rsidP="009C025D">
      <w:pPr>
        <w:pStyle w:val="SingleTxtG"/>
        <w:ind w:left="2268" w:hanging="567"/>
      </w:pPr>
      <w:r w:rsidRPr="009C025D">
        <w:t>v)</w:t>
      </w:r>
      <w:r w:rsidRPr="009C025D">
        <w:tab/>
        <w:t>транспортная статистика и данные;</w:t>
      </w:r>
    </w:p>
    <w:p w14:paraId="223A94BA" w14:textId="77777777" w:rsidR="009C025D" w:rsidRPr="009C025D" w:rsidRDefault="009C025D" w:rsidP="009C025D">
      <w:pPr>
        <w:pStyle w:val="SingleTxtG"/>
        <w:ind w:left="2268" w:hanging="567"/>
      </w:pPr>
      <w:r w:rsidRPr="009C025D">
        <w:t>w)</w:t>
      </w:r>
      <w:r w:rsidRPr="009C025D">
        <w:tab/>
        <w:t>проект годового доклада о деятельности вспомогательных органов Комитета в 2022 году.</w:t>
      </w:r>
    </w:p>
    <w:p w14:paraId="3C685818" w14:textId="77777777" w:rsidR="009C025D" w:rsidRPr="009C025D" w:rsidRDefault="009C025D" w:rsidP="009C025D">
      <w:pPr>
        <w:pStyle w:val="SingleTxtG"/>
      </w:pPr>
      <w:r w:rsidRPr="009C025D">
        <w:t>8.</w:t>
      </w:r>
      <w:r w:rsidRPr="009C025D">
        <w:tab/>
        <w:t>Одобрение докладов вспомогательных органов Комитета.</w:t>
      </w:r>
    </w:p>
    <w:p w14:paraId="0A087739" w14:textId="78899ACF" w:rsidR="009C025D" w:rsidRPr="009C025D" w:rsidRDefault="009C025D" w:rsidP="009C025D">
      <w:pPr>
        <w:pStyle w:val="SingleTxtG"/>
        <w:ind w:left="1701" w:hanging="567"/>
      </w:pPr>
      <w:r w:rsidRPr="009C025D">
        <w:t>9.</w:t>
      </w:r>
      <w:r w:rsidRPr="009C025D">
        <w:tab/>
        <w:t>Партнерства и деятельность других организаций и программ/проектов, представляющая интерес для Комитета:</w:t>
      </w:r>
    </w:p>
    <w:p w14:paraId="01D28BC5" w14:textId="77777777" w:rsidR="009C025D" w:rsidRPr="009C025D" w:rsidRDefault="009C025D" w:rsidP="009C025D">
      <w:pPr>
        <w:pStyle w:val="SingleTxtG"/>
        <w:ind w:left="2268" w:hanging="567"/>
      </w:pPr>
      <w:r w:rsidRPr="009C025D">
        <w:t>a)</w:t>
      </w:r>
      <w:r w:rsidRPr="009C025D">
        <w:tab/>
        <w:t>изменения на транспорте в Европейском союзе;</w:t>
      </w:r>
    </w:p>
    <w:p w14:paraId="0548B1AD" w14:textId="77777777" w:rsidR="009C025D" w:rsidRPr="009C025D" w:rsidRDefault="009C025D" w:rsidP="009C025D">
      <w:pPr>
        <w:pStyle w:val="SingleTxtG"/>
        <w:ind w:left="2268" w:hanging="567"/>
      </w:pPr>
      <w:r w:rsidRPr="009C025D">
        <w:t>b)</w:t>
      </w:r>
      <w:r w:rsidRPr="009C025D">
        <w:tab/>
        <w:t>изменения, связанные с работой Международного транспортного форума;</w:t>
      </w:r>
    </w:p>
    <w:p w14:paraId="50D4FAAA" w14:textId="77777777" w:rsidR="009C025D" w:rsidRPr="009C025D" w:rsidRDefault="009C025D" w:rsidP="009C025D">
      <w:pPr>
        <w:pStyle w:val="SingleTxtG"/>
        <w:ind w:left="2268" w:hanging="567"/>
      </w:pPr>
      <w:r w:rsidRPr="009C025D">
        <w:t>c)</w:t>
      </w:r>
      <w:r w:rsidRPr="009C025D">
        <w:tab/>
        <w:t>деятельность других организаций и программ/проектов, представляющая интерес для Комитета;</w:t>
      </w:r>
    </w:p>
    <w:p w14:paraId="15A11ACD" w14:textId="77777777" w:rsidR="009C025D" w:rsidRPr="009C025D" w:rsidRDefault="009C025D" w:rsidP="009C025D">
      <w:pPr>
        <w:pStyle w:val="SingleTxtG"/>
        <w:ind w:left="2268" w:hanging="567"/>
      </w:pPr>
      <w:r w:rsidRPr="009C025D">
        <w:t>d)</w:t>
      </w:r>
      <w:r w:rsidRPr="009C025D">
        <w:tab/>
        <w:t>диалог с региональными комиссиями Организации Объединенных Наций о текущей деятельности, связанной с внутренним транспортом.</w:t>
      </w:r>
    </w:p>
    <w:p w14:paraId="608DE6DD" w14:textId="77777777" w:rsidR="009C025D" w:rsidRPr="009C025D" w:rsidRDefault="009C025D" w:rsidP="009C025D">
      <w:pPr>
        <w:pStyle w:val="HChG"/>
      </w:pPr>
      <w:r w:rsidRPr="009C025D">
        <w:tab/>
        <w:t>V.</w:t>
      </w:r>
      <w:r w:rsidRPr="009C025D">
        <w:tab/>
        <w:t>Разное</w:t>
      </w:r>
    </w:p>
    <w:p w14:paraId="3EDE958F" w14:textId="77777777" w:rsidR="009C025D" w:rsidRPr="009C025D" w:rsidRDefault="009C025D" w:rsidP="009C025D">
      <w:pPr>
        <w:pStyle w:val="SingleTxtG"/>
      </w:pPr>
      <w:r w:rsidRPr="009C025D">
        <w:t>10.</w:t>
      </w:r>
      <w:r w:rsidRPr="009C025D">
        <w:tab/>
        <w:t>Прочие вопросы. Сроки проведения следующей сессии.</w:t>
      </w:r>
    </w:p>
    <w:p w14:paraId="7C1C70A7" w14:textId="77777777" w:rsidR="009C025D" w:rsidRPr="009C025D" w:rsidRDefault="009C025D" w:rsidP="009C025D">
      <w:pPr>
        <w:pStyle w:val="HChG"/>
      </w:pPr>
      <w:r w:rsidRPr="009C025D">
        <w:tab/>
        <w:t>VI.</w:t>
      </w:r>
      <w:r w:rsidRPr="009C025D">
        <w:tab/>
        <w:t>Перечень решений</w:t>
      </w:r>
    </w:p>
    <w:p w14:paraId="6A1AB179" w14:textId="77777777" w:rsidR="009C025D" w:rsidRPr="009C025D" w:rsidRDefault="009C025D" w:rsidP="009C025D">
      <w:pPr>
        <w:pStyle w:val="SingleTxtG"/>
      </w:pPr>
      <w:r w:rsidRPr="009C025D">
        <w:t>11.</w:t>
      </w:r>
      <w:r w:rsidRPr="009C025D">
        <w:tab/>
        <w:t>Утверждение перечня основных решений восемьдесят пятой сессии.</w:t>
      </w:r>
    </w:p>
    <w:p w14:paraId="1D176413" w14:textId="1D8228E5" w:rsidR="009C025D" w:rsidRPr="009C025D" w:rsidRDefault="009C025D" w:rsidP="009C025D">
      <w:pPr>
        <w:pStyle w:val="HChG"/>
      </w:pPr>
      <w:r w:rsidRPr="009C025D">
        <w:tab/>
        <w:t>VII.</w:t>
      </w:r>
      <w:r w:rsidRPr="009C025D">
        <w:tab/>
        <w:t>Круглый стол Комитета по внутреннему транспорту по</w:t>
      </w:r>
      <w:r>
        <w:rPr>
          <w:lang w:val="en-US"/>
        </w:rPr>
        <w:t> </w:t>
      </w:r>
      <w:r w:rsidRPr="009C025D">
        <w:t>четырем платформам Стратегии Комитета</w:t>
      </w:r>
    </w:p>
    <w:p w14:paraId="2566DCB5" w14:textId="77777777" w:rsidR="009C025D" w:rsidRPr="009C025D" w:rsidRDefault="009C025D" w:rsidP="009C025D">
      <w:pPr>
        <w:pStyle w:val="SingleTxtG"/>
        <w:ind w:left="1701" w:hanging="567"/>
      </w:pPr>
      <w:r w:rsidRPr="009C025D">
        <w:t>12.</w:t>
      </w:r>
      <w:r w:rsidRPr="009C025D">
        <w:tab/>
        <w:t>Связанность внутреннего транспорта и Повестка дня в области устойчивого развития на период до 2030 года: вызовы и возможности для глобального экономического роста и развития.</w:t>
      </w:r>
    </w:p>
    <w:p w14:paraId="762DE13E" w14:textId="77777777" w:rsidR="009C025D" w:rsidRPr="009C025D" w:rsidRDefault="009C025D" w:rsidP="009C025D">
      <w:pPr>
        <w:pStyle w:val="HChG"/>
      </w:pPr>
      <w:r w:rsidRPr="009C025D">
        <w:tab/>
        <w:t>VIII.</w:t>
      </w:r>
      <w:r w:rsidRPr="009C025D">
        <w:tab/>
        <w:t>Особые приоритеты Комитета по внутреннему транспорту</w:t>
      </w:r>
    </w:p>
    <w:p w14:paraId="59271164" w14:textId="6E877566" w:rsidR="009C025D" w:rsidRPr="009C025D" w:rsidRDefault="009C025D" w:rsidP="009C025D">
      <w:pPr>
        <w:pStyle w:val="SingleTxtG"/>
        <w:ind w:left="1701" w:hanging="567"/>
      </w:pPr>
      <w:r w:rsidRPr="009C025D">
        <w:t>13.</w:t>
      </w:r>
      <w:r w:rsidRPr="009C025D">
        <w:tab/>
        <w:t>Форум по безопасности дорожного движения Комитета по внутреннему транспорту</w:t>
      </w:r>
      <w:r w:rsidRPr="009C025D">
        <w:t>.</w:t>
      </w:r>
    </w:p>
    <w:p w14:paraId="4AD30B8F" w14:textId="77777777" w:rsidR="009C025D" w:rsidRPr="009C025D" w:rsidRDefault="009C025D" w:rsidP="009C025D">
      <w:pPr>
        <w:pStyle w:val="HChG"/>
        <w:rPr>
          <w:lang w:val="en-GB"/>
        </w:rPr>
      </w:pPr>
      <w:r w:rsidRPr="009C025D">
        <w:tab/>
        <w:t>IX.</w:t>
      </w:r>
      <w:r w:rsidRPr="009C025D">
        <w:tab/>
        <w:t>Предварительное расписание</w:t>
      </w:r>
    </w:p>
    <w:p w14:paraId="004D612D" w14:textId="297A3B05" w:rsidR="009C025D" w:rsidRPr="009C025D" w:rsidRDefault="009C025D" w:rsidP="009C025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C025D" w:rsidRPr="009C025D" w:rsidSect="009C025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68D7" w14:textId="77777777" w:rsidR="00302833" w:rsidRPr="00A312BC" w:rsidRDefault="00302833" w:rsidP="00A312BC"/>
  </w:endnote>
  <w:endnote w:type="continuationSeparator" w:id="0">
    <w:p w14:paraId="0D43DF35" w14:textId="77777777" w:rsidR="00302833" w:rsidRPr="00A312BC" w:rsidRDefault="0030283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9683" w14:textId="2E5387A3" w:rsidR="009C025D" w:rsidRPr="009C025D" w:rsidRDefault="009C025D">
    <w:pPr>
      <w:pStyle w:val="a8"/>
    </w:pPr>
    <w:r w:rsidRPr="009C025D">
      <w:rPr>
        <w:b/>
        <w:sz w:val="18"/>
      </w:rPr>
      <w:fldChar w:fldCharType="begin"/>
    </w:r>
    <w:r w:rsidRPr="009C025D">
      <w:rPr>
        <w:b/>
        <w:sz w:val="18"/>
      </w:rPr>
      <w:instrText xml:space="preserve"> PAGE  \* MERGEFORMAT </w:instrText>
    </w:r>
    <w:r w:rsidRPr="009C025D">
      <w:rPr>
        <w:b/>
        <w:sz w:val="18"/>
      </w:rPr>
      <w:fldChar w:fldCharType="separate"/>
    </w:r>
    <w:r w:rsidRPr="009C025D">
      <w:rPr>
        <w:b/>
        <w:noProof/>
        <w:sz w:val="18"/>
      </w:rPr>
      <w:t>2</w:t>
    </w:r>
    <w:r w:rsidRPr="009C025D">
      <w:rPr>
        <w:b/>
        <w:sz w:val="18"/>
      </w:rPr>
      <w:fldChar w:fldCharType="end"/>
    </w:r>
    <w:r>
      <w:rPr>
        <w:b/>
        <w:sz w:val="18"/>
      </w:rPr>
      <w:tab/>
    </w:r>
    <w:r>
      <w:t>GE.22-27678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8AFF" w14:textId="5D9C2FA4" w:rsidR="009C025D" w:rsidRPr="009C025D" w:rsidRDefault="009C025D" w:rsidP="009C025D">
    <w:pPr>
      <w:pStyle w:val="a8"/>
      <w:tabs>
        <w:tab w:val="clear" w:pos="9639"/>
        <w:tab w:val="right" w:pos="9638"/>
      </w:tabs>
      <w:rPr>
        <w:b/>
        <w:sz w:val="18"/>
      </w:rPr>
    </w:pPr>
    <w:r>
      <w:t>GE.22-27678</w:t>
    </w:r>
    <w:r>
      <w:tab/>
    </w:r>
    <w:r w:rsidRPr="009C025D">
      <w:rPr>
        <w:b/>
        <w:sz w:val="18"/>
      </w:rPr>
      <w:fldChar w:fldCharType="begin"/>
    </w:r>
    <w:r w:rsidRPr="009C025D">
      <w:rPr>
        <w:b/>
        <w:sz w:val="18"/>
      </w:rPr>
      <w:instrText xml:space="preserve"> PAGE  \* MERGEFORMAT </w:instrText>
    </w:r>
    <w:r w:rsidRPr="009C025D">
      <w:rPr>
        <w:b/>
        <w:sz w:val="18"/>
      </w:rPr>
      <w:fldChar w:fldCharType="separate"/>
    </w:r>
    <w:r w:rsidRPr="009C025D">
      <w:rPr>
        <w:b/>
        <w:noProof/>
        <w:sz w:val="18"/>
      </w:rPr>
      <w:t>3</w:t>
    </w:r>
    <w:r w:rsidRPr="009C025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1F2B" w14:textId="0335B9C7" w:rsidR="00042B72" w:rsidRPr="009C025D" w:rsidRDefault="009C025D" w:rsidP="009C025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118DE58" wp14:editId="1A37DF0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22-27678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547C725" wp14:editId="4B20A29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081222  081222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A9AE" w14:textId="77777777" w:rsidR="00302833" w:rsidRPr="001075E9" w:rsidRDefault="0030283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37EF2FA" w14:textId="77777777" w:rsidR="00302833" w:rsidRDefault="0030283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835A" w14:textId="420E446A" w:rsidR="009C025D" w:rsidRPr="009C025D" w:rsidRDefault="009C025D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EF1761">
      <w:t>ECE</w:t>
    </w:r>
    <w:proofErr w:type="spellEnd"/>
    <w:r w:rsidR="00EF1761">
      <w:t>/TRANS/327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4DFD" w14:textId="5A723126" w:rsidR="009C025D" w:rsidRPr="009C025D" w:rsidRDefault="009C025D" w:rsidP="009C025D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EF1761">
      <w:t>ECE</w:t>
    </w:r>
    <w:proofErr w:type="spellEnd"/>
    <w:r w:rsidR="00EF1761">
      <w:t>/TRANS/327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33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2833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C42F3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025D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793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1761"/>
    <w:rsid w:val="00EF3220"/>
    <w:rsid w:val="00F2523A"/>
    <w:rsid w:val="00F40A1C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78D7C"/>
  <w15:docId w15:val="{6A4B232C-BE18-494F-A744-696FC9A5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BC977-6731-4F30-9121-53A098FC44E4}"/>
</file>

<file path=customXml/itemProps2.xml><?xml version="1.0" encoding="utf-8"?>
<ds:datastoreItem xmlns:ds="http://schemas.openxmlformats.org/officeDocument/2006/customXml" ds:itemID="{81AD7DBC-3845-4587-8315-B3E4285D211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665</Words>
  <Characters>4678</Characters>
  <Application>Microsoft Office Word</Application>
  <DocSecurity>0</DocSecurity>
  <Lines>425</Lines>
  <Paragraphs>178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ECE/TRANS/327</dc:title>
  <dc:subject/>
  <dc:creator>Anna PETELINA</dc:creator>
  <cp:keywords/>
  <cp:lastModifiedBy>Anna Petelina</cp:lastModifiedBy>
  <cp:revision>3</cp:revision>
  <cp:lastPrinted>2022-12-08T12:29:00Z</cp:lastPrinted>
  <dcterms:created xsi:type="dcterms:W3CDTF">2022-12-08T12:29:00Z</dcterms:created>
  <dcterms:modified xsi:type="dcterms:W3CDTF">2022-12-08T12:29:00Z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