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7280E4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FF0E1EF" w14:textId="77777777" w:rsidR="00F35BAF" w:rsidRPr="00DB58B5" w:rsidRDefault="00F35BAF" w:rsidP="0043289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7183DE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80C9E76" w14:textId="12223BE5" w:rsidR="00F35BAF" w:rsidRPr="00DB58B5" w:rsidRDefault="0043289D" w:rsidP="0043289D">
            <w:pPr>
              <w:jc w:val="right"/>
            </w:pPr>
            <w:r w:rsidRPr="0043289D">
              <w:rPr>
                <w:sz w:val="40"/>
              </w:rPr>
              <w:t>ECE</w:t>
            </w:r>
            <w:r>
              <w:t>/TRANS/327</w:t>
            </w:r>
          </w:p>
        </w:tc>
      </w:tr>
      <w:tr w:rsidR="00F35BAF" w:rsidRPr="00DB58B5" w14:paraId="589B31D0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66B790FA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8438524" wp14:editId="31579F3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B41BDF5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05E56C" w14:textId="77777777" w:rsidR="00F35BAF" w:rsidRDefault="0043289D" w:rsidP="00C97039">
            <w:pPr>
              <w:spacing w:before="240"/>
            </w:pPr>
            <w:r>
              <w:t>Distr. générale</w:t>
            </w:r>
          </w:p>
          <w:p w14:paraId="52859FE3" w14:textId="77777777" w:rsidR="0043289D" w:rsidRDefault="0043289D" w:rsidP="0043289D">
            <w:pPr>
              <w:spacing w:line="240" w:lineRule="exact"/>
            </w:pPr>
            <w:r>
              <w:t>6 décembre 2022</w:t>
            </w:r>
          </w:p>
          <w:p w14:paraId="3BD2CB75" w14:textId="77777777" w:rsidR="0043289D" w:rsidRDefault="0043289D" w:rsidP="0043289D">
            <w:pPr>
              <w:spacing w:line="240" w:lineRule="exact"/>
            </w:pPr>
            <w:r>
              <w:t>Français</w:t>
            </w:r>
          </w:p>
          <w:p w14:paraId="14213281" w14:textId="05D0ACFC" w:rsidR="0043289D" w:rsidRPr="00DB58B5" w:rsidRDefault="0043289D" w:rsidP="0043289D">
            <w:pPr>
              <w:spacing w:line="240" w:lineRule="exact"/>
            </w:pPr>
            <w:r>
              <w:t>Original : anglais</w:t>
            </w:r>
          </w:p>
        </w:tc>
      </w:tr>
    </w:tbl>
    <w:p w14:paraId="54D2E62F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39D568F3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F16D55D" w14:textId="77777777" w:rsidR="0043289D" w:rsidRPr="009F1099" w:rsidRDefault="0043289D" w:rsidP="0043289D">
      <w:pPr>
        <w:spacing w:before="120"/>
        <w:rPr>
          <w:b/>
          <w:bCs/>
          <w:lang w:val="fr-FR"/>
        </w:rPr>
      </w:pPr>
      <w:r w:rsidRPr="009F1099">
        <w:rPr>
          <w:b/>
          <w:bCs/>
          <w:lang w:val="fr-FR"/>
        </w:rPr>
        <w:t>Quatre-vingt-cinquième session</w:t>
      </w:r>
    </w:p>
    <w:p w14:paraId="4A0420E2" w14:textId="77777777" w:rsidR="0043289D" w:rsidRDefault="0043289D" w:rsidP="0043289D">
      <w:pPr>
        <w:rPr>
          <w:lang w:val="fr-FR"/>
        </w:rPr>
      </w:pPr>
      <w:r w:rsidRPr="009F1099">
        <w:rPr>
          <w:lang w:val="fr-FR"/>
        </w:rPr>
        <w:t>Genève, 21-24 février 2023</w:t>
      </w:r>
    </w:p>
    <w:p w14:paraId="1B6E5E9D" w14:textId="77777777" w:rsidR="0043289D" w:rsidRDefault="0043289D" w:rsidP="0043289D">
      <w:pPr>
        <w:rPr>
          <w:lang w:val="fr-FR"/>
        </w:rPr>
      </w:pPr>
      <w:r w:rsidRPr="009F1099">
        <w:rPr>
          <w:lang w:val="fr-FR"/>
        </w:rPr>
        <w:t>Point 1 de l</w:t>
      </w:r>
      <w:r>
        <w:rPr>
          <w:lang w:val="fr-FR"/>
        </w:rPr>
        <w:t>’</w:t>
      </w:r>
      <w:r w:rsidRPr="009F1099">
        <w:rPr>
          <w:lang w:val="fr-FR"/>
        </w:rPr>
        <w:t>ordre du jour provisoire</w:t>
      </w:r>
    </w:p>
    <w:p w14:paraId="74305EB6" w14:textId="77777777" w:rsidR="0043289D" w:rsidRPr="0043289D" w:rsidRDefault="0043289D" w:rsidP="0043289D">
      <w:pPr>
        <w:rPr>
          <w:b/>
          <w:bCs/>
          <w:lang w:val="fr-FR"/>
        </w:rPr>
      </w:pPr>
      <w:r w:rsidRPr="0043289D">
        <w:rPr>
          <w:b/>
          <w:bCs/>
          <w:lang w:val="fr-FR"/>
        </w:rPr>
        <w:t>Adoption de l’ordre du jour</w:t>
      </w:r>
    </w:p>
    <w:p w14:paraId="7EAE565D" w14:textId="77777777" w:rsidR="0043289D" w:rsidRPr="009F1099" w:rsidRDefault="0043289D" w:rsidP="0043289D">
      <w:pPr>
        <w:pStyle w:val="HChG"/>
        <w:rPr>
          <w:lang w:val="fr-FR"/>
        </w:rPr>
      </w:pPr>
      <w:r w:rsidRPr="009F1099">
        <w:rPr>
          <w:lang w:val="fr-FR"/>
        </w:rPr>
        <w:tab/>
      </w:r>
      <w:r w:rsidRPr="009F1099">
        <w:rPr>
          <w:lang w:val="fr-FR"/>
        </w:rPr>
        <w:tab/>
        <w:t>Ordre du jour provisoire de la quatre-vingt-cinquième session</w:t>
      </w:r>
    </w:p>
    <w:p w14:paraId="01341D82" w14:textId="3E85D134" w:rsidR="0043289D" w:rsidRPr="009F1099" w:rsidRDefault="0043289D" w:rsidP="0043289D">
      <w:pPr>
        <w:pStyle w:val="H56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9F1099">
        <w:rPr>
          <w:lang w:val="fr-FR"/>
        </w:rPr>
        <w:t>Qui s</w:t>
      </w:r>
      <w:r>
        <w:rPr>
          <w:lang w:val="fr-FR"/>
        </w:rPr>
        <w:t>’</w:t>
      </w:r>
      <w:r w:rsidRPr="009F1099">
        <w:rPr>
          <w:lang w:val="fr-FR"/>
        </w:rPr>
        <w:t>ouvrira au Palais des Nations, à Genève, le mardi 21 février 2023, à 10 heures</w:t>
      </w:r>
    </w:p>
    <w:p w14:paraId="475CB11C" w14:textId="77777777" w:rsidR="0043289D" w:rsidRPr="009F1099" w:rsidRDefault="0043289D" w:rsidP="0043289D">
      <w:pPr>
        <w:pStyle w:val="SingleTxtG"/>
        <w:rPr>
          <w:lang w:val="fr-FR"/>
        </w:rPr>
      </w:pPr>
      <w:r w:rsidRPr="009F1099">
        <w:rPr>
          <w:lang w:val="fr-FR"/>
        </w:rPr>
        <w:t>1.</w:t>
      </w:r>
      <w:r w:rsidRPr="009F1099">
        <w:rPr>
          <w:lang w:val="fr-FR"/>
        </w:rPr>
        <w:tab/>
        <w:t>Adoption de l</w:t>
      </w:r>
      <w:r>
        <w:rPr>
          <w:lang w:val="fr-FR"/>
        </w:rPr>
        <w:t>’</w:t>
      </w:r>
      <w:r w:rsidRPr="009F1099">
        <w:rPr>
          <w:lang w:val="fr-FR"/>
        </w:rPr>
        <w:t>ordre du jour.</w:t>
      </w:r>
    </w:p>
    <w:p w14:paraId="4A035172" w14:textId="359A56D6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I.</w:t>
      </w:r>
      <w:r w:rsidRPr="009F1099">
        <w:rPr>
          <w:lang w:val="fr-FR"/>
        </w:rPr>
        <w:tab/>
        <w:t>Débat de haut niveau</w:t>
      </w:r>
    </w:p>
    <w:p w14:paraId="7C585249" w14:textId="77777777" w:rsidR="0043289D" w:rsidRPr="009F1099" w:rsidRDefault="0043289D" w:rsidP="0043289D">
      <w:pPr>
        <w:pStyle w:val="SingleTxtG"/>
        <w:ind w:left="1701" w:hanging="567"/>
        <w:rPr>
          <w:lang w:val="fr-FR"/>
        </w:rPr>
      </w:pPr>
      <w:r w:rsidRPr="009F1099">
        <w:rPr>
          <w:lang w:val="fr-FR"/>
        </w:rPr>
        <w:t>2.</w:t>
      </w:r>
      <w:r w:rsidRPr="009F1099">
        <w:rPr>
          <w:lang w:val="fr-FR"/>
        </w:rPr>
        <w:tab/>
        <w:t>Actions menées par le secteur des transports intérieurs pour contribuer à la lutte mondiale contre les changements climatiques.</w:t>
      </w:r>
    </w:p>
    <w:p w14:paraId="6359AC7C" w14:textId="28C761DC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II.</w:t>
      </w:r>
      <w:r w:rsidRPr="009F1099">
        <w:rPr>
          <w:lang w:val="fr-FR"/>
        </w:rPr>
        <w:tab/>
        <w:t xml:space="preserve">Treizième réunion réservée aux représentants des États, </w:t>
      </w:r>
      <w:r>
        <w:rPr>
          <w:lang w:val="fr-FR"/>
        </w:rPr>
        <w:br/>
      </w:r>
      <w:r w:rsidRPr="009F1099">
        <w:rPr>
          <w:lang w:val="fr-FR"/>
        </w:rPr>
        <w:t>avec la participation des présidents des organes subsidiaires du Comité des transports intérieurs</w:t>
      </w:r>
    </w:p>
    <w:p w14:paraId="023AF588" w14:textId="77777777" w:rsidR="0043289D" w:rsidRPr="009F1099" w:rsidRDefault="0043289D" w:rsidP="0043289D">
      <w:pPr>
        <w:pStyle w:val="SingleTxtG"/>
        <w:ind w:left="1701" w:hanging="567"/>
        <w:rPr>
          <w:lang w:val="fr-FR"/>
        </w:rPr>
      </w:pPr>
      <w:r w:rsidRPr="009F1099">
        <w:rPr>
          <w:lang w:val="fr-FR"/>
        </w:rPr>
        <w:t>3.</w:t>
      </w:r>
      <w:r w:rsidRPr="009F1099">
        <w:rPr>
          <w:lang w:val="fr-FR"/>
        </w:rPr>
        <w:tab/>
        <w:t>Réunion sur l</w:t>
      </w:r>
      <w:r>
        <w:rPr>
          <w:lang w:val="fr-FR"/>
        </w:rPr>
        <w:t>’</w:t>
      </w:r>
      <w:r w:rsidRPr="009F1099">
        <w:rPr>
          <w:lang w:val="fr-FR"/>
        </w:rPr>
        <w:t>exécution du mandat révisé du Comité des transports intérieurs et de sa Stratégie à l</w:t>
      </w:r>
      <w:r>
        <w:rPr>
          <w:lang w:val="fr-FR"/>
        </w:rPr>
        <w:t>’</w:t>
      </w:r>
      <w:r w:rsidRPr="009F1099">
        <w:rPr>
          <w:lang w:val="fr-FR"/>
        </w:rPr>
        <w:t>horizon 2030, réservée aux représentants des États, avec la participation des présidents des organes subsidiaires du Comité.</w:t>
      </w:r>
    </w:p>
    <w:p w14:paraId="2AEA05C6" w14:textId="7755A941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III.</w:t>
      </w:r>
      <w:r w:rsidRPr="009F1099">
        <w:rPr>
          <w:lang w:val="fr-FR"/>
        </w:rPr>
        <w:tab/>
        <w:t>Questions relatives à la gouvernance et aux programmes appelant des décisions du Comité des transports intérieurs</w:t>
      </w:r>
    </w:p>
    <w:p w14:paraId="6EEC4C94" w14:textId="7777777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4.</w:t>
      </w:r>
      <w:r w:rsidRPr="009F1099">
        <w:rPr>
          <w:lang w:val="fr-FR"/>
        </w:rPr>
        <w:tab/>
        <w:t>Questions relatives à la gouvernance et autres questions découlant des activités de la Commission économique pour l</w:t>
      </w:r>
      <w:r>
        <w:rPr>
          <w:lang w:val="fr-FR"/>
        </w:rPr>
        <w:t>’</w:t>
      </w:r>
      <w:r w:rsidRPr="009F1099">
        <w:rPr>
          <w:lang w:val="fr-FR"/>
        </w:rPr>
        <w:t>Europe, du Conseil économique et social et d</w:t>
      </w:r>
      <w:r>
        <w:rPr>
          <w:lang w:val="fr-FR"/>
        </w:rPr>
        <w:t>’</w:t>
      </w:r>
      <w:r w:rsidRPr="009F1099">
        <w:rPr>
          <w:lang w:val="fr-FR"/>
        </w:rPr>
        <w:t>autres organes et conférences des Nations Unies.</w:t>
      </w:r>
    </w:p>
    <w:p w14:paraId="7A42BDD4" w14:textId="573BF7DA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5.</w:t>
      </w:r>
      <w:r w:rsidRPr="009F1099">
        <w:rPr>
          <w:lang w:val="fr-FR"/>
        </w:rPr>
        <w:tab/>
        <w:t>Questions relatives à la gouvernance et décisions essentielles pour la poursuite des travaux du Comité des transports intérieurs et de ses organes subsidiaires</w:t>
      </w:r>
      <w:r>
        <w:rPr>
          <w:lang w:val="fr-FR"/>
        </w:rPr>
        <w:t> </w:t>
      </w:r>
      <w:r w:rsidRPr="009F1099">
        <w:rPr>
          <w:lang w:val="fr-FR"/>
        </w:rPr>
        <w:t>:</w:t>
      </w:r>
      <w:bookmarkStart w:id="0" w:name="_Hlk89790130"/>
      <w:bookmarkEnd w:id="0"/>
    </w:p>
    <w:p w14:paraId="6D7955CA" w14:textId="47979885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a)</w:t>
      </w:r>
      <w:r w:rsidRPr="009F1099">
        <w:rPr>
          <w:lang w:val="fr-FR"/>
        </w:rPr>
        <w:tab/>
        <w:t>Décisions relatives aux organes subsidiaires et à la structure du Comité des transports intérieurs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62DD1640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b)</w:t>
      </w:r>
      <w:r w:rsidRPr="009F1099">
        <w:rPr>
          <w:lang w:val="fr-FR"/>
        </w:rPr>
        <w:tab/>
        <w:t>Résultats des réunions du Bureau du Comité des transports intérieurs.</w:t>
      </w:r>
    </w:p>
    <w:p w14:paraId="56AB766E" w14:textId="5E739E7C" w:rsidR="0043289D" w:rsidRPr="009F1099" w:rsidRDefault="0043289D" w:rsidP="0043289D">
      <w:pPr>
        <w:keepNext/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lastRenderedPageBreak/>
        <w:t>6.</w:t>
      </w:r>
      <w:r w:rsidRPr="009F1099">
        <w:rPr>
          <w:lang w:val="fr-FR"/>
        </w:rPr>
        <w:tab/>
        <w:t>Questions relatives aux programmes</w:t>
      </w:r>
      <w:r>
        <w:rPr>
          <w:lang w:val="fr-FR"/>
        </w:rPr>
        <w:t> </w:t>
      </w:r>
      <w:r w:rsidRPr="009F1099">
        <w:rPr>
          <w:lang w:val="fr-FR"/>
        </w:rPr>
        <w:t>:</w:t>
      </w:r>
    </w:p>
    <w:p w14:paraId="0AEB4A5B" w14:textId="07EA682A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a)</w:t>
      </w:r>
      <w:r w:rsidRPr="009F1099">
        <w:rPr>
          <w:lang w:val="fr-FR"/>
        </w:rPr>
        <w:tab/>
        <w:t>Programme de travail pour 2023 et recommandations concernant les éléments essentiels du programme de travail pour 2025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F904A37" w14:textId="20EA4838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b)</w:t>
      </w:r>
      <w:r w:rsidRPr="009F1099">
        <w:rPr>
          <w:lang w:val="fr-FR"/>
        </w:rPr>
        <w:tab/>
        <w:t>Plan-programme pour 2024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5D7C12EB" w14:textId="1F5F1328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c)</w:t>
      </w:r>
      <w:r w:rsidRPr="009F1099">
        <w:rPr>
          <w:lang w:val="fr-FR"/>
        </w:rPr>
        <w:tab/>
        <w:t>Liste des publications prévues en 2024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BEEB3C9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d)</w:t>
      </w:r>
      <w:r w:rsidRPr="009F1099">
        <w:rPr>
          <w:lang w:val="fr-FR"/>
        </w:rPr>
        <w:tab/>
        <w:t>Calendrier des réunions prévues en 2023.</w:t>
      </w:r>
    </w:p>
    <w:p w14:paraId="0F740DE0" w14:textId="1D6E97E3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IV.</w:t>
      </w:r>
      <w:r w:rsidRPr="009F1099">
        <w:rPr>
          <w:lang w:val="fr-FR"/>
        </w:rPr>
        <w:tab/>
        <w:t xml:space="preserve">Politique stratégique des transports et questions réglementaires </w:t>
      </w:r>
    </w:p>
    <w:p w14:paraId="7244F48F" w14:textId="54FEF515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7.</w:t>
      </w:r>
      <w:r w:rsidRPr="009F1099">
        <w:rPr>
          <w:lang w:val="fr-FR"/>
        </w:rPr>
        <w:tab/>
        <w:t>Questions stratégiques de nature horizontale et transversale ou d</w:t>
      </w:r>
      <w:r>
        <w:rPr>
          <w:lang w:val="fr-FR"/>
        </w:rPr>
        <w:t>’</w:t>
      </w:r>
      <w:r w:rsidRPr="009F1099">
        <w:rPr>
          <w:lang w:val="fr-FR"/>
        </w:rPr>
        <w:t>ordre réglementaire</w:t>
      </w:r>
      <w:r>
        <w:rPr>
          <w:lang w:val="fr-FR"/>
        </w:rPr>
        <w:t> </w:t>
      </w:r>
      <w:r w:rsidRPr="009F1099">
        <w:rPr>
          <w:lang w:val="fr-FR"/>
        </w:rPr>
        <w:t>:</w:t>
      </w:r>
    </w:p>
    <w:p w14:paraId="5A66F5E7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a)</w:t>
      </w:r>
      <w:r w:rsidRPr="009F1099">
        <w:rPr>
          <w:lang w:val="fr-FR"/>
        </w:rPr>
        <w:tab/>
        <w:t>État de l</w:t>
      </w:r>
      <w:r>
        <w:rPr>
          <w:lang w:val="fr-FR"/>
        </w:rPr>
        <w:t>’</w:t>
      </w:r>
      <w:r w:rsidRPr="009F1099">
        <w:rPr>
          <w:lang w:val="fr-FR"/>
        </w:rPr>
        <w:t>adhésion aux conventions et accords internationaux des Nations Unies relatifs aux transports intérieurs ;</w:t>
      </w:r>
    </w:p>
    <w:p w14:paraId="3AF484BF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b)</w:t>
      </w:r>
      <w:r w:rsidRPr="009F1099">
        <w:rPr>
          <w:lang w:val="fr-FR"/>
        </w:rPr>
        <w:tab/>
        <w:t>Application des conventions et accords internationaux des Nations Unies relatifs aux transports intérieurs (déclarations des représentants) ;</w:t>
      </w:r>
    </w:p>
    <w:p w14:paraId="51956775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c)</w:t>
      </w:r>
      <w:r w:rsidRPr="009F1099">
        <w:rPr>
          <w:lang w:val="fr-FR"/>
        </w:rPr>
        <w:tab/>
        <w:t>Défis et nouvelles tendances dans le domaine des transports intérieurs :</w:t>
      </w:r>
    </w:p>
    <w:p w14:paraId="6BAEC5B3" w14:textId="540D1599" w:rsidR="0043289D" w:rsidRPr="009F1099" w:rsidRDefault="0043289D" w:rsidP="0043289D">
      <w:pPr>
        <w:spacing w:after="120"/>
        <w:ind w:left="2268" w:right="1134"/>
        <w:jc w:val="both"/>
        <w:rPr>
          <w:lang w:val="fr-FR"/>
        </w:rPr>
      </w:pPr>
      <w:r w:rsidRPr="009F1099">
        <w:rPr>
          <w:lang w:val="fr-FR"/>
        </w:rPr>
        <w:t>i)</w:t>
      </w:r>
      <w:r w:rsidRPr="009F1099">
        <w:rPr>
          <w:lang w:val="fr-FR"/>
        </w:rPr>
        <w:tab/>
        <w:t>Dans différentes régions (déclarations des représentants)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2AE347D5" w14:textId="187B2843" w:rsidR="0043289D" w:rsidRPr="009F1099" w:rsidRDefault="0043289D" w:rsidP="0043289D">
      <w:pPr>
        <w:spacing w:after="120"/>
        <w:ind w:left="2835" w:right="1134" w:hanging="567"/>
        <w:jc w:val="both"/>
        <w:rPr>
          <w:lang w:val="fr-FR"/>
        </w:rPr>
      </w:pPr>
      <w:r w:rsidRPr="009F1099">
        <w:rPr>
          <w:lang w:val="fr-FR"/>
        </w:rPr>
        <w:t>ii)</w:t>
      </w:r>
      <w:r w:rsidRPr="009F1099">
        <w:rPr>
          <w:lang w:val="fr-FR"/>
        </w:rPr>
        <w:tab/>
        <w:t>Dans la situation particulière de la guerre contre l</w:t>
      </w:r>
      <w:r>
        <w:rPr>
          <w:lang w:val="fr-FR"/>
        </w:rPr>
        <w:t>’</w:t>
      </w:r>
      <w:r w:rsidRPr="009F1099">
        <w:rPr>
          <w:lang w:val="fr-FR"/>
        </w:rPr>
        <w:t>Ukraine</w:t>
      </w:r>
      <w:r>
        <w:rPr>
          <w:lang w:val="fr-FR"/>
        </w:rPr>
        <w:t> </w:t>
      </w:r>
      <w:r w:rsidRPr="009F1099">
        <w:rPr>
          <w:lang w:val="fr-FR"/>
        </w:rPr>
        <w:t>: incidences sur la connectivité des transports ;</w:t>
      </w:r>
    </w:p>
    <w:p w14:paraId="6C478E1E" w14:textId="524F36B9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d)</w:t>
      </w:r>
      <w:r w:rsidRPr="009F1099">
        <w:rPr>
          <w:lang w:val="fr-FR"/>
        </w:rPr>
        <w:tab/>
        <w:t>Technologies de l</w:t>
      </w:r>
      <w:r>
        <w:rPr>
          <w:lang w:val="fr-FR"/>
        </w:rPr>
        <w:t>’</w:t>
      </w:r>
      <w:r w:rsidRPr="009F1099">
        <w:rPr>
          <w:lang w:val="fr-FR"/>
        </w:rPr>
        <w:t>information, informatisation et systèmes de transport intelligents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102409A4" w14:textId="64AD3F85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e)</w:t>
      </w:r>
      <w:r w:rsidRPr="009F1099">
        <w:rPr>
          <w:lang w:val="fr-FR"/>
        </w:rPr>
        <w:tab/>
        <w:t>Environnement, changements climatiques et transports</w:t>
      </w:r>
      <w:r>
        <w:rPr>
          <w:lang w:val="fr-FR"/>
        </w:rPr>
        <w:t> </w:t>
      </w:r>
      <w:r w:rsidRPr="009F1099">
        <w:rPr>
          <w:lang w:val="fr-FR"/>
        </w:rPr>
        <w:t>:</w:t>
      </w:r>
    </w:p>
    <w:p w14:paraId="51928C0E" w14:textId="4AAA72E1" w:rsidR="0043289D" w:rsidRPr="009F1099" w:rsidRDefault="0043289D" w:rsidP="0043289D">
      <w:pPr>
        <w:spacing w:after="120"/>
        <w:ind w:left="2835" w:right="1134" w:hanging="567"/>
        <w:jc w:val="both"/>
        <w:rPr>
          <w:lang w:val="fr-FR"/>
        </w:rPr>
      </w:pPr>
      <w:r w:rsidRPr="009F1099">
        <w:rPr>
          <w:lang w:val="fr-FR"/>
        </w:rPr>
        <w:t>i)</w:t>
      </w:r>
      <w:r w:rsidRPr="009F1099">
        <w:rPr>
          <w:lang w:val="fr-FR"/>
        </w:rPr>
        <w:tab/>
        <w:t>Suite donnée par le Comité des transports intérieurs au Programme de développement durable à l</w:t>
      </w:r>
      <w:r>
        <w:rPr>
          <w:lang w:val="fr-FR"/>
        </w:rPr>
        <w:t>’</w:t>
      </w:r>
      <w:r w:rsidRPr="009F1099">
        <w:rPr>
          <w:lang w:val="fr-FR"/>
        </w:rPr>
        <w:t>horizon 2030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E13C6C1" w14:textId="77777777" w:rsidR="0043289D" w:rsidRPr="009F1099" w:rsidRDefault="0043289D" w:rsidP="0043289D">
      <w:pPr>
        <w:spacing w:after="120"/>
        <w:ind w:left="2835" w:right="1134" w:hanging="567"/>
        <w:jc w:val="both"/>
        <w:rPr>
          <w:lang w:val="fr-FR"/>
        </w:rPr>
      </w:pPr>
      <w:r w:rsidRPr="009F1099">
        <w:rPr>
          <w:lang w:val="fr-FR"/>
        </w:rPr>
        <w:t>ii)</w:t>
      </w:r>
      <w:r w:rsidRPr="009F1099">
        <w:rPr>
          <w:lang w:val="fr-FR"/>
        </w:rPr>
        <w:tab/>
        <w:t>Action du Comité des transports intérieurs dans le domaine de l</w:t>
      </w:r>
      <w:r>
        <w:rPr>
          <w:lang w:val="fr-FR"/>
        </w:rPr>
        <w:t>’</w:t>
      </w:r>
      <w:r w:rsidRPr="009F1099">
        <w:rPr>
          <w:lang w:val="fr-FR"/>
        </w:rPr>
        <w:t>adaptation aux changements climatiques et de l</w:t>
      </w:r>
      <w:r>
        <w:rPr>
          <w:lang w:val="fr-FR"/>
        </w:rPr>
        <w:t>’</w:t>
      </w:r>
      <w:r w:rsidRPr="009F1099">
        <w:rPr>
          <w:lang w:val="fr-FR"/>
        </w:rPr>
        <w:t>atténuation de leurs effets ;</w:t>
      </w:r>
    </w:p>
    <w:p w14:paraId="57BCD9DD" w14:textId="6B3A6FC9" w:rsidR="0043289D" w:rsidRPr="009F1099" w:rsidRDefault="0043289D" w:rsidP="0043289D">
      <w:pPr>
        <w:spacing w:after="120"/>
        <w:ind w:left="2835" w:right="1134" w:hanging="567"/>
        <w:jc w:val="both"/>
        <w:rPr>
          <w:lang w:val="fr-FR"/>
        </w:rPr>
      </w:pPr>
      <w:r w:rsidRPr="009F1099">
        <w:rPr>
          <w:lang w:val="fr-FR"/>
        </w:rPr>
        <w:t>iii)</w:t>
      </w:r>
      <w:r w:rsidRPr="009F1099">
        <w:rPr>
          <w:lang w:val="fr-FR"/>
        </w:rPr>
        <w:tab/>
        <w:t>Transports durables et environnement</w:t>
      </w:r>
      <w:r>
        <w:rPr>
          <w:lang w:val="fr-FR"/>
        </w:rPr>
        <w:t> ;</w:t>
      </w:r>
    </w:p>
    <w:p w14:paraId="02FEE7F4" w14:textId="3BDF602A" w:rsidR="0043289D" w:rsidRPr="009F1099" w:rsidRDefault="0043289D" w:rsidP="0043289D">
      <w:pPr>
        <w:spacing w:after="120"/>
        <w:ind w:left="2835" w:right="1134" w:hanging="567"/>
        <w:jc w:val="both"/>
        <w:rPr>
          <w:lang w:val="fr-FR"/>
        </w:rPr>
      </w:pPr>
      <w:r w:rsidRPr="009F1099">
        <w:rPr>
          <w:lang w:val="fr-FR"/>
        </w:rPr>
        <w:t>iv)</w:t>
      </w:r>
      <w:r w:rsidRPr="009F1099">
        <w:rPr>
          <w:lang w:val="fr-FR"/>
        </w:rPr>
        <w:tab/>
        <w:t xml:space="preserve">Programme </w:t>
      </w:r>
      <w:proofErr w:type="spellStart"/>
      <w:r w:rsidRPr="009F1099">
        <w:rPr>
          <w:lang w:val="fr-FR"/>
        </w:rPr>
        <w:t>paneuropéen</w:t>
      </w:r>
      <w:proofErr w:type="spellEnd"/>
      <w:r w:rsidRPr="009F1099">
        <w:rPr>
          <w:lang w:val="fr-FR"/>
        </w:rPr>
        <w:t xml:space="preserve"> sur les transports, la santé et l</w:t>
      </w:r>
      <w:r>
        <w:rPr>
          <w:lang w:val="fr-FR"/>
        </w:rPr>
        <w:t>’</w:t>
      </w:r>
      <w:r w:rsidRPr="009F1099">
        <w:rPr>
          <w:lang w:val="fr-FR"/>
        </w:rPr>
        <w:t>environnement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08152800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f)</w:t>
      </w:r>
      <w:r w:rsidRPr="009F1099">
        <w:rPr>
          <w:lang w:val="fr-FR"/>
        </w:rPr>
        <w:tab/>
        <w:t>Sûreté des transports intérieurs ;</w:t>
      </w:r>
    </w:p>
    <w:p w14:paraId="2EAC4FDC" w14:textId="54DC60B8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g)</w:t>
      </w:r>
      <w:r w:rsidRPr="009F1099">
        <w:rPr>
          <w:lang w:val="fr-FR"/>
        </w:rPr>
        <w:tab/>
        <w:t>Travaux analytiques dans le domaine des transports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23807CD0" w14:textId="0754207B" w:rsidR="0043289D" w:rsidRPr="009F1099" w:rsidRDefault="0043289D" w:rsidP="0043289D">
      <w:pPr>
        <w:spacing w:after="120"/>
        <w:ind w:left="2268" w:right="1134" w:hanging="567"/>
        <w:rPr>
          <w:lang w:val="fr-FR"/>
        </w:rPr>
      </w:pPr>
      <w:bookmarkStart w:id="1" w:name="_Hlk83202293"/>
      <w:r w:rsidRPr="009F1099">
        <w:rPr>
          <w:lang w:val="fr-FR"/>
        </w:rPr>
        <w:t>h)</w:t>
      </w:r>
      <w:r w:rsidRPr="009F1099">
        <w:rPr>
          <w:lang w:val="fr-FR"/>
        </w:rPr>
        <w:tab/>
        <w:t>Activités de renforcement des capacités des pays de programme des Nations</w:t>
      </w:r>
      <w:r>
        <w:rPr>
          <w:lang w:val="fr-FR"/>
        </w:rPr>
        <w:t> </w:t>
      </w:r>
      <w:r w:rsidRPr="009F1099">
        <w:rPr>
          <w:lang w:val="fr-FR"/>
        </w:rPr>
        <w:t>Unies faisant partie de la région de la Commission économique pour l</w:t>
      </w:r>
      <w:r>
        <w:rPr>
          <w:lang w:val="fr-FR"/>
        </w:rPr>
        <w:t>’</w:t>
      </w:r>
      <w:r w:rsidRPr="009F1099">
        <w:rPr>
          <w:lang w:val="fr-FR"/>
        </w:rPr>
        <w:t>Europe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1340F040" w14:textId="7C8EE50D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i)</w:t>
      </w:r>
      <w:r w:rsidRPr="009F1099">
        <w:rPr>
          <w:lang w:val="fr-FR"/>
        </w:rPr>
        <w:tab/>
        <w:t>Appui aux pays sans littoral</w:t>
      </w:r>
      <w:r>
        <w:rPr>
          <w:lang w:val="fr-FR"/>
        </w:rPr>
        <w:t> </w:t>
      </w:r>
      <w:r w:rsidRPr="009F1099">
        <w:rPr>
          <w:lang w:val="fr-FR"/>
        </w:rPr>
        <w:t>: Programme d</w:t>
      </w:r>
      <w:r>
        <w:rPr>
          <w:lang w:val="fr-FR"/>
        </w:rPr>
        <w:t>’</w:t>
      </w:r>
      <w:r w:rsidRPr="009F1099">
        <w:rPr>
          <w:lang w:val="fr-FR"/>
        </w:rPr>
        <w:t>action de Vienne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bookmarkEnd w:id="1"/>
    <w:p w14:paraId="3D4D7751" w14:textId="4E6B25CE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j)</w:t>
      </w:r>
      <w:r w:rsidRPr="009F1099">
        <w:rPr>
          <w:lang w:val="fr-FR"/>
        </w:rPr>
        <w:tab/>
        <w:t>Sécurité routière</w:t>
      </w:r>
      <w:r>
        <w:rPr>
          <w:lang w:val="fr-FR"/>
        </w:rPr>
        <w:t> </w:t>
      </w:r>
      <w:r w:rsidRPr="009F1099">
        <w:rPr>
          <w:lang w:val="fr-FR"/>
        </w:rPr>
        <w:t xml:space="preserve">; </w:t>
      </w:r>
    </w:p>
    <w:p w14:paraId="5FE73920" w14:textId="4156262A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k)</w:t>
      </w:r>
      <w:r w:rsidRPr="009F1099">
        <w:rPr>
          <w:lang w:val="fr-FR"/>
        </w:rPr>
        <w:tab/>
        <w:t>Harmonisation des Règlements concernant les véhicules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448768ED" w14:textId="06F031E2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l)</w:t>
      </w:r>
      <w:r w:rsidRPr="009F1099">
        <w:rPr>
          <w:lang w:val="fr-FR"/>
        </w:rPr>
        <w:tab/>
        <w:t>Transport des marchandises dangereuses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19D11FF2" w14:textId="47B6529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m)</w:t>
      </w:r>
      <w:r w:rsidRPr="009F1099">
        <w:rPr>
          <w:lang w:val="fr-FR"/>
        </w:rPr>
        <w:tab/>
        <w:t>Fonds des Nations Unies pour la sécurité routière</w:t>
      </w:r>
      <w:r>
        <w:rPr>
          <w:lang w:val="fr-FR"/>
        </w:rPr>
        <w:t> </w:t>
      </w:r>
      <w:r w:rsidRPr="009F1099">
        <w:rPr>
          <w:lang w:val="fr-FR"/>
        </w:rPr>
        <w:t xml:space="preserve">; </w:t>
      </w:r>
    </w:p>
    <w:p w14:paraId="06C34436" w14:textId="388B3A21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n)</w:t>
      </w:r>
      <w:r w:rsidRPr="009F1099">
        <w:rPr>
          <w:lang w:val="fr-FR"/>
        </w:rPr>
        <w:tab/>
        <w:t>Envoyé spécial du Secrétaire général pour la sécurité routière</w:t>
      </w:r>
      <w:r>
        <w:rPr>
          <w:lang w:val="fr-FR"/>
        </w:rPr>
        <w:t> </w:t>
      </w:r>
      <w:r w:rsidRPr="009F1099">
        <w:rPr>
          <w:lang w:val="fr-FR"/>
        </w:rPr>
        <w:t xml:space="preserve">; </w:t>
      </w:r>
    </w:p>
    <w:p w14:paraId="0C1C6F10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o)</w:t>
      </w:r>
      <w:r w:rsidRPr="009F1099">
        <w:rPr>
          <w:lang w:val="fr-FR"/>
        </w:rPr>
        <w:tab/>
        <w:t xml:space="preserve">Renforcement des mesures de facilitation du franchissement des frontières (Convention TIR, projet </w:t>
      </w:r>
      <w:proofErr w:type="spellStart"/>
      <w:r w:rsidRPr="009F1099">
        <w:rPr>
          <w:lang w:val="fr-FR"/>
        </w:rPr>
        <w:t>eTIR</w:t>
      </w:r>
      <w:proofErr w:type="spellEnd"/>
      <w:r w:rsidRPr="009F1099">
        <w:rPr>
          <w:lang w:val="fr-FR"/>
        </w:rPr>
        <w:t>, Convention sur l</w:t>
      </w:r>
      <w:r>
        <w:rPr>
          <w:lang w:val="fr-FR"/>
        </w:rPr>
        <w:t>’</w:t>
      </w:r>
      <w:r w:rsidRPr="009F1099">
        <w:rPr>
          <w:lang w:val="fr-FR"/>
        </w:rPr>
        <w:t>harmonisation et autres mesures de facilitation du franchissement des frontières et du transit douanier) ;</w:t>
      </w:r>
    </w:p>
    <w:p w14:paraId="39DD6911" w14:textId="0AEA940D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lastRenderedPageBreak/>
        <w:t>p)</w:t>
      </w:r>
      <w:r w:rsidRPr="009F1099">
        <w:rPr>
          <w:lang w:val="fr-FR"/>
        </w:rPr>
        <w:tab/>
        <w:t>Transport des denrées périssables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E148A1D" w14:textId="643E767C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q)</w:t>
      </w:r>
      <w:r w:rsidRPr="009F1099">
        <w:rPr>
          <w:lang w:val="fr-FR"/>
        </w:rPr>
        <w:tab/>
        <w:t>Transport routier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5036BAD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r)</w:t>
      </w:r>
      <w:r w:rsidRPr="009F1099">
        <w:rPr>
          <w:lang w:val="fr-FR"/>
        </w:rPr>
        <w:tab/>
        <w:t>Transport ferroviaire ;</w:t>
      </w:r>
    </w:p>
    <w:p w14:paraId="1F46B07B" w14:textId="7F666BFB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s)</w:t>
      </w:r>
      <w:r w:rsidRPr="009F1099">
        <w:rPr>
          <w:lang w:val="fr-FR"/>
        </w:rPr>
        <w:tab/>
        <w:t>Transport intermodal et logistique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75ED100F" w14:textId="33B1A120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t)</w:t>
      </w:r>
      <w:r w:rsidRPr="009F1099">
        <w:rPr>
          <w:lang w:val="fr-FR"/>
        </w:rPr>
        <w:tab/>
        <w:t>Activités se rapportant aux projets</w:t>
      </w:r>
      <w:r>
        <w:rPr>
          <w:lang w:val="fr-FR"/>
        </w:rPr>
        <w:t> </w:t>
      </w:r>
      <w:r w:rsidRPr="009F1099">
        <w:rPr>
          <w:lang w:val="fr-FR"/>
        </w:rPr>
        <w:t>: projet d</w:t>
      </w:r>
      <w:r>
        <w:rPr>
          <w:lang w:val="fr-FR"/>
        </w:rPr>
        <w:t>’</w:t>
      </w:r>
      <w:r w:rsidRPr="009F1099">
        <w:rPr>
          <w:lang w:val="fr-FR"/>
        </w:rPr>
        <w:t>autoroute transeuropéenne Nord</w:t>
      </w:r>
      <w:r>
        <w:rPr>
          <w:lang w:val="fr-FR"/>
        </w:rPr>
        <w:noBreakHyphen/>
      </w:r>
      <w:r w:rsidRPr="009F1099">
        <w:rPr>
          <w:lang w:val="fr-FR"/>
        </w:rPr>
        <w:t>Sud et projet de chemin de fer transeuropéen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228E0431" w14:textId="6679F67F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u)</w:t>
      </w:r>
      <w:r w:rsidRPr="009F1099">
        <w:rPr>
          <w:lang w:val="fr-FR"/>
        </w:rPr>
        <w:tab/>
        <w:t>Transport par voie navigable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3D437F47" w14:textId="40E28E10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v)</w:t>
      </w:r>
      <w:r w:rsidRPr="009F1099">
        <w:rPr>
          <w:lang w:val="fr-FR"/>
        </w:rPr>
        <w:tab/>
        <w:t>Données et statistiques relatives aux transports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61769877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w)</w:t>
      </w:r>
      <w:r w:rsidRPr="009F1099">
        <w:rPr>
          <w:lang w:val="fr-FR"/>
        </w:rPr>
        <w:tab/>
        <w:t>Projet de rapport annuel sur les activités menées en 2022 par les organes subsidiaires du Comité des transports intérieurs.</w:t>
      </w:r>
    </w:p>
    <w:p w14:paraId="1DC3E69F" w14:textId="7777777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8.</w:t>
      </w:r>
      <w:r w:rsidRPr="009F1099">
        <w:rPr>
          <w:lang w:val="fr-FR"/>
        </w:rPr>
        <w:tab/>
        <w:t>Approbation des rapports des organes subsidiaires du Comité des transports intérieurs.</w:t>
      </w:r>
    </w:p>
    <w:p w14:paraId="7F732FFC" w14:textId="23CE25F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9.</w:t>
      </w:r>
      <w:r w:rsidRPr="009F1099">
        <w:rPr>
          <w:lang w:val="fr-FR"/>
        </w:rPr>
        <w:tab/>
        <w:t>Partenariats et activités d</w:t>
      </w:r>
      <w:r>
        <w:rPr>
          <w:lang w:val="fr-FR"/>
        </w:rPr>
        <w:t>’</w:t>
      </w:r>
      <w:r w:rsidRPr="009F1099">
        <w:rPr>
          <w:lang w:val="fr-FR"/>
        </w:rPr>
        <w:t>autres organisations, programmes et projets intéressant le Comité des transports intérieurs</w:t>
      </w:r>
      <w:r>
        <w:rPr>
          <w:lang w:val="fr-FR"/>
        </w:rPr>
        <w:t> </w:t>
      </w:r>
      <w:r w:rsidRPr="009F1099">
        <w:rPr>
          <w:lang w:val="fr-FR"/>
        </w:rPr>
        <w:t>:</w:t>
      </w:r>
    </w:p>
    <w:p w14:paraId="0104C8AB" w14:textId="4979C865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a)</w:t>
      </w:r>
      <w:r w:rsidRPr="009F1099">
        <w:rPr>
          <w:lang w:val="fr-FR"/>
        </w:rPr>
        <w:tab/>
        <w:t>Évolution des transports dans l</w:t>
      </w:r>
      <w:r>
        <w:rPr>
          <w:lang w:val="fr-FR"/>
        </w:rPr>
        <w:t>’</w:t>
      </w:r>
      <w:r w:rsidRPr="009F1099">
        <w:rPr>
          <w:lang w:val="fr-FR"/>
        </w:rPr>
        <w:t>Union européenne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2F92EDD0" w14:textId="6EBD12C5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b)</w:t>
      </w:r>
      <w:r w:rsidRPr="009F1099">
        <w:rPr>
          <w:lang w:val="fr-FR"/>
        </w:rPr>
        <w:tab/>
        <w:t>Faits nouveaux relatifs aux travaux du Forum international des transports</w:t>
      </w:r>
      <w:r>
        <w:rPr>
          <w:lang w:val="fr-FR"/>
        </w:rPr>
        <w:t> </w:t>
      </w:r>
      <w:r w:rsidRPr="009F1099">
        <w:rPr>
          <w:lang w:val="fr-FR"/>
        </w:rPr>
        <w:t>;</w:t>
      </w:r>
    </w:p>
    <w:p w14:paraId="32BA060D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c)</w:t>
      </w:r>
      <w:r w:rsidRPr="009F1099">
        <w:rPr>
          <w:lang w:val="fr-FR"/>
        </w:rPr>
        <w:tab/>
        <w:t>Activités d</w:t>
      </w:r>
      <w:r>
        <w:rPr>
          <w:lang w:val="fr-FR"/>
        </w:rPr>
        <w:t>’</w:t>
      </w:r>
      <w:r w:rsidRPr="009F1099">
        <w:rPr>
          <w:lang w:val="fr-FR"/>
        </w:rPr>
        <w:t>autres organisations, programmes et projets intéressant le Comité ;</w:t>
      </w:r>
    </w:p>
    <w:p w14:paraId="2586FCA0" w14:textId="77777777" w:rsidR="0043289D" w:rsidRPr="009F1099" w:rsidRDefault="0043289D" w:rsidP="0043289D">
      <w:pPr>
        <w:spacing w:after="120"/>
        <w:ind w:left="2268" w:right="1134" w:hanging="567"/>
        <w:jc w:val="both"/>
        <w:rPr>
          <w:lang w:val="fr-FR"/>
        </w:rPr>
      </w:pPr>
      <w:r w:rsidRPr="009F1099">
        <w:rPr>
          <w:lang w:val="fr-FR"/>
        </w:rPr>
        <w:t>d)</w:t>
      </w:r>
      <w:r w:rsidRPr="009F1099">
        <w:rPr>
          <w:lang w:val="fr-FR"/>
        </w:rPr>
        <w:tab/>
        <w:t>Dialogue avec les commissions régionales de l</w:t>
      </w:r>
      <w:r>
        <w:rPr>
          <w:lang w:val="fr-FR"/>
        </w:rPr>
        <w:t>’</w:t>
      </w:r>
      <w:r w:rsidRPr="009F1099">
        <w:rPr>
          <w:lang w:val="fr-FR"/>
        </w:rPr>
        <w:t>ONU sur les activités en cours relatives aux transports intérieurs.</w:t>
      </w:r>
    </w:p>
    <w:p w14:paraId="4696446E" w14:textId="6686147D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V.</w:t>
      </w:r>
      <w:r w:rsidRPr="009F1099">
        <w:rPr>
          <w:lang w:val="fr-FR"/>
        </w:rPr>
        <w:tab/>
        <w:t>Divers</w:t>
      </w:r>
    </w:p>
    <w:p w14:paraId="0DCBF7EF" w14:textId="7777777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10.</w:t>
      </w:r>
      <w:r w:rsidRPr="009F1099">
        <w:rPr>
          <w:lang w:val="fr-FR"/>
        </w:rPr>
        <w:tab/>
        <w:t>Questions diverses. Dates de la session suivante.</w:t>
      </w:r>
    </w:p>
    <w:p w14:paraId="64F33E06" w14:textId="40CCE23E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VI.</w:t>
      </w:r>
      <w:r w:rsidRPr="009F1099">
        <w:rPr>
          <w:lang w:val="fr-FR"/>
        </w:rPr>
        <w:tab/>
        <w:t>Liste des décisions</w:t>
      </w:r>
    </w:p>
    <w:p w14:paraId="629F60D7" w14:textId="7777777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11.</w:t>
      </w:r>
      <w:r w:rsidRPr="009F1099">
        <w:rPr>
          <w:lang w:val="fr-FR"/>
        </w:rPr>
        <w:tab/>
        <w:t>Adoption de la liste des principales décisions prises par le Comité des transports intérieurs à sa quatre-vingt-cinquième session.</w:t>
      </w:r>
    </w:p>
    <w:p w14:paraId="17531131" w14:textId="7AD10300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VII.</w:t>
      </w:r>
      <w:r w:rsidRPr="009F1099">
        <w:rPr>
          <w:lang w:val="fr-FR"/>
        </w:rPr>
        <w:tab/>
        <w:t xml:space="preserve">Table ronde du Comité des transports intérieurs sur </w:t>
      </w:r>
      <w:r>
        <w:rPr>
          <w:lang w:val="fr-FR"/>
        </w:rPr>
        <w:br/>
      </w:r>
      <w:r w:rsidRPr="009F1099">
        <w:rPr>
          <w:lang w:val="fr-FR"/>
        </w:rPr>
        <w:t>les quatre plateformes de sa Stratégie à l</w:t>
      </w:r>
      <w:r>
        <w:rPr>
          <w:lang w:val="fr-FR"/>
        </w:rPr>
        <w:t>’</w:t>
      </w:r>
      <w:r w:rsidRPr="009F1099">
        <w:rPr>
          <w:lang w:val="fr-FR"/>
        </w:rPr>
        <w:t>horizon 2030</w:t>
      </w:r>
    </w:p>
    <w:p w14:paraId="68C74CA8" w14:textId="565F603A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12.</w:t>
      </w:r>
      <w:r w:rsidRPr="009F1099">
        <w:rPr>
          <w:lang w:val="fr-FR"/>
        </w:rPr>
        <w:tab/>
        <w:t>La connectivité des transports intérieurs et le Programme de développement durable à l</w:t>
      </w:r>
      <w:r>
        <w:rPr>
          <w:lang w:val="fr-FR"/>
        </w:rPr>
        <w:t>’</w:t>
      </w:r>
      <w:r w:rsidRPr="009F1099">
        <w:rPr>
          <w:lang w:val="fr-FR"/>
        </w:rPr>
        <w:t>horizon 2030</w:t>
      </w:r>
      <w:r>
        <w:rPr>
          <w:lang w:val="fr-FR"/>
        </w:rPr>
        <w:t> </w:t>
      </w:r>
      <w:r w:rsidRPr="009F1099">
        <w:rPr>
          <w:lang w:val="fr-FR"/>
        </w:rPr>
        <w:t>: défis et perspectives en matière de croissance économique et de développement au niveau mondial.</w:t>
      </w:r>
    </w:p>
    <w:p w14:paraId="40D4AA4A" w14:textId="23FB7208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VIII.</w:t>
      </w:r>
      <w:r w:rsidRPr="009F1099">
        <w:rPr>
          <w:lang w:val="fr-FR"/>
        </w:rPr>
        <w:tab/>
        <w:t>Priorités spéciales du Comité des transports intérieurs</w:t>
      </w:r>
    </w:p>
    <w:p w14:paraId="3995A9E2" w14:textId="77777777" w:rsidR="0043289D" w:rsidRPr="009F1099" w:rsidRDefault="0043289D" w:rsidP="0043289D">
      <w:pPr>
        <w:spacing w:after="120"/>
        <w:ind w:left="1701" w:right="1134" w:hanging="567"/>
        <w:jc w:val="both"/>
        <w:rPr>
          <w:lang w:val="fr-FR"/>
        </w:rPr>
      </w:pPr>
      <w:r w:rsidRPr="009F1099">
        <w:rPr>
          <w:lang w:val="fr-FR"/>
        </w:rPr>
        <w:t>13.</w:t>
      </w:r>
      <w:r w:rsidRPr="009F1099">
        <w:rPr>
          <w:lang w:val="fr-FR"/>
        </w:rPr>
        <w:tab/>
        <w:t>Forum de la sécurité routière du Comité des transports intérieurs.</w:t>
      </w:r>
    </w:p>
    <w:p w14:paraId="3DA30424" w14:textId="00525209" w:rsidR="0043289D" w:rsidRPr="009F1099" w:rsidRDefault="0043289D" w:rsidP="0043289D">
      <w:pPr>
        <w:pStyle w:val="HChG"/>
        <w:rPr>
          <w:lang w:val="fr-FR"/>
        </w:rPr>
      </w:pPr>
      <w:r>
        <w:rPr>
          <w:lang w:val="fr-FR"/>
        </w:rPr>
        <w:tab/>
      </w:r>
      <w:r w:rsidRPr="009F1099">
        <w:rPr>
          <w:lang w:val="fr-FR"/>
        </w:rPr>
        <w:t>IX.</w:t>
      </w:r>
      <w:r w:rsidRPr="009F1099">
        <w:rPr>
          <w:lang w:val="fr-FR"/>
        </w:rPr>
        <w:tab/>
        <w:t>Calendrier provisoire</w:t>
      </w:r>
    </w:p>
    <w:p w14:paraId="2ED1EB23" w14:textId="7121CE6D" w:rsidR="00F9573C" w:rsidRPr="0043289D" w:rsidRDefault="0043289D" w:rsidP="0043289D">
      <w:pPr>
        <w:spacing w:before="240"/>
        <w:jc w:val="center"/>
        <w:rPr>
          <w:u w:val="single"/>
          <w:lang w:val="fr-FR"/>
        </w:rPr>
      </w:pPr>
      <w:r w:rsidRPr="009F1099">
        <w:rPr>
          <w:u w:val="single"/>
          <w:lang w:val="fr-FR"/>
        </w:rPr>
        <w:tab/>
      </w:r>
      <w:r w:rsidRPr="009F1099">
        <w:rPr>
          <w:u w:val="single"/>
          <w:lang w:val="fr-FR"/>
        </w:rPr>
        <w:tab/>
      </w:r>
      <w:r w:rsidRPr="009F1099">
        <w:rPr>
          <w:u w:val="single"/>
          <w:lang w:val="fr-FR"/>
        </w:rPr>
        <w:tab/>
      </w:r>
    </w:p>
    <w:sectPr w:rsidR="00F9573C" w:rsidRPr="0043289D" w:rsidSect="0043289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B6E3" w14:textId="77777777" w:rsidR="00233858" w:rsidRDefault="00233858" w:rsidP="00F95C08">
      <w:pPr>
        <w:spacing w:line="240" w:lineRule="auto"/>
      </w:pPr>
    </w:p>
  </w:endnote>
  <w:endnote w:type="continuationSeparator" w:id="0">
    <w:p w14:paraId="4F73EAC6" w14:textId="77777777" w:rsidR="00233858" w:rsidRPr="00AC3823" w:rsidRDefault="00233858" w:rsidP="00AC3823">
      <w:pPr>
        <w:pStyle w:val="Pieddepage"/>
      </w:pPr>
    </w:p>
  </w:endnote>
  <w:endnote w:type="continuationNotice" w:id="1">
    <w:p w14:paraId="56DCEE31" w14:textId="77777777" w:rsidR="00233858" w:rsidRDefault="002338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18E0" w14:textId="7C91422E" w:rsidR="0043289D" w:rsidRPr="0043289D" w:rsidRDefault="0043289D" w:rsidP="0043289D">
    <w:pPr>
      <w:pStyle w:val="Pieddepage"/>
      <w:tabs>
        <w:tab w:val="right" w:pos="9638"/>
      </w:tabs>
    </w:pPr>
    <w:r w:rsidRPr="0043289D">
      <w:rPr>
        <w:b/>
        <w:sz w:val="18"/>
      </w:rPr>
      <w:fldChar w:fldCharType="begin"/>
    </w:r>
    <w:r w:rsidRPr="0043289D">
      <w:rPr>
        <w:b/>
        <w:sz w:val="18"/>
      </w:rPr>
      <w:instrText xml:space="preserve"> PAGE  \* MERGEFORMAT </w:instrText>
    </w:r>
    <w:r w:rsidRPr="0043289D">
      <w:rPr>
        <w:b/>
        <w:sz w:val="18"/>
      </w:rPr>
      <w:fldChar w:fldCharType="separate"/>
    </w:r>
    <w:r w:rsidRPr="0043289D">
      <w:rPr>
        <w:b/>
        <w:noProof/>
        <w:sz w:val="18"/>
      </w:rPr>
      <w:t>2</w:t>
    </w:r>
    <w:r w:rsidRPr="0043289D">
      <w:rPr>
        <w:b/>
        <w:sz w:val="18"/>
      </w:rPr>
      <w:fldChar w:fldCharType="end"/>
    </w:r>
    <w:r>
      <w:rPr>
        <w:b/>
        <w:sz w:val="18"/>
      </w:rPr>
      <w:tab/>
    </w:r>
    <w:r>
      <w:t>GE.22-27678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4294" w14:textId="13E5E221" w:rsidR="0043289D" w:rsidRPr="0043289D" w:rsidRDefault="0043289D" w:rsidP="0043289D">
    <w:pPr>
      <w:pStyle w:val="Pieddepage"/>
      <w:tabs>
        <w:tab w:val="right" w:pos="9638"/>
      </w:tabs>
      <w:rPr>
        <w:b/>
        <w:sz w:val="18"/>
      </w:rPr>
    </w:pPr>
    <w:r>
      <w:t>GE.22-27678</w:t>
    </w:r>
    <w:r>
      <w:tab/>
    </w:r>
    <w:r w:rsidRPr="0043289D">
      <w:rPr>
        <w:b/>
        <w:sz w:val="18"/>
      </w:rPr>
      <w:fldChar w:fldCharType="begin"/>
    </w:r>
    <w:r w:rsidRPr="0043289D">
      <w:rPr>
        <w:b/>
        <w:sz w:val="18"/>
      </w:rPr>
      <w:instrText xml:space="preserve"> PAGE  \* MERGEFORMAT </w:instrText>
    </w:r>
    <w:r w:rsidRPr="0043289D">
      <w:rPr>
        <w:b/>
        <w:sz w:val="18"/>
      </w:rPr>
      <w:fldChar w:fldCharType="separate"/>
    </w:r>
    <w:r w:rsidRPr="0043289D">
      <w:rPr>
        <w:b/>
        <w:noProof/>
        <w:sz w:val="18"/>
      </w:rPr>
      <w:t>3</w:t>
    </w:r>
    <w:r w:rsidRPr="0043289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59E0" w14:textId="5CB8862F" w:rsidR="007F20FA" w:rsidRPr="0043289D" w:rsidRDefault="0043289D" w:rsidP="0043289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8921C51" wp14:editId="4D034746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22-27678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2DC4F39" wp14:editId="5306BFFD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561975" cy="5619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201222    201222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61AA" w14:textId="77777777" w:rsidR="00233858" w:rsidRPr="00AC3823" w:rsidRDefault="0023385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D38C8D" w14:textId="77777777" w:rsidR="00233858" w:rsidRPr="00AC3823" w:rsidRDefault="00233858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754168E" w14:textId="77777777" w:rsidR="00233858" w:rsidRPr="00AC3823" w:rsidRDefault="00233858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0993" w14:textId="2F244DF1" w:rsidR="0043289D" w:rsidRPr="0043289D" w:rsidRDefault="0043289D">
    <w:pPr>
      <w:pStyle w:val="En-tte"/>
    </w:pPr>
    <w:fldSimple w:instr=" TITLE  \* MERGEFORMAT ">
      <w:r>
        <w:t>ECE/TRANS/327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5231" w14:textId="379A04AD" w:rsidR="0043289D" w:rsidRPr="0043289D" w:rsidRDefault="0043289D" w:rsidP="0043289D">
    <w:pPr>
      <w:pStyle w:val="En-tte"/>
      <w:jc w:val="right"/>
    </w:pPr>
    <w:fldSimple w:instr=" TITLE  \* MERGEFORMAT ">
      <w:r>
        <w:t>ECE/TRANS/327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58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33858"/>
    <w:rsid w:val="0024779E"/>
    <w:rsid w:val="00257168"/>
    <w:rsid w:val="002744B8"/>
    <w:rsid w:val="002832AC"/>
    <w:rsid w:val="002D7C93"/>
    <w:rsid w:val="00305801"/>
    <w:rsid w:val="003916DE"/>
    <w:rsid w:val="00421996"/>
    <w:rsid w:val="0043289D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71D1A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9A877"/>
  <w15:docId w15:val="{100C8B5F-E238-4893-9018-EB4D521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43289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43289D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84A4A-3673-4861-90C4-BA35564BDBBB}"/>
</file>

<file path=customXml/itemProps2.xml><?xml version="1.0" encoding="utf-8"?>
<ds:datastoreItem xmlns:ds="http://schemas.openxmlformats.org/officeDocument/2006/customXml" ds:itemID="{FE16DFBF-1B64-4C07-AB22-D84461099E08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3</Pages>
  <Words>716</Words>
  <Characters>5014</Characters>
  <Application>Microsoft Office Word</Application>
  <DocSecurity>0</DocSecurity>
  <Lines>417</Lines>
  <Paragraphs>229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ECE/TRANS/327</dc:title>
  <dc:subject/>
  <dc:creator>Sandrine CLERE</dc:creator>
  <cp:keywords/>
  <cp:lastModifiedBy>Sandrine Clere</cp:lastModifiedBy>
  <cp:revision>2</cp:revision>
  <cp:lastPrinted>2014-05-14T10:59:00Z</cp:lastPrinted>
  <dcterms:created xsi:type="dcterms:W3CDTF">2022-12-20T11:11:00Z</dcterms:created>
  <dcterms:modified xsi:type="dcterms:W3CDTF">2022-12-20T11:11:00Z</dcterms:modified>
</cp:coreProperties>
</file>