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4860143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C63AF9E" w14:textId="77777777" w:rsidR="002D5AAC" w:rsidRDefault="002D5AAC" w:rsidP="00BD082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7550E40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5107C87" w14:textId="459F0AFB" w:rsidR="002D5AAC" w:rsidRDefault="00BD082D" w:rsidP="00BD082D">
            <w:pPr>
              <w:jc w:val="right"/>
            </w:pPr>
            <w:r w:rsidRPr="00BD082D">
              <w:rPr>
                <w:sz w:val="40"/>
              </w:rPr>
              <w:t>ECE</w:t>
            </w:r>
            <w:r>
              <w:t>/TRANS/WP.15/260</w:t>
            </w:r>
          </w:p>
        </w:tc>
      </w:tr>
      <w:tr w:rsidR="002D5AAC" w:rsidRPr="00BD082D" w14:paraId="792D0FA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3EB465A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ADDF08A" wp14:editId="5F61D66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3F6AA7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8CE846F" w14:textId="77777777" w:rsidR="002D5AAC" w:rsidRDefault="00BD082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092F461" w14:textId="77777777" w:rsidR="00BD082D" w:rsidRDefault="00BD082D" w:rsidP="00BD082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25 November 2022</w:t>
            </w:r>
          </w:p>
          <w:p w14:paraId="66DF773D" w14:textId="77777777" w:rsidR="00BD082D" w:rsidRDefault="00BD082D" w:rsidP="00BD082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8F63A72" w14:textId="75D132E7" w:rsidR="00BD082D" w:rsidRPr="008D53B6" w:rsidRDefault="00BD082D" w:rsidP="00BD082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  <w:r w:rsidRPr="00394990">
              <w:rPr>
                <w:lang w:val="en-US"/>
              </w:rPr>
              <w:t xml:space="preserve"> and French</w:t>
            </w:r>
          </w:p>
        </w:tc>
      </w:tr>
    </w:tbl>
    <w:p w14:paraId="50BDD374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F71FCB3" w14:textId="77777777" w:rsidR="00BD082D" w:rsidRPr="003E7FB8" w:rsidRDefault="00BD082D" w:rsidP="00BD082D">
      <w:pPr>
        <w:spacing w:before="120"/>
        <w:rPr>
          <w:sz w:val="28"/>
          <w:szCs w:val="28"/>
        </w:rPr>
      </w:pPr>
      <w:r w:rsidRPr="003E7FB8">
        <w:rPr>
          <w:sz w:val="28"/>
          <w:szCs w:val="28"/>
        </w:rPr>
        <w:t>Комитет по внутреннему транспорту</w:t>
      </w:r>
    </w:p>
    <w:p w14:paraId="02F85498" w14:textId="77777777" w:rsidR="00BD082D" w:rsidRPr="004C5613" w:rsidRDefault="00BD082D" w:rsidP="00BD082D">
      <w:pPr>
        <w:spacing w:before="120"/>
        <w:rPr>
          <w:b/>
          <w:sz w:val="24"/>
          <w:szCs w:val="24"/>
        </w:rPr>
      </w:pPr>
      <w:r w:rsidRPr="004C5613">
        <w:rPr>
          <w:b/>
          <w:bCs/>
          <w:sz w:val="24"/>
          <w:szCs w:val="24"/>
        </w:rPr>
        <w:t>Рабочая группа по перевозкам опасных грузов</w:t>
      </w:r>
    </w:p>
    <w:p w14:paraId="0BD1FE8C" w14:textId="77777777" w:rsidR="00BD082D" w:rsidRPr="00394990" w:rsidRDefault="00BD082D" w:rsidP="00BD082D">
      <w:pPr>
        <w:spacing w:before="120"/>
        <w:rPr>
          <w:rFonts w:eastAsia="SimSun"/>
          <w:b/>
        </w:rPr>
      </w:pPr>
      <w:r>
        <w:rPr>
          <w:b/>
          <w:bCs/>
        </w:rPr>
        <w:t>Сто двенадцатая сессия</w:t>
      </w:r>
    </w:p>
    <w:p w14:paraId="121F049A" w14:textId="77777777" w:rsidR="00BD082D" w:rsidRPr="00394990" w:rsidRDefault="00BD082D" w:rsidP="00BD082D">
      <w:pPr>
        <w:spacing w:line="240" w:lineRule="auto"/>
        <w:rPr>
          <w:rFonts w:eastAsia="SimSun"/>
          <w:b/>
        </w:rPr>
      </w:pPr>
      <w:r>
        <w:t>Женева, 8−11 ноября 2022 года</w:t>
      </w:r>
    </w:p>
    <w:p w14:paraId="4B2C72DD" w14:textId="77777777" w:rsidR="00BD082D" w:rsidRPr="00757519" w:rsidRDefault="00BD082D" w:rsidP="00BD082D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szCs w:val="28"/>
        </w:rPr>
      </w:pPr>
      <w:r>
        <w:tab/>
      </w:r>
      <w:r>
        <w:tab/>
      </w:r>
      <w:r w:rsidRPr="00757519">
        <w:rPr>
          <w:b/>
          <w:bCs/>
          <w:sz w:val="28"/>
          <w:szCs w:val="28"/>
        </w:rPr>
        <w:t>Доклад Рабочей группы о работе ее сто двенадцатой сессии,</w:t>
      </w:r>
      <w:bookmarkStart w:id="0" w:name="_Toc26263904"/>
      <w:bookmarkStart w:id="1" w:name="_Toc499903628"/>
      <w:bookmarkEnd w:id="0"/>
      <w:bookmarkEnd w:id="1"/>
    </w:p>
    <w:p w14:paraId="033F72B0" w14:textId="77777777" w:rsidR="00BD082D" w:rsidRPr="00394990" w:rsidRDefault="00BD082D" w:rsidP="00BD082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</w:pPr>
      <w:r>
        <w:tab/>
      </w:r>
      <w:r>
        <w:tab/>
        <w:t>состоявшейся в Женеве 8–11 ноября 2022 года</w:t>
      </w:r>
    </w:p>
    <w:p w14:paraId="153F7B4D" w14:textId="77777777" w:rsidR="00BD082D" w:rsidRDefault="00BD082D" w:rsidP="00F1583A">
      <w:pPr>
        <w:spacing w:after="120"/>
        <w:rPr>
          <w:sz w:val="28"/>
        </w:rPr>
      </w:pPr>
      <w:r>
        <w:rPr>
          <w:sz w:val="28"/>
        </w:rPr>
        <w:t>Содержание</w:t>
      </w:r>
    </w:p>
    <w:p w14:paraId="3F69ED0C" w14:textId="77777777" w:rsidR="00BD082D" w:rsidRDefault="00BD082D" w:rsidP="00F1583A">
      <w:pPr>
        <w:tabs>
          <w:tab w:val="right" w:pos="8929"/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Пункты</w:t>
      </w:r>
      <w:r>
        <w:rPr>
          <w:i/>
          <w:sz w:val="18"/>
        </w:rPr>
        <w:tab/>
        <w:t>Стр.</w:t>
      </w:r>
    </w:p>
    <w:p w14:paraId="5DB7C86A" w14:textId="584A0216" w:rsidR="00BD082D" w:rsidRDefault="00BD082D" w:rsidP="00F1583A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BD082D">
        <w:t>I.</w:t>
      </w:r>
      <w:r w:rsidRPr="00BD082D">
        <w:tab/>
        <w:t>Организационные вопросы и участники</w:t>
      </w:r>
      <w:r>
        <w:tab/>
      </w:r>
      <w:r>
        <w:tab/>
      </w:r>
      <w:r w:rsidR="00841273" w:rsidRPr="00841273">
        <w:t>1</w:t>
      </w:r>
      <w:r w:rsidR="00E16A7A">
        <w:rPr>
          <w:rFonts w:cs="Times New Roman"/>
        </w:rPr>
        <w:t>–</w:t>
      </w:r>
      <w:r w:rsidR="00841273" w:rsidRPr="00841273">
        <w:t>8</w:t>
      </w:r>
      <w:r w:rsidR="00841273">
        <w:tab/>
      </w:r>
      <w:r w:rsidR="00A1061F">
        <w:t>3</w:t>
      </w:r>
    </w:p>
    <w:p w14:paraId="272CCF2E" w14:textId="2A3EDDF6" w:rsidR="00BD082D" w:rsidRDefault="00BD082D" w:rsidP="00F1583A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Pr="00BD082D">
        <w:t>A.</w:t>
      </w:r>
      <w:r w:rsidRPr="00BD082D">
        <w:tab/>
        <w:t>Организационные вопросы</w:t>
      </w:r>
      <w:r>
        <w:tab/>
      </w:r>
      <w:r>
        <w:tab/>
      </w:r>
      <w:r w:rsidR="00841273" w:rsidRPr="00841273">
        <w:t>2</w:t>
      </w:r>
      <w:r w:rsidR="00E16A7A">
        <w:rPr>
          <w:rFonts w:cs="Times New Roman"/>
        </w:rPr>
        <w:t>–</w:t>
      </w:r>
      <w:r w:rsidR="00841273" w:rsidRPr="00841273">
        <w:t>3</w:t>
      </w:r>
      <w:r w:rsidR="00841273">
        <w:tab/>
      </w:r>
      <w:r w:rsidR="00A1061F">
        <w:t>3</w:t>
      </w:r>
    </w:p>
    <w:p w14:paraId="425348EB" w14:textId="507D34D8" w:rsidR="00BD082D" w:rsidRDefault="00BD082D" w:rsidP="00F1583A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>
        <w:tab/>
      </w:r>
      <w:r w:rsidRPr="00BD082D">
        <w:t>B.</w:t>
      </w:r>
      <w:r w:rsidRPr="00BD082D">
        <w:tab/>
        <w:t>Участники</w:t>
      </w:r>
      <w:r>
        <w:tab/>
      </w:r>
      <w:r>
        <w:tab/>
      </w:r>
      <w:r w:rsidR="00841273" w:rsidRPr="00841273">
        <w:t>4</w:t>
      </w:r>
      <w:r w:rsidR="00E16A7A">
        <w:rPr>
          <w:rFonts w:cs="Times New Roman"/>
        </w:rPr>
        <w:t>–</w:t>
      </w:r>
      <w:r w:rsidR="00841273" w:rsidRPr="00841273">
        <w:t>8</w:t>
      </w:r>
      <w:r w:rsidR="00A1061F">
        <w:tab/>
        <w:t>3</w:t>
      </w:r>
    </w:p>
    <w:p w14:paraId="2F70D3B6" w14:textId="2122B65F" w:rsidR="00BD082D" w:rsidRDefault="00BD082D" w:rsidP="00F1583A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>
        <w:tab/>
      </w:r>
      <w:r w:rsidRPr="00BD082D">
        <w:t>II.</w:t>
      </w:r>
      <w:r w:rsidRPr="00BD082D">
        <w:tab/>
        <w:t>Утверждение повестки дня (пункт 1 повестки дня)</w:t>
      </w:r>
      <w:r>
        <w:tab/>
      </w:r>
      <w:r>
        <w:tab/>
      </w:r>
      <w:r w:rsidR="00841273" w:rsidRPr="00841273">
        <w:t>9</w:t>
      </w:r>
      <w:r w:rsidR="00A1061F">
        <w:tab/>
        <w:t>3</w:t>
      </w:r>
    </w:p>
    <w:p w14:paraId="089BAAF1" w14:textId="627BEFED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>
        <w:tab/>
      </w:r>
      <w:r w:rsidRPr="00BD082D">
        <w:t>III.</w:t>
      </w:r>
      <w:r w:rsidRPr="00BD082D">
        <w:tab/>
        <w:t xml:space="preserve">Восемьдесят четвертая сессия Комитета по внутреннему транспорту (КВТ) </w:t>
      </w:r>
      <w:r>
        <w:br/>
      </w:r>
      <w:r w:rsidRPr="00BD082D">
        <w:t>(пункт 2 повестки дня)</w:t>
      </w:r>
      <w:r>
        <w:tab/>
      </w:r>
      <w:r>
        <w:tab/>
      </w:r>
      <w:r w:rsidR="00841273" w:rsidRPr="00841273">
        <w:t>10</w:t>
      </w:r>
      <w:r w:rsidR="00A1061F">
        <w:tab/>
        <w:t>4</w:t>
      </w:r>
    </w:p>
    <w:p w14:paraId="3827C899" w14:textId="4E0470D7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>
        <w:tab/>
      </w:r>
      <w:r w:rsidRPr="00BD082D">
        <w:t>IV.</w:t>
      </w:r>
      <w:r w:rsidRPr="00BD082D">
        <w:tab/>
        <w:t xml:space="preserve">Состояние Соглашения о международной дорожной перевозке опасных </w:t>
      </w:r>
      <w:r>
        <w:br/>
      </w:r>
      <w:r w:rsidRPr="00BD082D">
        <w:t>грузов (ДОПОГ) и связанные с этим вопросы (пункт 3 повестки дня)</w:t>
      </w:r>
      <w:r>
        <w:tab/>
      </w:r>
      <w:r>
        <w:tab/>
      </w:r>
      <w:r w:rsidR="00841273" w:rsidRPr="00841273">
        <w:t>11</w:t>
      </w:r>
      <w:r w:rsidR="00E16A7A">
        <w:rPr>
          <w:rFonts w:cs="Times New Roman"/>
        </w:rPr>
        <w:t>–</w:t>
      </w:r>
      <w:r w:rsidR="00841273" w:rsidRPr="00841273">
        <w:t>18</w:t>
      </w:r>
      <w:r w:rsidR="00A1061F">
        <w:tab/>
        <w:t>4</w:t>
      </w:r>
    </w:p>
    <w:p w14:paraId="7C8157B1" w14:textId="4F249E5C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>
        <w:tab/>
      </w:r>
      <w:r>
        <w:tab/>
      </w:r>
      <w:r w:rsidRPr="00BD082D">
        <w:t>A.</w:t>
      </w:r>
      <w:r w:rsidRPr="00BD082D">
        <w:tab/>
        <w:t>Состояние Соглашения</w:t>
      </w:r>
      <w:r>
        <w:tab/>
      </w:r>
      <w:r>
        <w:tab/>
      </w:r>
      <w:r w:rsidR="00841273" w:rsidRPr="00841273">
        <w:t>11</w:t>
      </w:r>
      <w:r w:rsidR="00E16A7A">
        <w:rPr>
          <w:rFonts w:cs="Times New Roman"/>
        </w:rPr>
        <w:t>–</w:t>
      </w:r>
      <w:r w:rsidR="00841273" w:rsidRPr="00841273">
        <w:t>17</w:t>
      </w:r>
      <w:r w:rsidR="00A1061F">
        <w:tab/>
      </w:r>
      <w:r w:rsidR="000C071B">
        <w:t>4</w:t>
      </w:r>
    </w:p>
    <w:p w14:paraId="6C26BAC4" w14:textId="3BD0FB83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>
        <w:tab/>
      </w:r>
      <w:r>
        <w:tab/>
      </w:r>
      <w:r w:rsidRPr="00BD082D">
        <w:t>B.</w:t>
      </w:r>
      <w:r w:rsidRPr="00BD082D">
        <w:tab/>
        <w:t>Протокол о внесении поправок 1993 года</w:t>
      </w:r>
      <w:r>
        <w:tab/>
      </w:r>
      <w:r>
        <w:tab/>
      </w:r>
      <w:r w:rsidR="00841273" w:rsidRPr="00841273">
        <w:t>18</w:t>
      </w:r>
      <w:r w:rsidR="00A1061F">
        <w:tab/>
        <w:t>5</w:t>
      </w:r>
    </w:p>
    <w:p w14:paraId="5E48E8E7" w14:textId="4F815942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>
        <w:tab/>
      </w:r>
      <w:r w:rsidRPr="00BD082D">
        <w:t>V.</w:t>
      </w:r>
      <w:r w:rsidRPr="00BD082D">
        <w:tab/>
        <w:t xml:space="preserve">Работа Совместного совещания МПОГ/ДОПОГ/ВОПОГ </w:t>
      </w:r>
      <w:r>
        <w:br/>
      </w:r>
      <w:r w:rsidRPr="00BD082D">
        <w:t>(пункт 4 повестки дня)</w:t>
      </w:r>
      <w:r>
        <w:tab/>
      </w:r>
      <w:r>
        <w:tab/>
      </w:r>
      <w:r w:rsidR="00841273" w:rsidRPr="00841273">
        <w:t>19</w:t>
      </w:r>
      <w:r w:rsidR="00A1061F">
        <w:tab/>
        <w:t>5</w:t>
      </w:r>
    </w:p>
    <w:p w14:paraId="43D844B6" w14:textId="2713B2D4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>
        <w:tab/>
      </w:r>
      <w:r w:rsidRPr="00BD082D">
        <w:t>VI.</w:t>
      </w:r>
      <w:r w:rsidRPr="00BD082D">
        <w:tab/>
        <w:t xml:space="preserve">Предложения о внесении поправок в приложения A и B к ДОПОГ </w:t>
      </w:r>
      <w:r>
        <w:br/>
      </w:r>
      <w:r w:rsidRPr="00BD082D">
        <w:t>(пункт 5 повестки дня)</w:t>
      </w:r>
      <w:r>
        <w:tab/>
      </w:r>
      <w:r>
        <w:tab/>
      </w:r>
      <w:r w:rsidR="00841273" w:rsidRPr="00841273">
        <w:t>20</w:t>
      </w:r>
      <w:r w:rsidR="00E16A7A">
        <w:rPr>
          <w:rFonts w:cs="Times New Roman"/>
        </w:rPr>
        <w:t>–</w:t>
      </w:r>
      <w:r w:rsidR="00841273" w:rsidRPr="00841273">
        <w:t>39</w:t>
      </w:r>
      <w:r w:rsidR="00A1061F">
        <w:tab/>
        <w:t>5</w:t>
      </w:r>
    </w:p>
    <w:p w14:paraId="5E0C4755" w14:textId="1F4ABBA8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>
        <w:tab/>
      </w:r>
      <w:r>
        <w:tab/>
      </w:r>
      <w:r w:rsidRPr="00BD082D">
        <w:t>A.</w:t>
      </w:r>
      <w:r w:rsidRPr="00BD082D">
        <w:tab/>
        <w:t>Конструкция и допущение к перевозке транспортных средств</w:t>
      </w:r>
      <w:r>
        <w:tab/>
      </w:r>
      <w:r>
        <w:tab/>
      </w:r>
      <w:r w:rsidR="00841273" w:rsidRPr="00841273">
        <w:t>20</w:t>
      </w:r>
      <w:r w:rsidR="00E16A7A">
        <w:rPr>
          <w:rFonts w:cs="Times New Roman"/>
        </w:rPr>
        <w:t>–</w:t>
      </w:r>
      <w:r w:rsidR="00841273" w:rsidRPr="00841273">
        <w:t>30</w:t>
      </w:r>
      <w:r w:rsidR="00A1061F">
        <w:tab/>
        <w:t>5</w:t>
      </w:r>
    </w:p>
    <w:p w14:paraId="0677D717" w14:textId="5D7EF620" w:rsidR="00841273" w:rsidRDefault="00841273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>
        <w:tab/>
      </w:r>
      <w:r>
        <w:tab/>
      </w:r>
      <w:r>
        <w:tab/>
      </w:r>
      <w:r w:rsidRPr="00841273">
        <w:t>1.</w:t>
      </w:r>
      <w:r w:rsidRPr="00841273">
        <w:tab/>
        <w:t>Даты публикации стандартов, указанных в пункте 9.2.2.2.2</w:t>
      </w:r>
      <w:r>
        <w:tab/>
      </w:r>
      <w:r>
        <w:tab/>
      </w:r>
      <w:r w:rsidRPr="00841273">
        <w:t>20</w:t>
      </w:r>
      <w:r w:rsidR="00A1061F">
        <w:tab/>
        <w:t>5</w:t>
      </w:r>
    </w:p>
    <w:p w14:paraId="4E78AAB2" w14:textId="3EFF0AA2" w:rsidR="00841273" w:rsidRDefault="00841273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>
        <w:tab/>
      </w:r>
      <w:r>
        <w:tab/>
      </w:r>
      <w:r>
        <w:tab/>
      </w:r>
      <w:r w:rsidRPr="00841273">
        <w:t>2.</w:t>
      </w:r>
      <w:r w:rsidRPr="00841273">
        <w:tab/>
        <w:t>Доклад неофициальной рабочей группы по электромобилям</w:t>
      </w:r>
      <w:r>
        <w:tab/>
      </w:r>
      <w:r>
        <w:tab/>
      </w:r>
      <w:r w:rsidRPr="00841273">
        <w:t>21</w:t>
      </w:r>
      <w:r w:rsidR="00E16A7A">
        <w:rPr>
          <w:rFonts w:cs="Times New Roman"/>
        </w:rPr>
        <w:t>–</w:t>
      </w:r>
      <w:r w:rsidRPr="00841273">
        <w:t>26</w:t>
      </w:r>
      <w:r w:rsidR="00A1061F">
        <w:tab/>
        <w:t>5</w:t>
      </w:r>
    </w:p>
    <w:p w14:paraId="53F983C0" w14:textId="2E71085B" w:rsidR="00841273" w:rsidRDefault="00841273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>
        <w:tab/>
      </w:r>
      <w:r>
        <w:tab/>
      </w:r>
      <w:r>
        <w:tab/>
      </w:r>
      <w:r w:rsidRPr="00841273">
        <w:t>3.</w:t>
      </w:r>
      <w:r w:rsidRPr="00841273">
        <w:tab/>
        <w:t>Правила № 105 ООН</w:t>
      </w:r>
      <w:r>
        <w:tab/>
      </w:r>
      <w:r>
        <w:tab/>
      </w:r>
      <w:r w:rsidRPr="00841273">
        <w:t>27</w:t>
      </w:r>
      <w:r w:rsidR="00E16A7A">
        <w:rPr>
          <w:rFonts w:cs="Times New Roman"/>
        </w:rPr>
        <w:t>–</w:t>
      </w:r>
      <w:r w:rsidRPr="00841273">
        <w:t>28</w:t>
      </w:r>
      <w:r w:rsidR="00A1061F">
        <w:tab/>
        <w:t>6</w:t>
      </w:r>
    </w:p>
    <w:p w14:paraId="5C791ED3" w14:textId="3FD5ABA8" w:rsidR="00841273" w:rsidRDefault="00841273" w:rsidP="0084127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984" w:hanging="1984"/>
      </w:pPr>
      <w:r>
        <w:tab/>
      </w:r>
      <w:r>
        <w:tab/>
      </w:r>
      <w:r>
        <w:tab/>
      </w:r>
      <w:r w:rsidRPr="00841273">
        <w:t>4.</w:t>
      </w:r>
      <w:r w:rsidRPr="00841273">
        <w:tab/>
        <w:t xml:space="preserve">Руководящие указания по определению даты первой регистрации </w:t>
      </w:r>
      <w:r>
        <w:br/>
      </w:r>
      <w:r w:rsidRPr="00841273">
        <w:t>дорожных транспортных средств</w:t>
      </w:r>
      <w:r>
        <w:tab/>
      </w:r>
      <w:r>
        <w:tab/>
      </w:r>
      <w:r w:rsidRPr="00841273">
        <w:t>29</w:t>
      </w:r>
      <w:r w:rsidR="00E16A7A">
        <w:rPr>
          <w:rFonts w:cs="Times New Roman"/>
        </w:rPr>
        <w:t>–</w:t>
      </w:r>
      <w:r w:rsidRPr="00841273">
        <w:t>30</w:t>
      </w:r>
      <w:r w:rsidR="00A1061F">
        <w:tab/>
        <w:t>6</w:t>
      </w:r>
    </w:p>
    <w:p w14:paraId="24E11D31" w14:textId="0D526B4D" w:rsidR="00BD082D" w:rsidRDefault="00BD082D" w:rsidP="00841273">
      <w:pPr>
        <w:keepNext/>
        <w:keepLines/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>
        <w:lastRenderedPageBreak/>
        <w:tab/>
      </w:r>
      <w:r>
        <w:tab/>
      </w:r>
      <w:r w:rsidRPr="00BD082D">
        <w:t>B.</w:t>
      </w:r>
      <w:r w:rsidRPr="00BD082D">
        <w:tab/>
        <w:t>Различные предложения</w:t>
      </w:r>
      <w:r>
        <w:tab/>
      </w:r>
      <w:r>
        <w:tab/>
      </w:r>
      <w:r w:rsidR="00841273" w:rsidRPr="00841273">
        <w:t>31</w:t>
      </w:r>
      <w:r w:rsidR="00E16A7A">
        <w:rPr>
          <w:rFonts w:cs="Times New Roman"/>
        </w:rPr>
        <w:t>–</w:t>
      </w:r>
      <w:r w:rsidR="00841273" w:rsidRPr="00841273">
        <w:t>39</w:t>
      </w:r>
      <w:r w:rsidR="00A1061F">
        <w:tab/>
        <w:t>6</w:t>
      </w:r>
    </w:p>
    <w:p w14:paraId="1B1AB862" w14:textId="33108984" w:rsidR="00841273" w:rsidRDefault="00841273" w:rsidP="00841273">
      <w:pPr>
        <w:keepNext/>
        <w:keepLines/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984" w:hanging="1984"/>
      </w:pPr>
      <w:r>
        <w:tab/>
      </w:r>
      <w:r>
        <w:tab/>
      </w:r>
      <w:r>
        <w:tab/>
      </w:r>
      <w:r w:rsidRPr="00841273">
        <w:t>1.</w:t>
      </w:r>
      <w:r w:rsidRPr="00841273">
        <w:tab/>
        <w:t xml:space="preserve">Освобождение опасных грузов, отнесенных к транспортной </w:t>
      </w:r>
      <w:r>
        <w:br/>
      </w:r>
      <w:r w:rsidRPr="00841273">
        <w:t>категории 4, от действия ограничений на проезд через туннели</w:t>
      </w:r>
      <w:r>
        <w:tab/>
      </w:r>
      <w:r>
        <w:tab/>
      </w:r>
      <w:r w:rsidRPr="00841273">
        <w:t>31</w:t>
      </w:r>
      <w:r w:rsidR="00E16A7A">
        <w:rPr>
          <w:rFonts w:cs="Times New Roman"/>
        </w:rPr>
        <w:t>–</w:t>
      </w:r>
      <w:r w:rsidRPr="00841273">
        <w:t>33</w:t>
      </w:r>
      <w:r w:rsidR="00A1061F">
        <w:tab/>
        <w:t>6</w:t>
      </w:r>
    </w:p>
    <w:p w14:paraId="5ADDC0F9" w14:textId="522A7A0F" w:rsidR="00841273" w:rsidRDefault="00841273" w:rsidP="00841273">
      <w:pPr>
        <w:keepNext/>
        <w:keepLines/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984" w:hanging="1984"/>
      </w:pPr>
      <w:r>
        <w:tab/>
      </w:r>
      <w:r>
        <w:tab/>
      </w:r>
      <w:r>
        <w:tab/>
      </w:r>
      <w:r w:rsidRPr="00841273">
        <w:t>2.</w:t>
      </w:r>
      <w:r w:rsidRPr="00841273">
        <w:tab/>
        <w:t xml:space="preserve">Раздел 9.1.3 — Свидетельство о допущении к перевозке </w:t>
      </w:r>
      <w:r>
        <w:br/>
      </w:r>
      <w:r w:rsidRPr="00841273">
        <w:t>транспортных средств</w:t>
      </w:r>
      <w:r>
        <w:tab/>
      </w:r>
      <w:r>
        <w:tab/>
      </w:r>
      <w:r w:rsidRPr="00841273">
        <w:t>34</w:t>
      </w:r>
      <w:r w:rsidR="00A1061F">
        <w:tab/>
        <w:t>6</w:t>
      </w:r>
    </w:p>
    <w:p w14:paraId="18A7AC8D" w14:textId="14C81FA9" w:rsidR="00841273" w:rsidRDefault="00841273" w:rsidP="00841273">
      <w:pPr>
        <w:keepNext/>
        <w:keepLines/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984" w:hanging="1984"/>
      </w:pPr>
      <w:r>
        <w:tab/>
      </w:r>
      <w:r>
        <w:tab/>
      </w:r>
      <w:r>
        <w:tab/>
      </w:r>
      <w:r w:rsidRPr="00841273">
        <w:t>3.</w:t>
      </w:r>
      <w:r w:rsidRPr="00841273">
        <w:tab/>
        <w:t xml:space="preserve">Новые положения по цистернам из армированных волокном </w:t>
      </w:r>
      <w:r>
        <w:br/>
      </w:r>
      <w:r w:rsidRPr="00841273">
        <w:t>пластмасс — сопутствующие поправки</w:t>
      </w:r>
      <w:r>
        <w:tab/>
      </w:r>
      <w:r>
        <w:tab/>
      </w:r>
      <w:r w:rsidRPr="00841273">
        <w:t>35</w:t>
      </w:r>
      <w:r w:rsidR="00E16A7A">
        <w:rPr>
          <w:rFonts w:cs="Times New Roman"/>
        </w:rPr>
        <w:t>–</w:t>
      </w:r>
      <w:r w:rsidRPr="00841273">
        <w:t>39</w:t>
      </w:r>
      <w:r w:rsidR="00A1061F">
        <w:tab/>
        <w:t>7</w:t>
      </w:r>
    </w:p>
    <w:p w14:paraId="7B47B5E5" w14:textId="4E58BC83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>
        <w:tab/>
      </w:r>
      <w:r w:rsidRPr="00BD082D">
        <w:t>VII.</w:t>
      </w:r>
      <w:r w:rsidRPr="00BD082D">
        <w:tab/>
        <w:t>Толкование ДОПОГ (пункт 6 повестки дня)</w:t>
      </w:r>
      <w:r>
        <w:tab/>
      </w:r>
      <w:r>
        <w:tab/>
      </w:r>
      <w:r w:rsidR="00841273" w:rsidRPr="00841273">
        <w:t>40</w:t>
      </w:r>
      <w:r w:rsidR="00E16A7A">
        <w:rPr>
          <w:rFonts w:cs="Times New Roman"/>
        </w:rPr>
        <w:t>–</w:t>
      </w:r>
      <w:r w:rsidR="00841273" w:rsidRPr="00841273">
        <w:t>43</w:t>
      </w:r>
      <w:r w:rsidR="00A1061F">
        <w:tab/>
        <w:t>7</w:t>
      </w:r>
    </w:p>
    <w:p w14:paraId="217C5528" w14:textId="42E390B6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>
        <w:tab/>
      </w:r>
      <w:r>
        <w:tab/>
      </w:r>
      <w:r w:rsidRPr="00BD082D">
        <w:t>A.</w:t>
      </w:r>
      <w:r w:rsidRPr="00BD082D">
        <w:tab/>
        <w:t>Расчет массы нетто взрывчатого вещества</w:t>
      </w:r>
      <w:r>
        <w:tab/>
      </w:r>
      <w:r>
        <w:tab/>
      </w:r>
      <w:r w:rsidR="00841273" w:rsidRPr="00841273">
        <w:t>40</w:t>
      </w:r>
      <w:r w:rsidR="00841273">
        <w:rPr>
          <w:rFonts w:cs="Times New Roman"/>
        </w:rPr>
        <w:t>–</w:t>
      </w:r>
      <w:r w:rsidR="00841273" w:rsidRPr="00841273">
        <w:t>41</w:t>
      </w:r>
      <w:r w:rsidR="00A1061F">
        <w:tab/>
        <w:t>7</w:t>
      </w:r>
    </w:p>
    <w:p w14:paraId="17B5B44C" w14:textId="6424129F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>
        <w:tab/>
      </w:r>
      <w:r>
        <w:tab/>
      </w:r>
      <w:r w:rsidRPr="00BD082D">
        <w:t>B.</w:t>
      </w:r>
      <w:r w:rsidRPr="00BD082D">
        <w:tab/>
        <w:t>Сфера применения ДОПОГ</w:t>
      </w:r>
      <w:r>
        <w:tab/>
      </w:r>
      <w:r>
        <w:tab/>
      </w:r>
      <w:r w:rsidR="00841273" w:rsidRPr="00841273">
        <w:t>42</w:t>
      </w:r>
      <w:r w:rsidR="00841273">
        <w:rPr>
          <w:rFonts w:cs="Times New Roman"/>
        </w:rPr>
        <w:t>–</w:t>
      </w:r>
      <w:r w:rsidR="00841273" w:rsidRPr="00841273">
        <w:t>43</w:t>
      </w:r>
      <w:r w:rsidR="00A1061F">
        <w:tab/>
        <w:t>7</w:t>
      </w:r>
    </w:p>
    <w:p w14:paraId="3ADBE545" w14:textId="1B72C195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>
        <w:tab/>
      </w:r>
      <w:r w:rsidRPr="00BD082D">
        <w:t>VIII.</w:t>
      </w:r>
      <w:r w:rsidRPr="00BD082D">
        <w:tab/>
        <w:t>Программа работы (пункт 7 повестки дня)</w:t>
      </w:r>
      <w:r>
        <w:tab/>
      </w:r>
      <w:r>
        <w:tab/>
      </w:r>
      <w:r w:rsidR="00841273" w:rsidRPr="00841273">
        <w:t>44</w:t>
      </w:r>
      <w:r w:rsidR="00A1061F">
        <w:tab/>
        <w:t>8</w:t>
      </w:r>
    </w:p>
    <w:p w14:paraId="533ACF68" w14:textId="6FAED245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</w:pPr>
      <w:r>
        <w:tab/>
      </w:r>
      <w:r w:rsidRPr="00BD082D">
        <w:t>IX.</w:t>
      </w:r>
      <w:r w:rsidRPr="00BD082D">
        <w:tab/>
        <w:t>Прочие вопросы (пункт 8 повестки дня)</w:t>
      </w:r>
      <w:r>
        <w:tab/>
      </w:r>
      <w:r>
        <w:tab/>
      </w:r>
      <w:r w:rsidR="00841273" w:rsidRPr="00841273">
        <w:t>45</w:t>
      </w:r>
      <w:r w:rsidR="00841273">
        <w:rPr>
          <w:rFonts w:cs="Times New Roman"/>
        </w:rPr>
        <w:t>–</w:t>
      </w:r>
      <w:r w:rsidR="00841273" w:rsidRPr="00841273">
        <w:t>60</w:t>
      </w:r>
      <w:r w:rsidR="00A1061F">
        <w:tab/>
        <w:t>8</w:t>
      </w:r>
    </w:p>
    <w:p w14:paraId="30C87341" w14:textId="567E4032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</w:pPr>
      <w:r>
        <w:tab/>
      </w:r>
      <w:r>
        <w:tab/>
      </w:r>
      <w:r w:rsidRPr="00BD082D">
        <w:t>A.</w:t>
      </w:r>
      <w:r w:rsidRPr="00BD082D">
        <w:tab/>
        <w:t xml:space="preserve">Циклическая экономика и устойчивое использование природных </w:t>
      </w:r>
      <w:r>
        <w:br/>
      </w:r>
      <w:r w:rsidRPr="00BD082D">
        <w:t>ресурсов</w:t>
      </w:r>
      <w:r>
        <w:tab/>
      </w:r>
      <w:r>
        <w:tab/>
      </w:r>
      <w:r w:rsidR="00841273" w:rsidRPr="00841273">
        <w:t>45</w:t>
      </w:r>
      <w:r w:rsidR="00841273">
        <w:rPr>
          <w:rFonts w:cs="Times New Roman"/>
        </w:rPr>
        <w:t>–</w:t>
      </w:r>
      <w:r w:rsidR="00841273" w:rsidRPr="00841273">
        <w:t>51</w:t>
      </w:r>
      <w:r w:rsidR="00A1061F">
        <w:tab/>
        <w:t>8</w:t>
      </w:r>
    </w:p>
    <w:p w14:paraId="5C5DE585" w14:textId="555CCA79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</w:pPr>
      <w:r>
        <w:tab/>
      </w:r>
      <w:r>
        <w:tab/>
      </w:r>
      <w:r w:rsidRPr="00BD082D">
        <w:t>B.</w:t>
      </w:r>
      <w:r w:rsidRPr="00BD082D">
        <w:tab/>
        <w:t xml:space="preserve">Проект ППТ </w:t>
      </w:r>
      <w:proofErr w:type="spellStart"/>
      <w:r w:rsidRPr="00BD082D">
        <w:t>ЕвроМед</w:t>
      </w:r>
      <w:proofErr w:type="spellEnd"/>
      <w:r>
        <w:tab/>
      </w:r>
      <w:r>
        <w:tab/>
      </w:r>
      <w:r w:rsidR="00841273" w:rsidRPr="00841273">
        <w:t>52</w:t>
      </w:r>
      <w:r w:rsidR="00841273">
        <w:rPr>
          <w:rFonts w:cs="Times New Roman"/>
        </w:rPr>
        <w:t>–</w:t>
      </w:r>
      <w:r w:rsidR="00841273" w:rsidRPr="00841273">
        <w:t>55</w:t>
      </w:r>
      <w:r w:rsidR="00A1061F">
        <w:tab/>
        <w:t>9</w:t>
      </w:r>
    </w:p>
    <w:p w14:paraId="75B76A60" w14:textId="792AC0AD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</w:pPr>
      <w:r>
        <w:tab/>
      </w:r>
      <w:r>
        <w:tab/>
      </w:r>
      <w:r w:rsidRPr="00BD082D">
        <w:t>C.</w:t>
      </w:r>
      <w:r w:rsidRPr="00BD082D">
        <w:tab/>
        <w:t>Переводы ДОПОГ</w:t>
      </w:r>
      <w:r>
        <w:tab/>
      </w:r>
      <w:r>
        <w:tab/>
      </w:r>
      <w:r w:rsidR="00841273" w:rsidRPr="00841273">
        <w:t>56</w:t>
      </w:r>
      <w:r w:rsidR="00A1061F">
        <w:tab/>
      </w:r>
      <w:r w:rsidR="000C071B">
        <w:t>10</w:t>
      </w:r>
    </w:p>
    <w:p w14:paraId="60B10EBB" w14:textId="4A4EE00D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</w:pPr>
      <w:r>
        <w:tab/>
      </w:r>
      <w:r>
        <w:tab/>
      </w:r>
      <w:r w:rsidRPr="00BD082D">
        <w:t>D.</w:t>
      </w:r>
      <w:r w:rsidRPr="00BD082D">
        <w:tab/>
        <w:t>«Дорожная карта» по ДОПОГ</w:t>
      </w:r>
      <w:r>
        <w:tab/>
      </w:r>
      <w:r>
        <w:tab/>
      </w:r>
      <w:r w:rsidR="00841273" w:rsidRPr="00841273">
        <w:t>57</w:t>
      </w:r>
      <w:r w:rsidR="00A1061F">
        <w:tab/>
        <w:t>10</w:t>
      </w:r>
    </w:p>
    <w:p w14:paraId="6BA262E9" w14:textId="565C60E1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</w:pPr>
      <w:r>
        <w:tab/>
      </w:r>
      <w:r>
        <w:tab/>
      </w:r>
      <w:r w:rsidRPr="00BD082D">
        <w:t>E.</w:t>
      </w:r>
      <w:r w:rsidRPr="00BD082D">
        <w:tab/>
        <w:t xml:space="preserve">Платформа электронного обучения </w:t>
      </w:r>
      <w:proofErr w:type="spellStart"/>
      <w:r w:rsidRPr="00BD082D">
        <w:t>LearnITC</w:t>
      </w:r>
      <w:proofErr w:type="spellEnd"/>
      <w:r>
        <w:tab/>
      </w:r>
      <w:r>
        <w:tab/>
      </w:r>
      <w:r w:rsidR="00841273" w:rsidRPr="00841273">
        <w:t>58</w:t>
      </w:r>
      <w:r w:rsidR="00841273">
        <w:rPr>
          <w:rFonts w:cs="Times New Roman"/>
        </w:rPr>
        <w:t>–</w:t>
      </w:r>
      <w:r w:rsidR="00841273" w:rsidRPr="00841273">
        <w:t>59</w:t>
      </w:r>
      <w:r w:rsidR="00A1061F">
        <w:tab/>
        <w:t>10</w:t>
      </w:r>
    </w:p>
    <w:p w14:paraId="3AC4611D" w14:textId="382DBBB9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</w:pPr>
      <w:r>
        <w:tab/>
      </w:r>
      <w:r>
        <w:tab/>
      </w:r>
      <w:r w:rsidRPr="00BD082D">
        <w:t>F.</w:t>
      </w:r>
      <w:r w:rsidRPr="00BD082D">
        <w:tab/>
        <w:t>Выражение признательности</w:t>
      </w:r>
      <w:r>
        <w:tab/>
      </w:r>
      <w:r>
        <w:tab/>
      </w:r>
      <w:r w:rsidR="00841273" w:rsidRPr="00841273">
        <w:t>60</w:t>
      </w:r>
      <w:r w:rsidR="00A1061F">
        <w:tab/>
        <w:t>10</w:t>
      </w:r>
    </w:p>
    <w:p w14:paraId="621B874F" w14:textId="13225373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</w:pPr>
      <w:r>
        <w:tab/>
      </w:r>
      <w:r w:rsidRPr="00BD082D">
        <w:t>X.</w:t>
      </w:r>
      <w:r w:rsidRPr="00BD082D">
        <w:tab/>
        <w:t>Выборы должностных лиц на 2023 год (пункт 9 повестки дня)</w:t>
      </w:r>
      <w:r>
        <w:tab/>
      </w:r>
      <w:r>
        <w:tab/>
      </w:r>
      <w:r w:rsidR="00841273" w:rsidRPr="00841273">
        <w:t>61</w:t>
      </w:r>
      <w:r w:rsidR="00A1061F">
        <w:tab/>
        <w:t>10</w:t>
      </w:r>
    </w:p>
    <w:p w14:paraId="2B93049E" w14:textId="3EB981A8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</w:pPr>
      <w:r>
        <w:tab/>
      </w:r>
      <w:r w:rsidRPr="00BD082D">
        <w:t>XI.</w:t>
      </w:r>
      <w:r w:rsidRPr="00BD082D">
        <w:tab/>
        <w:t>Утверждение доклада (пункт 10 повестки дня)</w:t>
      </w:r>
      <w:r>
        <w:tab/>
      </w:r>
      <w:r>
        <w:tab/>
      </w:r>
      <w:r w:rsidR="00841273" w:rsidRPr="00841273">
        <w:t>62</w:t>
      </w:r>
      <w:r w:rsidR="00841273">
        <w:rPr>
          <w:rFonts w:cs="Times New Roman"/>
        </w:rPr>
        <w:t>–</w:t>
      </w:r>
      <w:r w:rsidR="00841273" w:rsidRPr="00841273">
        <w:t>64</w:t>
      </w:r>
      <w:r w:rsidR="00A1061F">
        <w:tab/>
        <w:t>10</w:t>
      </w:r>
    </w:p>
    <w:p w14:paraId="75603E2D" w14:textId="13816A2B" w:rsidR="00BD082D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559" w:hanging="1559"/>
      </w:pPr>
      <w:r w:rsidRPr="00BD082D">
        <w:t>Приложение</w:t>
      </w:r>
    </w:p>
    <w:p w14:paraId="15C4F09F" w14:textId="7B261EBD" w:rsidR="00BD082D" w:rsidRPr="00153EF2" w:rsidRDefault="00BD082D" w:rsidP="00BD082D">
      <w:pPr>
        <w:tabs>
          <w:tab w:val="right" w:pos="850"/>
          <w:tab w:val="left" w:pos="1134"/>
          <w:tab w:val="left" w:pos="1559"/>
          <w:tab w:val="left" w:pos="1984"/>
          <w:tab w:val="left" w:leader="dot" w:pos="8931"/>
          <w:tab w:val="right" w:pos="9638"/>
        </w:tabs>
        <w:spacing w:after="120"/>
        <w:ind w:left="1134" w:hanging="1134"/>
      </w:pPr>
      <w:r>
        <w:tab/>
      </w:r>
      <w:r>
        <w:tab/>
      </w:r>
      <w:r w:rsidRPr="00BD082D">
        <w:t xml:space="preserve">Проекты поправок к приложениям А и В к ДОПОГ для вступления в силу </w:t>
      </w:r>
      <w:r>
        <w:br/>
      </w:r>
      <w:r w:rsidRPr="00BD082D">
        <w:t>1 января 2025 года</w:t>
      </w:r>
      <w:r>
        <w:tab/>
      </w:r>
      <w:r w:rsidR="00A1061F">
        <w:tab/>
        <w:t>12</w:t>
      </w:r>
    </w:p>
    <w:p w14:paraId="5D863C03" w14:textId="44C82B0D" w:rsidR="00BD082D" w:rsidRDefault="00BD082D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7E7FB2D2" w14:textId="77777777" w:rsidR="00BD082D" w:rsidRPr="00275586" w:rsidRDefault="00BD082D" w:rsidP="00BD082D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outlineLvl w:val="1"/>
        <w:rPr>
          <w:b/>
          <w:sz w:val="28"/>
          <w:szCs w:val="28"/>
        </w:rPr>
      </w:pPr>
      <w:r>
        <w:rPr>
          <w:b/>
          <w:bCs/>
        </w:rPr>
        <w:lastRenderedPageBreak/>
        <w:tab/>
      </w:r>
      <w:r w:rsidRPr="00275586">
        <w:rPr>
          <w:b/>
          <w:bCs/>
          <w:sz w:val="28"/>
          <w:szCs w:val="28"/>
        </w:rPr>
        <w:t>I.</w:t>
      </w:r>
      <w:r w:rsidRPr="00275586">
        <w:rPr>
          <w:sz w:val="28"/>
          <w:szCs w:val="28"/>
        </w:rPr>
        <w:tab/>
      </w:r>
      <w:r w:rsidRPr="00275586">
        <w:rPr>
          <w:b/>
          <w:bCs/>
          <w:sz w:val="28"/>
          <w:szCs w:val="28"/>
        </w:rPr>
        <w:t>Организационные вопросы и участники</w:t>
      </w:r>
    </w:p>
    <w:p w14:paraId="03FC0EA4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1.</w:t>
      </w:r>
      <w:r>
        <w:tab/>
        <w:t>Рабочая группа по перевозкам опасных грузов провела свою сто двенадцатую сессию 8–11 ноября 2022 года под руководством Председателя г-жи А. Румье (Франция) и заместителя Председателя г-на А. Симони (Италия).</w:t>
      </w:r>
    </w:p>
    <w:p w14:paraId="77CA4FDD" w14:textId="77777777" w:rsidR="00BD082D" w:rsidRPr="00275586" w:rsidRDefault="00BD082D" w:rsidP="00BD082D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outlineLvl w:val="2"/>
        <w:rPr>
          <w:rFonts w:eastAsia="Calibri"/>
          <w:b/>
          <w:sz w:val="24"/>
          <w:szCs w:val="24"/>
        </w:rPr>
      </w:pPr>
      <w:r>
        <w:rPr>
          <w:b/>
          <w:bCs/>
        </w:rPr>
        <w:tab/>
      </w:r>
      <w:r w:rsidRPr="00275586">
        <w:rPr>
          <w:b/>
          <w:bCs/>
          <w:sz w:val="24"/>
          <w:szCs w:val="24"/>
        </w:rPr>
        <w:t>A.</w:t>
      </w:r>
      <w:r w:rsidRPr="00275586">
        <w:rPr>
          <w:sz w:val="24"/>
          <w:szCs w:val="24"/>
        </w:rPr>
        <w:tab/>
      </w:r>
      <w:r w:rsidRPr="00275586">
        <w:rPr>
          <w:b/>
          <w:bCs/>
          <w:sz w:val="24"/>
          <w:szCs w:val="24"/>
        </w:rPr>
        <w:t>Организационные вопросы</w:t>
      </w:r>
    </w:p>
    <w:p w14:paraId="2766CA85" w14:textId="0305FB98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rPr>
          <w:i/>
          <w:iCs/>
        </w:rPr>
        <w:t>Неофициальный документ</w:t>
      </w:r>
      <w:r>
        <w:t>:</w:t>
      </w:r>
      <w:r>
        <w:tab/>
        <w:t>INF.5/Rev.1 (</w:t>
      </w:r>
      <w:r w:rsidR="008970D8">
        <w:t>с</w:t>
      </w:r>
      <w:r>
        <w:t>екретариат)</w:t>
      </w:r>
    </w:p>
    <w:p w14:paraId="2D742643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2.</w:t>
      </w:r>
      <w:r>
        <w:tab/>
        <w:t>Сессия была проведена в смешанном формате — с возможностью участвовать в ней в режиме онлайн или очно — в соответствии с форматом, указанным в неофициальном документе INF.5/Rev.1.</w:t>
      </w:r>
    </w:p>
    <w:p w14:paraId="5BEC98ED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3.</w:t>
      </w:r>
      <w:r>
        <w:tab/>
        <w:t>Рабочая группа отметила, что начиная с 2023 года все заседания будут проводиться в очном режиме и что платформы удаленного синхронного перевода (RSI), в случае запроса, будут платными и могут быть предоставлены только при условии наличия внебюджетного финансирования.</w:t>
      </w:r>
    </w:p>
    <w:p w14:paraId="1EB3ABF8" w14:textId="77777777" w:rsidR="00BD082D" w:rsidRPr="002445D4" w:rsidRDefault="00BD082D" w:rsidP="00BD082D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outlineLvl w:val="2"/>
        <w:rPr>
          <w:rFonts w:eastAsia="Calibri"/>
          <w:b/>
          <w:sz w:val="24"/>
          <w:szCs w:val="24"/>
        </w:rPr>
      </w:pPr>
      <w:r>
        <w:rPr>
          <w:b/>
          <w:bCs/>
        </w:rPr>
        <w:tab/>
      </w:r>
      <w:r w:rsidRPr="002445D4">
        <w:rPr>
          <w:b/>
          <w:bCs/>
          <w:sz w:val="24"/>
          <w:szCs w:val="24"/>
        </w:rPr>
        <w:t>B.</w:t>
      </w:r>
      <w:r w:rsidRPr="002445D4">
        <w:rPr>
          <w:sz w:val="24"/>
          <w:szCs w:val="24"/>
        </w:rPr>
        <w:tab/>
      </w:r>
      <w:r w:rsidRPr="002445D4">
        <w:rPr>
          <w:b/>
          <w:bCs/>
          <w:sz w:val="24"/>
          <w:szCs w:val="24"/>
        </w:rPr>
        <w:t>Участники</w:t>
      </w:r>
    </w:p>
    <w:p w14:paraId="6DD903D6" w14:textId="77777777" w:rsidR="00BD082D" w:rsidRPr="006464FF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4.</w:t>
      </w:r>
      <w:r>
        <w:tab/>
        <w:t>В работе сессии приняли участие представители следующих стран:</w:t>
      </w:r>
      <w:r w:rsidRPr="006464FF">
        <w:t xml:space="preserve"> Австрии, Беларуси, Бельгии, Болгарии, Венгрии, Германии, Грузии, Дании, Испании, Италии, Латвии, Люксембурга, Мальты, Нидерландов, Польши, Российской Федерации, Румынии, Словакии, Словении, Соединенного Королевства, Турции, Финляндии, Франции, Чехии, Швейцарии и Швеции.</w:t>
      </w:r>
    </w:p>
    <w:p w14:paraId="3975122B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5.</w:t>
      </w:r>
      <w:r>
        <w:tab/>
        <w:t>В соответствии с пунктом 11 Положения о круге ведения Европейской экономической комиссии в работе сессии также приняли участие представители Австралии, Иордании и Нигерии. Представитель Нигерии участвовал в работе сессии в качестве полноправного члена при рассмотрении вопросов, касающихся Соглашения о международной дорожной перевозке опасных грузов (ДОПОГ), в соответствии с правилом 1 b) правил процедуры Рабочей группы.</w:t>
      </w:r>
    </w:p>
    <w:p w14:paraId="5B46C4F9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6.</w:t>
      </w:r>
      <w:r>
        <w:tab/>
        <w:t>На сессии был представлен Европейский союз.</w:t>
      </w:r>
    </w:p>
    <w:p w14:paraId="44FF7DFE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7.</w:t>
      </w:r>
      <w:r>
        <w:tab/>
        <w:t>Была представлена следующая межправительственная организация: Межправительственная организация по международным железнодорожным перевозкам (ОТИФ).</w:t>
      </w:r>
    </w:p>
    <w:p w14:paraId="18914494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8.</w:t>
      </w:r>
      <w:r>
        <w:tab/>
        <w:t>Были представлены следующие неправительственные организации: Европейская конфедерация поставщиков топлива (ЕКПТ), Европейская федерация по управлению отходами и природоохранным технологиям (ФЕАД), Европейский совет химической промышленности (ЕСФХП), Международная ассоциация по опасным грузам и контейнерам (АСПОГ),</w:t>
      </w:r>
      <w:r w:rsidRPr="00DE2A28">
        <w:t xml:space="preserve"> </w:t>
      </w:r>
      <w:r>
        <w:t>Международная организация предприятий автомобильной промышленности (МОПАП) и Международный союз автомобильного транспорта (МСАТ). Был также представлен Проект по поддержке транспорта (ППТ) ЕвроМед.</w:t>
      </w:r>
    </w:p>
    <w:p w14:paraId="1800AA4D" w14:textId="77777777" w:rsidR="00BD082D" w:rsidRPr="00221B6A" w:rsidRDefault="00BD082D" w:rsidP="00BD082D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outlineLvl w:val="1"/>
        <w:rPr>
          <w:b/>
          <w:sz w:val="28"/>
          <w:szCs w:val="28"/>
        </w:rPr>
      </w:pPr>
      <w:r w:rsidRPr="00221B6A">
        <w:rPr>
          <w:b/>
          <w:bCs/>
          <w:sz w:val="28"/>
          <w:szCs w:val="28"/>
        </w:rPr>
        <w:tab/>
        <w:t>II.</w:t>
      </w:r>
      <w:r w:rsidRPr="00221B6A">
        <w:rPr>
          <w:sz w:val="28"/>
          <w:szCs w:val="28"/>
        </w:rPr>
        <w:tab/>
      </w:r>
      <w:r w:rsidRPr="00221B6A">
        <w:rPr>
          <w:b/>
          <w:bCs/>
          <w:sz w:val="28"/>
          <w:szCs w:val="28"/>
        </w:rPr>
        <w:t>Утверждение повестки дня (пункт 1 повестки дня)</w:t>
      </w:r>
      <w:bookmarkStart w:id="2" w:name="_Hlk6316889"/>
      <w:bookmarkStart w:id="3" w:name="_Toc499903630"/>
      <w:bookmarkEnd w:id="2"/>
      <w:bookmarkEnd w:id="3"/>
    </w:p>
    <w:p w14:paraId="6C91F8DA" w14:textId="76E0A44C" w:rsidR="00BD082D" w:rsidRPr="00F13EBE" w:rsidRDefault="00BD082D" w:rsidP="00BD082D">
      <w:pPr>
        <w:tabs>
          <w:tab w:val="left" w:pos="1701"/>
          <w:tab w:val="left" w:pos="3402"/>
        </w:tabs>
        <w:spacing w:after="120"/>
        <w:ind w:left="1134" w:right="1134"/>
        <w:jc w:val="both"/>
        <w:rPr>
          <w:rFonts w:eastAsia="SimSun"/>
        </w:rPr>
      </w:pPr>
      <w:r>
        <w:rPr>
          <w:i/>
          <w:iCs/>
        </w:rPr>
        <w:t>Документы</w:t>
      </w:r>
      <w:r>
        <w:t>:</w:t>
      </w:r>
      <w:r>
        <w:tab/>
      </w:r>
      <w:r w:rsidR="00E16A7A">
        <w:tab/>
      </w:r>
      <w:r w:rsidR="00E16A7A">
        <w:tab/>
      </w:r>
      <w:r>
        <w:t>ECE/TRANS/WP.15/259 и Add.1 (секретариат)</w:t>
      </w:r>
    </w:p>
    <w:p w14:paraId="3704BBD5" w14:textId="77777777" w:rsidR="00BD082D" w:rsidRPr="00394990" w:rsidRDefault="00BD082D" w:rsidP="00BD082D">
      <w:pPr>
        <w:tabs>
          <w:tab w:val="left" w:pos="1701"/>
          <w:tab w:val="left" w:pos="3402"/>
        </w:tabs>
        <w:spacing w:after="120"/>
        <w:ind w:left="1134" w:right="1134"/>
        <w:jc w:val="both"/>
        <w:rPr>
          <w:rFonts w:eastAsia="SimSun"/>
        </w:rPr>
      </w:pPr>
      <w:r>
        <w:rPr>
          <w:i/>
          <w:iCs/>
        </w:rPr>
        <w:t>Неофициальные документы</w:t>
      </w:r>
      <w:r>
        <w:t>:</w:t>
      </w:r>
      <w:r>
        <w:tab/>
        <w:t>INF.1, INF.2 и INF.5/Rev.1 (секретариат)</w:t>
      </w:r>
    </w:p>
    <w:p w14:paraId="4BA69EF0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9.</w:t>
      </w:r>
      <w:r>
        <w:tab/>
        <w:t xml:space="preserve">Рабочая группа утвердила подготовленную секретариатом предварительную повестку дня, измененную в соответствии с неофициальным документом INF.2 с целью учета неофициальных документов INF.1–INF.11. </w:t>
      </w:r>
    </w:p>
    <w:p w14:paraId="066FEBE6" w14:textId="77777777" w:rsidR="00BD082D" w:rsidRPr="0071483A" w:rsidRDefault="00BD082D" w:rsidP="00BD082D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outlineLvl w:val="1"/>
        <w:rPr>
          <w:b/>
          <w:sz w:val="28"/>
          <w:szCs w:val="28"/>
        </w:rPr>
      </w:pPr>
      <w:r>
        <w:rPr>
          <w:b/>
          <w:bCs/>
        </w:rPr>
        <w:lastRenderedPageBreak/>
        <w:tab/>
      </w:r>
      <w:r w:rsidRPr="0071483A">
        <w:rPr>
          <w:b/>
          <w:bCs/>
          <w:sz w:val="28"/>
          <w:szCs w:val="28"/>
        </w:rPr>
        <w:t>III.</w:t>
      </w:r>
      <w:r w:rsidRPr="0071483A">
        <w:rPr>
          <w:sz w:val="28"/>
          <w:szCs w:val="28"/>
        </w:rPr>
        <w:tab/>
      </w:r>
      <w:r w:rsidRPr="0071483A">
        <w:rPr>
          <w:b/>
          <w:bCs/>
          <w:sz w:val="28"/>
          <w:szCs w:val="28"/>
        </w:rPr>
        <w:t>Восемьдесят четвертая сессия Комитета по внутреннему транспорту (КВТ) (пункт 2 повестки дня)</w:t>
      </w:r>
    </w:p>
    <w:p w14:paraId="0EB9871D" w14:textId="78652D59" w:rsidR="00BD082D" w:rsidRPr="00394990" w:rsidRDefault="00BD082D" w:rsidP="00E16A7A">
      <w:pPr>
        <w:spacing w:after="120"/>
        <w:ind w:left="3402" w:right="1134" w:hanging="2268"/>
        <w:rPr>
          <w:rFonts w:eastAsia="SimSun"/>
        </w:rPr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ECE/TRANS/316, -/Add.1 и -/Add.2 (Доклад Комитета по</w:t>
      </w:r>
      <w:r w:rsidR="00E16A7A">
        <w:rPr>
          <w:lang w:val="en-US"/>
        </w:rPr>
        <w:t> </w:t>
      </w:r>
      <w:r>
        <w:t>внутреннему транспорту о работе его восемьдесят четвертой сессии)</w:t>
      </w:r>
    </w:p>
    <w:p w14:paraId="7E810B9E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10.</w:t>
      </w:r>
      <w:r>
        <w:tab/>
        <w:t xml:space="preserve">Рабочая группа отметила, что доклад КВТ о работе его восемьдесят четвертой сессии имеется на английском, русском и французском языках. </w:t>
      </w:r>
    </w:p>
    <w:p w14:paraId="37A7B36C" w14:textId="77777777" w:rsidR="00BD082D" w:rsidRPr="00715E7B" w:rsidRDefault="00BD082D" w:rsidP="00BD082D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outlineLvl w:val="1"/>
        <w:rPr>
          <w:b/>
          <w:sz w:val="28"/>
          <w:szCs w:val="28"/>
        </w:rPr>
      </w:pPr>
      <w:r>
        <w:rPr>
          <w:b/>
          <w:bCs/>
        </w:rPr>
        <w:tab/>
      </w:r>
      <w:r w:rsidRPr="00715E7B">
        <w:rPr>
          <w:b/>
          <w:bCs/>
          <w:sz w:val="28"/>
          <w:szCs w:val="28"/>
        </w:rPr>
        <w:t>IV.</w:t>
      </w:r>
      <w:r w:rsidRPr="00715E7B">
        <w:rPr>
          <w:sz w:val="28"/>
          <w:szCs w:val="28"/>
        </w:rPr>
        <w:tab/>
      </w:r>
      <w:r w:rsidRPr="00715E7B">
        <w:rPr>
          <w:b/>
          <w:bCs/>
          <w:sz w:val="28"/>
          <w:szCs w:val="28"/>
        </w:rPr>
        <w:t>Состояние Соглашения о международной дорожной перевозке опасных грузов (ДОПОГ) и связанные с этим вопросы (пункт 3 повестки дня)</w:t>
      </w:r>
    </w:p>
    <w:p w14:paraId="379AF600" w14:textId="77777777" w:rsidR="00BD082D" w:rsidRPr="0064246E" w:rsidRDefault="00BD082D" w:rsidP="00BD082D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outlineLvl w:val="2"/>
        <w:rPr>
          <w:rFonts w:eastAsia="Calibri"/>
          <w:b/>
          <w:sz w:val="24"/>
          <w:szCs w:val="24"/>
        </w:rPr>
      </w:pPr>
      <w:r>
        <w:rPr>
          <w:b/>
          <w:bCs/>
        </w:rPr>
        <w:tab/>
      </w:r>
      <w:r w:rsidRPr="0064246E">
        <w:rPr>
          <w:b/>
          <w:bCs/>
          <w:sz w:val="24"/>
          <w:szCs w:val="24"/>
        </w:rPr>
        <w:t>A.</w:t>
      </w:r>
      <w:r w:rsidRPr="0064246E">
        <w:rPr>
          <w:sz w:val="24"/>
          <w:szCs w:val="24"/>
        </w:rPr>
        <w:tab/>
      </w:r>
      <w:r w:rsidRPr="0064246E">
        <w:rPr>
          <w:b/>
          <w:bCs/>
          <w:sz w:val="24"/>
          <w:szCs w:val="24"/>
        </w:rPr>
        <w:t>Состояние Соглашения</w:t>
      </w:r>
    </w:p>
    <w:p w14:paraId="4EDC2794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11.</w:t>
      </w:r>
      <w:r>
        <w:tab/>
        <w:t>Рабочая группа с удовлетворением отметила присоединение к ДОПОГ Уганды (уведомление депозитария C.N. 278.2022. TREATIES-XI.B.14), в результате чего число договаривающихся сторон достигло 54.</w:t>
      </w:r>
    </w:p>
    <w:p w14:paraId="6EE740D7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12.</w:t>
      </w:r>
      <w:r>
        <w:tab/>
        <w:t>Рабочая группа отметила, что после этого нового присоединения кворум для принятия решений по ДОПОГ составил 18 договаривающихся сторон.</w:t>
      </w:r>
    </w:p>
    <w:p w14:paraId="38AF5D69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13.</w:t>
      </w:r>
      <w:r>
        <w:tab/>
        <w:t xml:space="preserve">Председатель напомнил, что участие в сессиях Рабочей группы является наилучшим способом встретиться с коллегами, поделиться отзывами и обсудить вопросы осуществления и что все страны, являющиеся договаривающимися сторонами ДОПОГ, имеют равные возможности вносить вклад в его дальнейшую разработку посредством представления предложений о поправках и таким образом имеют право голоса в процессе подготовки будущих изменений в правилах. </w:t>
      </w:r>
    </w:p>
    <w:p w14:paraId="3A9F4ECD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14.</w:t>
      </w:r>
      <w:r>
        <w:tab/>
        <w:t>Рабочая группа рекомендовала всем странам, которые являются договаривающимися сторонами ДОПОГ, всем странам, которые желают присоединиться к ДОПОГ, и всем странам, которые применяют или намереваются применять положения приложений к ДОПОГ в качестве национальных правил, принимать участие в ее совещаниях.</w:t>
      </w:r>
    </w:p>
    <w:p w14:paraId="0C9ED728" w14:textId="77777777" w:rsidR="00BD082D" w:rsidRPr="00A7486A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  <w:lang w:eastAsia="zh-CN"/>
        </w:rPr>
      </w:pPr>
      <w:r>
        <w:t>15.</w:t>
      </w:r>
      <w:r>
        <w:tab/>
        <w:t xml:space="preserve">Секретариат отметил, что в разделе 1.8.4 ДОПОГ договаривающимся сторонам предлагается сообщить ЕЭК адреса органов и назначенных ими организаций, обладающих компетенцией, согласно внутригосударственному законодательству, в вопросах применения ДОПОГ. Договаривающимся сторонам было предложено проверить сообщенные секретариату контактные данные компетентных органов, опубликованные на веб-сайте, </w:t>
      </w:r>
      <w:r w:rsidRPr="00394990">
        <w:rPr>
          <w:lang w:val="en-US"/>
        </w:rPr>
        <w:t>URL</w:t>
      </w:r>
      <w:r w:rsidRPr="0090758B">
        <w:t>:</w:t>
      </w:r>
      <w:r w:rsidRPr="00A7486A">
        <w:rPr>
          <w:rFonts w:eastAsia="SimSun"/>
          <w:lang w:eastAsia="zh-CN"/>
        </w:rPr>
        <w:t xml:space="preserve"> </w:t>
      </w:r>
      <w:hyperlink r:id="rId8" w:history="1">
        <w:r w:rsidRPr="00616E74">
          <w:rPr>
            <w:rFonts w:eastAsia="SimSun"/>
            <w:color w:val="0000FF"/>
          </w:rPr>
          <w:t>https</w:t>
        </w:r>
        <w:r w:rsidRPr="00A7486A">
          <w:rPr>
            <w:rFonts w:eastAsia="SimSun"/>
            <w:color w:val="0000FF"/>
          </w:rPr>
          <w:t>://</w:t>
        </w:r>
        <w:r w:rsidRPr="00616E74">
          <w:rPr>
            <w:rFonts w:eastAsia="SimSun"/>
            <w:color w:val="0000FF"/>
          </w:rPr>
          <w:t>unece</w:t>
        </w:r>
        <w:r w:rsidRPr="00A7486A">
          <w:rPr>
            <w:rFonts w:eastAsia="SimSun"/>
            <w:color w:val="0000FF"/>
          </w:rPr>
          <w:t>.</w:t>
        </w:r>
        <w:r w:rsidRPr="00616E74">
          <w:rPr>
            <w:rFonts w:eastAsia="SimSun"/>
            <w:color w:val="0000FF"/>
          </w:rPr>
          <w:t>org</w:t>
        </w:r>
        <w:r w:rsidRPr="00A7486A">
          <w:rPr>
            <w:rFonts w:eastAsia="SimSun"/>
            <w:color w:val="0000FF"/>
          </w:rPr>
          <w:t>/</w:t>
        </w:r>
        <w:r w:rsidRPr="00616E74">
          <w:rPr>
            <w:rFonts w:eastAsia="SimSun"/>
            <w:color w:val="0000FF"/>
          </w:rPr>
          <w:t>transport</w:t>
        </w:r>
        <w:r w:rsidRPr="00A7486A">
          <w:rPr>
            <w:rFonts w:eastAsia="SimSun"/>
            <w:color w:val="0000FF"/>
          </w:rPr>
          <w:t>/</w:t>
        </w:r>
        <w:r w:rsidRPr="00616E74">
          <w:rPr>
            <w:rFonts w:eastAsia="SimSun"/>
            <w:color w:val="0000FF"/>
          </w:rPr>
          <w:t>dangerous</w:t>
        </w:r>
        <w:r w:rsidRPr="00A7486A">
          <w:rPr>
            <w:rFonts w:eastAsia="SimSun"/>
            <w:color w:val="0000FF"/>
          </w:rPr>
          <w:t>-</w:t>
        </w:r>
        <w:r w:rsidRPr="00616E74">
          <w:rPr>
            <w:rFonts w:eastAsia="SimSun"/>
            <w:color w:val="0000FF"/>
          </w:rPr>
          <w:t>goods</w:t>
        </w:r>
        <w:r w:rsidRPr="00A7486A">
          <w:rPr>
            <w:rFonts w:eastAsia="SimSun"/>
            <w:color w:val="0000FF"/>
          </w:rPr>
          <w:t>/</w:t>
        </w:r>
        <w:r w:rsidRPr="00616E74">
          <w:rPr>
            <w:rFonts w:eastAsia="SimSun"/>
            <w:color w:val="0000FF"/>
          </w:rPr>
          <w:t>country</w:t>
        </w:r>
        <w:r w:rsidRPr="00A7486A">
          <w:rPr>
            <w:rFonts w:eastAsia="SimSun"/>
            <w:color w:val="0000FF"/>
          </w:rPr>
          <w:t>-</w:t>
        </w:r>
        <w:r w:rsidRPr="00616E74">
          <w:rPr>
            <w:rFonts w:eastAsia="SimSun"/>
            <w:color w:val="0000FF"/>
          </w:rPr>
          <w:t>information</w:t>
        </w:r>
        <w:r w:rsidRPr="00A7486A">
          <w:rPr>
            <w:rFonts w:eastAsia="SimSun"/>
            <w:color w:val="0000FF"/>
          </w:rPr>
          <w:t>-</w:t>
        </w:r>
        <w:r w:rsidRPr="00616E74">
          <w:rPr>
            <w:rFonts w:eastAsia="SimSun"/>
            <w:color w:val="0000FF"/>
          </w:rPr>
          <w:t>competent</w:t>
        </w:r>
        <w:r w:rsidRPr="00A7486A">
          <w:rPr>
            <w:rFonts w:eastAsia="SimSun"/>
            <w:color w:val="0000FF"/>
          </w:rPr>
          <w:t>-</w:t>
        </w:r>
        <w:r w:rsidRPr="00616E74">
          <w:rPr>
            <w:rFonts w:eastAsia="SimSun"/>
            <w:color w:val="0000FF"/>
          </w:rPr>
          <w:t>authorities</w:t>
        </w:r>
        <w:r w:rsidRPr="00A7486A">
          <w:rPr>
            <w:rFonts w:eastAsia="SimSun"/>
            <w:color w:val="0000FF"/>
          </w:rPr>
          <w:t>-</w:t>
        </w:r>
        <w:r w:rsidRPr="00616E74">
          <w:rPr>
            <w:rFonts w:eastAsia="SimSun"/>
            <w:color w:val="0000FF"/>
          </w:rPr>
          <w:t>notifications</w:t>
        </w:r>
      </w:hyperlink>
      <w:r w:rsidRPr="00A7486A">
        <w:rPr>
          <w:rFonts w:eastAsia="SimSun"/>
          <w:lang w:eastAsia="zh-CN"/>
        </w:rPr>
        <w:t>.</w:t>
      </w:r>
    </w:p>
    <w:p w14:paraId="44B0D45A" w14:textId="77777777" w:rsidR="00BD082D" w:rsidRDefault="00BD082D" w:rsidP="00BD082D">
      <w:pPr>
        <w:spacing w:after="120"/>
        <w:ind w:left="1134" w:right="1134"/>
        <w:jc w:val="both"/>
        <w:rPr>
          <w:lang w:eastAsia="zh-CN"/>
        </w:rPr>
      </w:pPr>
      <w:r>
        <w:t>16.</w:t>
      </w:r>
      <w:r>
        <w:tab/>
        <w:t>Секретариат также напомнил, что компетентные органы должны передавать другую информа</w:t>
      </w:r>
      <w:r w:rsidRPr="00A0739C">
        <w:t xml:space="preserve">цию, </w:t>
      </w:r>
      <w:r w:rsidRPr="00A0739C">
        <w:rPr>
          <w:color w:val="333333"/>
          <w:shd w:val="clear" w:color="auto" w:fill="FFFFFF"/>
        </w:rPr>
        <w:t>полезн</w:t>
      </w:r>
      <w:r>
        <w:rPr>
          <w:color w:val="333333"/>
          <w:shd w:val="clear" w:color="auto" w:fill="FFFFFF"/>
        </w:rPr>
        <w:t>ую</w:t>
      </w:r>
      <w:r w:rsidRPr="00A0739C">
        <w:rPr>
          <w:color w:val="333333"/>
          <w:shd w:val="clear" w:color="auto" w:fill="FFFFFF"/>
        </w:rPr>
        <w:t xml:space="preserve"> для </w:t>
      </w:r>
      <w:r>
        <w:t xml:space="preserve">осуществления ДОПОГ и содействия диалогу и общению между компетентными органами. Это касается, например, перевода письменных инструкций и образцов свидетельств ДОПОГ о подготовке водителя. Секретариат отметил, что сводная таблица с основной информацией, которая должна быть передана в секретариат, </w:t>
      </w:r>
      <w:r w:rsidRPr="0031713E">
        <w:rPr>
          <w:lang w:eastAsia="zh-CN"/>
        </w:rPr>
        <w:t xml:space="preserve">содержится </w:t>
      </w:r>
      <w:r>
        <w:t xml:space="preserve">в приложении к «дорожной карте» </w:t>
      </w:r>
      <w:r w:rsidRPr="0031713E">
        <w:rPr>
          <w:lang w:eastAsia="zh-CN"/>
        </w:rPr>
        <w:t>для присоединения к ДОПОГ и его осуществления</w:t>
      </w:r>
      <w:r>
        <w:t xml:space="preserve"> (см. также пункт 57).</w:t>
      </w:r>
    </w:p>
    <w:p w14:paraId="4ECF4AB9" w14:textId="17FDFBA6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17.</w:t>
      </w:r>
      <w:r>
        <w:tab/>
        <w:t xml:space="preserve">Рабочая группа отметила, что поправки, принятые в течение двух последних лет (ECE/TRANS/WP.15/256 и Corr.1 и ECE/TRANS/WP.15/256/Add.1), были предложены договаривающимся сторонам правительством Франции и сочтены принятыми </w:t>
      </w:r>
      <w:r w:rsidR="00E16A7A">
        <w:br/>
      </w:r>
      <w:r>
        <w:t>для вступления в силу 1 января 2023 года (уведомления депозитария C.N.</w:t>
      </w:r>
      <w:r w:rsidR="00E16A7A">
        <w:rPr>
          <w:lang w:val="en-US"/>
        </w:rPr>
        <w:t> </w:t>
      </w:r>
      <w:r>
        <w:t>171.2022.TREATIES-XI.B.14 от 6 июля 2022 года и C.N.350.2022.TREATIES-XI-B.14 от 13 октября 2022 года).</w:t>
      </w:r>
    </w:p>
    <w:p w14:paraId="017286BC" w14:textId="77777777" w:rsidR="00BD082D" w:rsidRPr="004E5BB3" w:rsidRDefault="00BD082D" w:rsidP="00BD082D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outlineLvl w:val="2"/>
        <w:rPr>
          <w:rFonts w:eastAsia="Calibri"/>
          <w:b/>
          <w:sz w:val="24"/>
          <w:szCs w:val="24"/>
        </w:rPr>
      </w:pPr>
      <w:r>
        <w:rPr>
          <w:b/>
          <w:bCs/>
        </w:rPr>
        <w:lastRenderedPageBreak/>
        <w:tab/>
      </w:r>
      <w:r w:rsidRPr="004E5BB3">
        <w:rPr>
          <w:b/>
          <w:bCs/>
          <w:sz w:val="24"/>
          <w:szCs w:val="24"/>
        </w:rPr>
        <w:t>B.</w:t>
      </w:r>
      <w:r w:rsidRPr="004E5BB3">
        <w:rPr>
          <w:sz w:val="24"/>
          <w:szCs w:val="24"/>
        </w:rPr>
        <w:tab/>
      </w:r>
      <w:r w:rsidRPr="004E5BB3">
        <w:rPr>
          <w:b/>
          <w:bCs/>
          <w:sz w:val="24"/>
          <w:szCs w:val="24"/>
        </w:rPr>
        <w:t>Протокол о внесении поправок 1993 года</w:t>
      </w:r>
    </w:p>
    <w:p w14:paraId="21A78083" w14:textId="77777777" w:rsidR="00BD082D" w:rsidRPr="00F13EBE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18.</w:t>
      </w:r>
      <w:r>
        <w:tab/>
        <w:t>Рабочая группа настоятельно призвала страны, которые еще не сдали на хранение соответствующий юридический документ, необходимый для вступления в силу Протокола 1993 года (Азербайджан, Армения, Беларусь, Босния и Герцеговина, Исландия, Казахстан, Марокко, Нигерия, Сан-Марино, Северная Македония, Таджикистан, Уганда, Хорватия и Черногория), принять необходимые меры с целью ратификации Протокола или присоединения к нему, с тем чтобы он мог как можно скорее вступить в силу.</w:t>
      </w:r>
    </w:p>
    <w:p w14:paraId="31F9ED7F" w14:textId="77777777" w:rsidR="00BD082D" w:rsidRPr="00A85E34" w:rsidRDefault="00BD082D" w:rsidP="00BD082D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outlineLvl w:val="1"/>
        <w:rPr>
          <w:b/>
          <w:sz w:val="28"/>
          <w:szCs w:val="28"/>
        </w:rPr>
      </w:pPr>
      <w:r>
        <w:rPr>
          <w:b/>
          <w:bCs/>
        </w:rPr>
        <w:tab/>
      </w:r>
      <w:r w:rsidRPr="00A85E34">
        <w:rPr>
          <w:b/>
          <w:bCs/>
          <w:sz w:val="28"/>
          <w:szCs w:val="28"/>
        </w:rPr>
        <w:t>V.</w:t>
      </w:r>
      <w:r w:rsidRPr="00A85E34">
        <w:rPr>
          <w:sz w:val="28"/>
          <w:szCs w:val="28"/>
        </w:rPr>
        <w:tab/>
      </w:r>
      <w:r w:rsidRPr="00A85E34">
        <w:rPr>
          <w:b/>
          <w:bCs/>
          <w:sz w:val="28"/>
          <w:szCs w:val="28"/>
        </w:rPr>
        <w:t>Работа Совместного совещания МПОГ/ДОПОГ/ВОПОГ (пункт 4 повестки дня)</w:t>
      </w:r>
    </w:p>
    <w:p w14:paraId="5C18E030" w14:textId="77777777" w:rsidR="00BD082D" w:rsidRPr="00394990" w:rsidRDefault="00BD082D" w:rsidP="00BD082D">
      <w:pPr>
        <w:tabs>
          <w:tab w:val="left" w:pos="1701"/>
          <w:tab w:val="left" w:pos="3402"/>
        </w:tabs>
        <w:spacing w:after="120"/>
        <w:ind w:left="1134" w:right="1134"/>
        <w:jc w:val="both"/>
        <w:rPr>
          <w:rFonts w:eastAsia="SimSun"/>
        </w:rPr>
      </w:pPr>
      <w:r>
        <w:rPr>
          <w:i/>
          <w:iCs/>
        </w:rPr>
        <w:t>Неофициальный документ</w:t>
      </w:r>
      <w:r>
        <w:t>:</w:t>
      </w:r>
      <w:r>
        <w:tab/>
        <w:t>INF.7 (секретариат)</w:t>
      </w:r>
    </w:p>
    <w:p w14:paraId="415D78BA" w14:textId="2A36BA80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19.</w:t>
      </w:r>
      <w:r>
        <w:tab/>
      </w:r>
      <w:r w:rsidRPr="00284E82">
        <w:t xml:space="preserve">Данные поправки были приняты для вступления в силу 1 января 2025 года </w:t>
      </w:r>
      <w:r>
        <w:t>с удалением квадратных скобок вокруг даты публикации стандарта EN 13799:2022 (см.</w:t>
      </w:r>
      <w:r w:rsidR="00E16A7A">
        <w:rPr>
          <w:lang w:val="en-US"/>
        </w:rPr>
        <w:t> </w:t>
      </w:r>
      <w:r>
        <w:t>приложение).</w:t>
      </w:r>
    </w:p>
    <w:p w14:paraId="39ED4D4A" w14:textId="083418EC" w:rsidR="00BD082D" w:rsidRPr="0002736D" w:rsidRDefault="00BD082D" w:rsidP="00BD082D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outlineLvl w:val="1"/>
        <w:rPr>
          <w:b/>
          <w:sz w:val="28"/>
          <w:szCs w:val="28"/>
        </w:rPr>
      </w:pPr>
      <w:r>
        <w:rPr>
          <w:b/>
          <w:bCs/>
        </w:rPr>
        <w:tab/>
      </w:r>
      <w:r w:rsidRPr="0002736D">
        <w:rPr>
          <w:b/>
          <w:bCs/>
          <w:sz w:val="28"/>
          <w:szCs w:val="28"/>
        </w:rPr>
        <w:t>VI.</w:t>
      </w:r>
      <w:r w:rsidRPr="0002736D">
        <w:rPr>
          <w:sz w:val="28"/>
          <w:szCs w:val="28"/>
        </w:rPr>
        <w:tab/>
      </w:r>
      <w:r w:rsidRPr="0002736D">
        <w:rPr>
          <w:b/>
          <w:bCs/>
          <w:sz w:val="28"/>
          <w:szCs w:val="28"/>
        </w:rPr>
        <w:t>Предложения о внесении поправок в приложения A и B к</w:t>
      </w:r>
      <w:r w:rsidR="00E16A7A">
        <w:rPr>
          <w:b/>
          <w:bCs/>
          <w:sz w:val="28"/>
          <w:szCs w:val="28"/>
          <w:lang w:val="en-US"/>
        </w:rPr>
        <w:t> </w:t>
      </w:r>
      <w:r w:rsidRPr="0002736D">
        <w:rPr>
          <w:b/>
          <w:bCs/>
          <w:sz w:val="28"/>
          <w:szCs w:val="28"/>
        </w:rPr>
        <w:t>ДОПОГ (пункт 5 повестки дня)</w:t>
      </w:r>
    </w:p>
    <w:p w14:paraId="5FBAE1ED" w14:textId="77777777" w:rsidR="00BD082D" w:rsidRPr="003C082A" w:rsidRDefault="00BD082D" w:rsidP="00BD082D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rFonts w:eastAsia="Calibri"/>
          <w:b/>
          <w:sz w:val="24"/>
          <w:szCs w:val="24"/>
        </w:rPr>
      </w:pPr>
      <w:r>
        <w:rPr>
          <w:b/>
          <w:bCs/>
        </w:rPr>
        <w:tab/>
      </w:r>
      <w:r w:rsidRPr="003C082A">
        <w:rPr>
          <w:b/>
          <w:bCs/>
          <w:sz w:val="24"/>
          <w:szCs w:val="24"/>
        </w:rPr>
        <w:t>A.</w:t>
      </w:r>
      <w:r w:rsidRPr="003C082A">
        <w:rPr>
          <w:sz w:val="24"/>
          <w:szCs w:val="24"/>
        </w:rPr>
        <w:tab/>
      </w:r>
      <w:r w:rsidRPr="003C082A">
        <w:rPr>
          <w:b/>
          <w:bCs/>
          <w:sz w:val="24"/>
          <w:szCs w:val="24"/>
        </w:rPr>
        <w:t>Конструкция и допущение к перевозке транспортных средств</w:t>
      </w:r>
    </w:p>
    <w:p w14:paraId="1F7A3D55" w14:textId="77777777" w:rsidR="00BD082D" w:rsidRPr="00394990" w:rsidRDefault="00BD082D" w:rsidP="00BD082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outlineLvl w:val="3"/>
        <w:rPr>
          <w:b/>
        </w:rPr>
      </w:pPr>
      <w:r>
        <w:rPr>
          <w:b/>
          <w:bCs/>
        </w:rPr>
        <w:tab/>
        <w:t>1.</w:t>
      </w:r>
      <w:r>
        <w:tab/>
      </w:r>
      <w:r>
        <w:rPr>
          <w:b/>
          <w:bCs/>
        </w:rPr>
        <w:t>Даты публикации стандартов, указанных в пункте 9.2.2.2.2</w:t>
      </w:r>
    </w:p>
    <w:p w14:paraId="2F8F9F80" w14:textId="6AB6050C" w:rsidR="00BD082D" w:rsidRPr="00394990" w:rsidRDefault="00BD082D" w:rsidP="00BD082D">
      <w:pPr>
        <w:spacing w:after="120"/>
        <w:ind w:left="3402" w:right="1134" w:hanging="2268"/>
        <w:jc w:val="both"/>
      </w:pPr>
      <w:r>
        <w:rPr>
          <w:i/>
          <w:iCs/>
        </w:rPr>
        <w:t>Документ</w:t>
      </w:r>
      <w:r>
        <w:t>:</w:t>
      </w:r>
      <w:r>
        <w:tab/>
      </w:r>
      <w:r w:rsidR="00E16A7A">
        <w:tab/>
      </w:r>
      <w:r w:rsidR="00E16A7A">
        <w:tab/>
      </w:r>
      <w:r>
        <w:t>ECE/TRANS/WP.15/2022/8 (секретариат)</w:t>
      </w:r>
    </w:p>
    <w:p w14:paraId="33E6BF20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20.</w:t>
      </w:r>
      <w:r>
        <w:tab/>
        <w:t>Предлагаемая поправка к пункту 9.2.2.2.2 была принята (см. приложение).</w:t>
      </w:r>
    </w:p>
    <w:p w14:paraId="363F0F5C" w14:textId="77777777" w:rsidR="00BD082D" w:rsidRPr="00394990" w:rsidRDefault="00BD082D" w:rsidP="00BD082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outlineLvl w:val="3"/>
        <w:rPr>
          <w:b/>
        </w:rPr>
      </w:pPr>
      <w:r>
        <w:rPr>
          <w:b/>
          <w:bCs/>
        </w:rPr>
        <w:tab/>
        <w:t>2.</w:t>
      </w:r>
      <w:r>
        <w:tab/>
      </w:r>
      <w:r>
        <w:rPr>
          <w:b/>
          <w:bCs/>
        </w:rPr>
        <w:t>Доклад неофициальной рабочей группы по электромобилям</w:t>
      </w:r>
    </w:p>
    <w:p w14:paraId="2C3D0302" w14:textId="6707A250" w:rsidR="00BD082D" w:rsidRPr="00394990" w:rsidRDefault="00BD082D" w:rsidP="00E16A7A">
      <w:pPr>
        <w:spacing w:after="120"/>
        <w:ind w:left="3969" w:right="1134" w:hanging="2835"/>
      </w:pPr>
      <w:r>
        <w:rPr>
          <w:i/>
          <w:iCs/>
        </w:rPr>
        <w:t>Неофициальный документ</w:t>
      </w:r>
      <w:r w:rsidRPr="000C5C36">
        <w:t>:</w:t>
      </w:r>
      <w:r>
        <w:tab/>
        <w:t xml:space="preserve">INF.6 (Нидерланды от имени неофициальной </w:t>
      </w:r>
      <w:r>
        <w:tab/>
        <w:t>рабочей группы по электромобилям)</w:t>
      </w:r>
    </w:p>
    <w:p w14:paraId="3BA91B40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Calibri"/>
        </w:rPr>
      </w:pPr>
      <w:r>
        <w:t>21.</w:t>
      </w:r>
      <w:r>
        <w:tab/>
        <w:t xml:space="preserve">Представитель Нидерландов в качестве Председателя неофициальной рабочей группы по электромобилям представил доклад о ходе ее работы. </w:t>
      </w:r>
    </w:p>
    <w:p w14:paraId="61873094" w14:textId="77777777" w:rsidR="00BD082D" w:rsidRPr="00394990" w:rsidRDefault="00BD082D" w:rsidP="00BD082D">
      <w:pPr>
        <w:spacing w:after="120"/>
        <w:ind w:left="1134" w:right="1134"/>
        <w:jc w:val="both"/>
        <w:rPr>
          <w:rFonts w:eastAsia="Calibri"/>
        </w:rPr>
      </w:pPr>
      <w:r>
        <w:t>22.</w:t>
      </w:r>
      <w:r>
        <w:tab/>
        <w:t>Рабочая группа подтвердила подход, предложенный неофициальной рабочей группой, а именно:</w:t>
      </w:r>
    </w:p>
    <w:p w14:paraId="1A5F7ECD" w14:textId="77777777" w:rsidR="00BD082D" w:rsidRPr="00394990" w:rsidRDefault="00BD082D" w:rsidP="00BD082D">
      <w:pPr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napToGrid w:val="0"/>
        <w:spacing w:after="120"/>
        <w:ind w:right="1134"/>
        <w:jc w:val="both"/>
        <w:rPr>
          <w:rFonts w:eastAsia="Calibri"/>
        </w:rPr>
      </w:pPr>
      <w:r>
        <w:t>включить в ДОПОГ общие цели обеспечения безопасности для использования аккумуляторных электромобилей в качестве транспортных средств FL и для использования транспортных средств, работающих на водороде, для перевозки опасных грузов;</w:t>
      </w:r>
    </w:p>
    <w:p w14:paraId="5C903A90" w14:textId="77777777" w:rsidR="00BD082D" w:rsidRPr="00993229" w:rsidRDefault="00BD082D" w:rsidP="00BD082D">
      <w:pPr>
        <w:numPr>
          <w:ilvl w:val="0"/>
          <w:numId w:val="23"/>
        </w:numPr>
        <w:kinsoku w:val="0"/>
        <w:overflowPunct w:val="0"/>
        <w:autoSpaceDE w:val="0"/>
        <w:autoSpaceDN w:val="0"/>
        <w:adjustRightInd w:val="0"/>
        <w:snapToGrid w:val="0"/>
        <w:spacing w:after="120"/>
        <w:ind w:right="1134"/>
        <w:jc w:val="both"/>
        <w:rPr>
          <w:rFonts w:eastAsia="Calibri"/>
        </w:rPr>
      </w:pPr>
      <w:r>
        <w:t>предложить Всемирному форуму для согласования правил в области транспортных средств (WP.29) внести поправки в Правила ООН № 100 и № 134 для дополнения требований к конструкции этих транспортных средств</w:t>
      </w:r>
      <w:r w:rsidRPr="00993229">
        <w:rPr>
          <w:lang w:eastAsia="zh-CN"/>
        </w:rPr>
        <w:t>, чтобы обеспечить возможность их использования для этих целей</w:t>
      </w:r>
      <w:r>
        <w:t>.</w:t>
      </w:r>
    </w:p>
    <w:p w14:paraId="24239A14" w14:textId="77777777" w:rsidR="00BD082D" w:rsidRPr="00F13EBE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Calibri"/>
        </w:rPr>
      </w:pPr>
      <w:r>
        <w:t>23.</w:t>
      </w:r>
      <w:r>
        <w:tab/>
        <w:t xml:space="preserve">Представитель ЕСФХП сообщил о текущей работе </w:t>
      </w:r>
      <w:r w:rsidRPr="007A687A">
        <w:rPr>
          <w:lang w:eastAsia="zh-CN"/>
        </w:rPr>
        <w:t>в подгруппе</w:t>
      </w:r>
      <w:r>
        <w:t xml:space="preserve"> пользователей и о вызывающих наибольшую обеспокоенность сценариях, связанных с использованием аккумуляторных электромобилей и транспортных средств,</w:t>
      </w:r>
      <w:r w:rsidRPr="008A2E93">
        <w:t xml:space="preserve"> </w:t>
      </w:r>
      <w:r>
        <w:t>работающих на водороде, ответственными за наполнение, разгрузчиками, перевозчиками и грузоотправителями.</w:t>
      </w:r>
    </w:p>
    <w:p w14:paraId="04DABD19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Calibri"/>
        </w:rPr>
      </w:pPr>
      <w:r>
        <w:t>24.</w:t>
      </w:r>
      <w:r>
        <w:tab/>
        <w:t>Рабочая группа призвала неофициальную рабочую группу и ее подгруппы продолжать свою работу.</w:t>
      </w:r>
    </w:p>
    <w:p w14:paraId="569514AA" w14:textId="2AEAD492" w:rsidR="00BD082D" w:rsidRPr="00F13EBE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Calibri"/>
        </w:rPr>
      </w:pPr>
      <w:r>
        <w:t>25.</w:t>
      </w:r>
      <w:r>
        <w:tab/>
        <w:t xml:space="preserve">Рабочая группа отметила, что в рамках WP.29 ведется работа, имеющая </w:t>
      </w:r>
      <w:r w:rsidR="00E16A7A">
        <w:br/>
      </w:r>
      <w:r>
        <w:t xml:space="preserve">целью </w:t>
      </w:r>
      <w:r w:rsidRPr="00A6527B">
        <w:rPr>
          <w:lang w:eastAsia="zh-CN"/>
        </w:rPr>
        <w:t>опублик</w:t>
      </w:r>
      <w:r>
        <w:rPr>
          <w:lang w:eastAsia="zh-CN"/>
        </w:rPr>
        <w:t>ов</w:t>
      </w:r>
      <w:r>
        <w:t xml:space="preserve">ание к 2025 году правил, касающихся использования </w:t>
      </w:r>
      <w:r>
        <w:lastRenderedPageBreak/>
        <w:t>высокоавтоматизированных транспортных средств и автономных транспортных средств. Рабочей группе, возможно, придется в ближайшем будущем определить свою позицию по вопросу об использовании этих транспортных средств для перевозки опасных грузов.</w:t>
      </w:r>
    </w:p>
    <w:p w14:paraId="30469A85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Calibri"/>
        </w:rPr>
      </w:pPr>
      <w:r>
        <w:t>26.</w:t>
      </w:r>
      <w:r>
        <w:tab/>
        <w:t xml:space="preserve">Рабочая группа отметила, что </w:t>
      </w:r>
      <w:r w:rsidRPr="00270891">
        <w:rPr>
          <w:lang w:eastAsia="zh-CN"/>
        </w:rPr>
        <w:t xml:space="preserve">в пределах </w:t>
      </w:r>
      <w:r>
        <w:t xml:space="preserve">Европейского союза новые транспортные средства должны </w:t>
      </w:r>
      <w:r w:rsidRPr="009E41DC">
        <w:rPr>
          <w:lang w:eastAsia="zh-CN"/>
        </w:rPr>
        <w:t>быть оборудованы</w:t>
      </w:r>
      <w:r>
        <w:t xml:space="preserve"> системой электронного контроля устойчивости и что, возможно, </w:t>
      </w:r>
      <w:r w:rsidRPr="0072007A">
        <w:rPr>
          <w:lang w:eastAsia="zh-CN"/>
        </w:rPr>
        <w:t>стоит</w:t>
      </w:r>
      <w:r>
        <w:t xml:space="preserve"> ввести аналогичные требования в ДОПОГ, чтобы распространить это обязательство на все страны, являющиеся договаривающимися сторонами ДОПОГ.</w:t>
      </w:r>
    </w:p>
    <w:p w14:paraId="1FA2B536" w14:textId="77777777" w:rsidR="00BD082D" w:rsidRPr="00394990" w:rsidRDefault="00BD082D" w:rsidP="00BD082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outlineLvl w:val="3"/>
        <w:rPr>
          <w:b/>
        </w:rPr>
      </w:pPr>
      <w:r>
        <w:rPr>
          <w:b/>
          <w:bCs/>
        </w:rPr>
        <w:tab/>
        <w:t>3.</w:t>
      </w:r>
      <w:r>
        <w:tab/>
      </w:r>
      <w:r>
        <w:rPr>
          <w:b/>
          <w:bCs/>
        </w:rPr>
        <w:t>Правила № 105 ООН</w:t>
      </w:r>
    </w:p>
    <w:p w14:paraId="400EAABD" w14:textId="63124853" w:rsidR="00BD082D" w:rsidRPr="00394990" w:rsidRDefault="00BD082D" w:rsidP="00BD082D">
      <w:pPr>
        <w:spacing w:after="120"/>
        <w:ind w:left="1134" w:right="1134"/>
        <w:jc w:val="both"/>
      </w:pPr>
      <w:r>
        <w:t>27.</w:t>
      </w:r>
      <w:r>
        <w:tab/>
        <w:t xml:space="preserve">МОПАП представила Рабочей группе WP.29 по общим предписаниям, касающимся безопасности (GRSG), предложение о </w:t>
      </w:r>
      <w:r w:rsidRPr="004D7AE3">
        <w:rPr>
          <w:lang w:eastAsia="zh-CN"/>
        </w:rPr>
        <w:t>приведении положений Правил</w:t>
      </w:r>
      <w:r w:rsidR="00E16A7A">
        <w:rPr>
          <w:lang w:val="en-US" w:eastAsia="zh-CN"/>
        </w:rPr>
        <w:t> </w:t>
      </w:r>
      <w:r w:rsidRPr="004D7AE3">
        <w:rPr>
          <w:lang w:eastAsia="zh-CN"/>
        </w:rPr>
        <w:t>№</w:t>
      </w:r>
      <w:r w:rsidR="00E16A7A">
        <w:rPr>
          <w:lang w:val="en-US" w:eastAsia="zh-CN"/>
        </w:rPr>
        <w:t> </w:t>
      </w:r>
      <w:r w:rsidRPr="004D7AE3">
        <w:rPr>
          <w:lang w:eastAsia="zh-CN"/>
        </w:rPr>
        <w:t xml:space="preserve">105 в соответствие </w:t>
      </w:r>
      <w:r>
        <w:t>с положениями нового издания ДОПОГ 2023 года (см.</w:t>
      </w:r>
      <w:r w:rsidR="00E16A7A">
        <w:rPr>
          <w:lang w:val="en-US"/>
        </w:rPr>
        <w:t> </w:t>
      </w:r>
      <w:r>
        <w:t>ECE/TRANS/WP.29/GRSG/2022/29). GRSG одобрила это предложение с исправлениями, содержащимися в неофициальном документе № GRSG-124-18.</w:t>
      </w:r>
    </w:p>
    <w:p w14:paraId="0DB8F180" w14:textId="77777777" w:rsidR="00BD082D" w:rsidRPr="00394990" w:rsidRDefault="00BD082D" w:rsidP="00BD082D">
      <w:pPr>
        <w:spacing w:after="120"/>
        <w:ind w:left="1134" w:right="1134"/>
        <w:jc w:val="both"/>
      </w:pPr>
      <w:r>
        <w:t>28.</w:t>
      </w:r>
      <w:r>
        <w:tab/>
        <w:t xml:space="preserve">Рабочая группа отметила, что это предложение будет представлено сессии WP.29 </w:t>
      </w:r>
      <w:r w:rsidRPr="00A54F6E">
        <w:rPr>
          <w:lang w:eastAsia="zh-CN"/>
        </w:rPr>
        <w:t>в марте 2023 года для принятия.</w:t>
      </w:r>
    </w:p>
    <w:p w14:paraId="0B157101" w14:textId="77777777" w:rsidR="00BD082D" w:rsidRPr="00394990" w:rsidRDefault="00BD082D" w:rsidP="00BD082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outlineLvl w:val="3"/>
        <w:rPr>
          <w:b/>
        </w:rPr>
      </w:pPr>
      <w:r>
        <w:rPr>
          <w:b/>
          <w:bCs/>
        </w:rPr>
        <w:tab/>
        <w:t>4.</w:t>
      </w:r>
      <w:r>
        <w:tab/>
      </w:r>
      <w:r>
        <w:rPr>
          <w:b/>
          <w:bCs/>
        </w:rPr>
        <w:t>Руководящие указания по определению даты первой регистрации дорожных транспортных средств</w:t>
      </w:r>
    </w:p>
    <w:p w14:paraId="509CDB00" w14:textId="77777777" w:rsidR="00BD082D" w:rsidRPr="00394990" w:rsidRDefault="00BD082D" w:rsidP="00BD082D">
      <w:pPr>
        <w:spacing w:after="120"/>
        <w:ind w:left="1134" w:right="1134"/>
        <w:jc w:val="both"/>
      </w:pPr>
      <w:r>
        <w:t>29.</w:t>
      </w:r>
      <w:r>
        <w:tab/>
        <w:t xml:space="preserve">На своей сто десятой сессии Рабочая группа по перевозкам опасных грузов (WP.15) приняла (ECE/TRANS/WP.15/255, п. 69 и приложение IV) руководящие указания по определению даты первой регистрации дорожных транспортных средств (или даты ввода в эксплуатацию, если регистрация не является обязательной) для перевозки опасных грузов в соответствии с требованиями главы 9.2. </w:t>
      </w:r>
    </w:p>
    <w:p w14:paraId="2C8A6C36" w14:textId="4F6D80D4" w:rsidR="00BD082D" w:rsidRPr="00394990" w:rsidRDefault="00BD082D" w:rsidP="00BD082D">
      <w:pPr>
        <w:spacing w:after="120"/>
        <w:ind w:left="1134" w:right="1134"/>
        <w:jc w:val="both"/>
      </w:pPr>
      <w:r>
        <w:t>30.</w:t>
      </w:r>
      <w:r>
        <w:tab/>
        <w:t xml:space="preserve">Рабочая группа отметила, что руководящие указания были опубликованы </w:t>
      </w:r>
      <w:r w:rsidR="00E16A7A">
        <w:br/>
      </w:r>
      <w:r>
        <w:t xml:space="preserve">на специальной странице веб-сайта ЕЭК </w:t>
      </w:r>
      <w:r w:rsidRPr="00806FA3">
        <w:t>(</w:t>
      </w:r>
      <w:hyperlink r:id="rId9" w:history="1">
        <w:r w:rsidRPr="00E16A7A">
          <w:rPr>
            <w:color w:val="0000FF"/>
            <w:spacing w:val="-4"/>
          </w:rPr>
          <w:t>https://unece.org/guidelines-telematics-application-standards-construction-and-approval-vehicles-calculation-risks</w:t>
        </w:r>
      </w:hyperlink>
      <w:r w:rsidRPr="00E16A7A">
        <w:rPr>
          <w:spacing w:val="-4"/>
        </w:rPr>
        <w:t xml:space="preserve">) с исправлением </w:t>
      </w:r>
      <w:r w:rsidRPr="00BE09DD">
        <w:t>в варианте на английском языке</w:t>
      </w:r>
      <w:r>
        <w:t>,</w:t>
      </w:r>
      <w:r w:rsidRPr="00D409F2">
        <w:rPr>
          <w:lang w:eastAsia="zh-CN"/>
        </w:rPr>
        <w:t xml:space="preserve"> где</w:t>
      </w:r>
      <w:r w:rsidRPr="00BE09DD">
        <w:t xml:space="preserve"> слова «date of entry into service if registration </w:t>
      </w:r>
      <w:r w:rsidRPr="00BE09DD">
        <w:rPr>
          <w:u w:val="single"/>
        </w:rPr>
        <w:t>is</w:t>
      </w:r>
      <w:r w:rsidRPr="00BE09DD">
        <w:t xml:space="preserve"> mandatory» были заменены словами «date of entry into service if registration </w:t>
      </w:r>
      <w:r w:rsidRPr="00BE09DD">
        <w:rPr>
          <w:u w:val="single"/>
        </w:rPr>
        <w:t>is not</w:t>
      </w:r>
      <w:r w:rsidRPr="00BE09DD">
        <w:t xml:space="preserve"> mandatory» (</w:t>
      </w:r>
      <w:r>
        <w:t>«</w:t>
      </w:r>
      <w:r w:rsidRPr="00BE09DD">
        <w:t xml:space="preserve">даты ввода в эксплуатацию, если регистрация </w:t>
      </w:r>
      <w:r w:rsidRPr="002B2BBC">
        <w:rPr>
          <w:u w:val="single"/>
        </w:rPr>
        <w:t>не является</w:t>
      </w:r>
      <w:r w:rsidRPr="00BE09DD">
        <w:t xml:space="preserve"> обязательной</w:t>
      </w:r>
      <w:r>
        <w:t>»</w:t>
      </w:r>
      <w:r w:rsidRPr="00BE09DD">
        <w:t>).</w:t>
      </w:r>
    </w:p>
    <w:p w14:paraId="55662BF5" w14:textId="77777777" w:rsidR="00BD082D" w:rsidRPr="006D7FFC" w:rsidRDefault="00BD082D" w:rsidP="00BD082D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outlineLvl w:val="2"/>
        <w:rPr>
          <w:rFonts w:eastAsia="Calibri"/>
          <w:b/>
          <w:sz w:val="24"/>
          <w:szCs w:val="24"/>
        </w:rPr>
      </w:pPr>
      <w:r>
        <w:rPr>
          <w:b/>
          <w:bCs/>
        </w:rPr>
        <w:tab/>
      </w:r>
      <w:r w:rsidRPr="006D7FFC">
        <w:rPr>
          <w:b/>
          <w:bCs/>
          <w:sz w:val="24"/>
          <w:szCs w:val="24"/>
        </w:rPr>
        <w:t>B.</w:t>
      </w:r>
      <w:r w:rsidRPr="006D7FFC">
        <w:rPr>
          <w:sz w:val="24"/>
          <w:szCs w:val="24"/>
        </w:rPr>
        <w:tab/>
      </w:r>
      <w:r w:rsidRPr="006D7FFC">
        <w:rPr>
          <w:b/>
          <w:bCs/>
          <w:sz w:val="24"/>
          <w:szCs w:val="24"/>
        </w:rPr>
        <w:t>Различные предложения</w:t>
      </w:r>
    </w:p>
    <w:p w14:paraId="4BB135C3" w14:textId="6641FD3B" w:rsidR="00BD082D" w:rsidRPr="00394990" w:rsidRDefault="00BD082D" w:rsidP="00BD082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outlineLvl w:val="3"/>
        <w:rPr>
          <w:b/>
        </w:rPr>
      </w:pPr>
      <w:r>
        <w:rPr>
          <w:b/>
          <w:bCs/>
        </w:rPr>
        <w:tab/>
        <w:t>1.</w:t>
      </w:r>
      <w:r>
        <w:tab/>
      </w:r>
      <w:r>
        <w:rPr>
          <w:b/>
          <w:bCs/>
        </w:rPr>
        <w:t>Освобождение опасных грузов, отнесенных к транспортной категории 4, от</w:t>
      </w:r>
      <w:r w:rsidR="00E16A7A">
        <w:rPr>
          <w:b/>
          <w:bCs/>
          <w:lang w:val="en-US"/>
        </w:rPr>
        <w:t> </w:t>
      </w:r>
      <w:r>
        <w:rPr>
          <w:b/>
          <w:bCs/>
        </w:rPr>
        <w:t>действия ограничений на проезд через туннели</w:t>
      </w:r>
    </w:p>
    <w:p w14:paraId="686858EC" w14:textId="77777777" w:rsidR="00BD082D" w:rsidRPr="00F13EBE" w:rsidRDefault="00BD082D" w:rsidP="00E16A7A">
      <w:pPr>
        <w:tabs>
          <w:tab w:val="left" w:pos="1701"/>
          <w:tab w:val="left" w:pos="2552"/>
        </w:tabs>
        <w:spacing w:after="120"/>
        <w:ind w:left="1134" w:right="1134"/>
        <w:jc w:val="both"/>
        <w:rPr>
          <w:rFonts w:eastAsia="SimSun"/>
        </w:rPr>
      </w:pPr>
      <w:r>
        <w:rPr>
          <w:i/>
          <w:iCs/>
        </w:rPr>
        <w:t>Документ</w:t>
      </w:r>
      <w:r>
        <w:t>:</w:t>
      </w:r>
      <w:r>
        <w:tab/>
        <w:t>ECE/TRANS/WP.15/2022/6 (Турция)</w:t>
      </w:r>
    </w:p>
    <w:p w14:paraId="062842D5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31.</w:t>
      </w:r>
      <w:r>
        <w:tab/>
        <w:t>Предложение Турции не получило поддержки.</w:t>
      </w:r>
    </w:p>
    <w:p w14:paraId="5198AAD6" w14:textId="77777777" w:rsidR="00BD082D" w:rsidRPr="00F13EBE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32.</w:t>
      </w:r>
      <w:r>
        <w:tab/>
        <w:t xml:space="preserve">Рабочая группа подтвердила, что код ограничения проезда через туннели «(E)» для перечисленных позиций является оправданным на основании видов опасности, связанных с перевозкой этих грузов в туннелях вне рамок режима освобождения, предусмотренного подразделом 1.1.3.6. </w:t>
      </w:r>
    </w:p>
    <w:p w14:paraId="68DEBC31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33.</w:t>
      </w:r>
      <w:r>
        <w:tab/>
        <w:t>Рабочая группа отметила, что,</w:t>
      </w:r>
      <w:r w:rsidRPr="005C159E">
        <w:t xml:space="preserve"> </w:t>
      </w:r>
      <w:r>
        <w:t>возможно, необходимо будет изменить формулировки пунктов 1.9.5.3.6 и 8.6.3.3, чтобы уточнить, что ограничения проезда через туннели остаются применимыми к перевозке грузов, отнесенных к позициям, перечисленным в пункте 1.1.3.6.2, вне рамок режима освобождения, предусмотренного подразделом 1.1.3.6.</w:t>
      </w:r>
    </w:p>
    <w:p w14:paraId="43E68595" w14:textId="77777777" w:rsidR="00BD082D" w:rsidRPr="00394990" w:rsidRDefault="00BD082D" w:rsidP="00BD082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outlineLvl w:val="3"/>
        <w:rPr>
          <w:b/>
        </w:rPr>
      </w:pPr>
      <w:r>
        <w:rPr>
          <w:b/>
          <w:bCs/>
        </w:rPr>
        <w:tab/>
        <w:t>2.</w:t>
      </w:r>
      <w:r>
        <w:tab/>
      </w:r>
      <w:r>
        <w:rPr>
          <w:b/>
          <w:bCs/>
        </w:rPr>
        <w:t>Раздел 9.1.3 — Свидетельство о допущении к перевозк</w:t>
      </w:r>
      <w:r w:rsidRPr="000C7D23">
        <w:rPr>
          <w:b/>
          <w:bCs/>
        </w:rPr>
        <w:t>е транспортных средств</w:t>
      </w:r>
    </w:p>
    <w:p w14:paraId="7D9F808A" w14:textId="11441A7E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rPr>
          <w:i/>
          <w:iCs/>
        </w:rPr>
        <w:t>Документ</w:t>
      </w:r>
      <w:r>
        <w:t>:</w:t>
      </w:r>
      <w:r>
        <w:tab/>
      </w:r>
      <w:r w:rsidR="00E16A7A">
        <w:tab/>
      </w:r>
      <w:r w:rsidR="00E16A7A">
        <w:tab/>
      </w:r>
      <w:r w:rsidR="00E16A7A">
        <w:tab/>
      </w:r>
      <w:r w:rsidR="00E16A7A">
        <w:tab/>
      </w:r>
      <w:r>
        <w:t>ECE/TRANS/WP.15/2022/7 (Польша)</w:t>
      </w:r>
    </w:p>
    <w:p w14:paraId="6B131F0C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  <w:i/>
          <w:iCs/>
        </w:rPr>
      </w:pPr>
      <w:r>
        <w:rPr>
          <w:i/>
          <w:iCs/>
        </w:rPr>
        <w:t>Неофициальный документ</w:t>
      </w:r>
      <w:r>
        <w:t>:</w:t>
      </w:r>
      <w:r>
        <w:tab/>
        <w:t>INF.10 (Нидерланды)</w:t>
      </w:r>
    </w:p>
    <w:p w14:paraId="579B055F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  <w:i/>
          <w:iCs/>
        </w:rPr>
      </w:pPr>
      <w:r>
        <w:lastRenderedPageBreak/>
        <w:t>34.</w:t>
      </w:r>
      <w:r>
        <w:tab/>
        <w:t>Рабочая группа приняла альтернативное предложение, содержащееся в неофициальном документе INF.10, с поправкой, предусматривающей включение цифровых средств защиты (см. приложение).</w:t>
      </w:r>
    </w:p>
    <w:p w14:paraId="7129EAA5" w14:textId="6503E9A1" w:rsidR="00BD082D" w:rsidRPr="00394990" w:rsidRDefault="00BD082D" w:rsidP="00BD082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outlineLvl w:val="3"/>
        <w:rPr>
          <w:b/>
        </w:rPr>
      </w:pPr>
      <w:r>
        <w:rPr>
          <w:b/>
          <w:bCs/>
        </w:rPr>
        <w:tab/>
        <w:t>3.</w:t>
      </w:r>
      <w:r>
        <w:tab/>
      </w:r>
      <w:r>
        <w:rPr>
          <w:b/>
          <w:bCs/>
        </w:rPr>
        <w:t xml:space="preserve">Новые положения по цистернам из армированных волокном пластмасс </w:t>
      </w:r>
      <w:r w:rsidR="00E16A7A">
        <w:rPr>
          <w:rFonts w:cs="Times New Roman"/>
          <w:b/>
          <w:bCs/>
        </w:rPr>
        <w:t>—</w:t>
      </w:r>
      <w:r>
        <w:rPr>
          <w:b/>
          <w:bCs/>
        </w:rPr>
        <w:t xml:space="preserve"> сопутствующие поправки</w:t>
      </w:r>
    </w:p>
    <w:p w14:paraId="701BB3AD" w14:textId="616671DD" w:rsidR="00BD082D" w:rsidRPr="00F13EBE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  <w:i/>
          <w:iCs/>
        </w:rPr>
      </w:pPr>
      <w:r>
        <w:rPr>
          <w:i/>
          <w:iCs/>
        </w:rPr>
        <w:t>Документ</w:t>
      </w:r>
      <w:r>
        <w:t>:</w:t>
      </w:r>
      <w:r>
        <w:tab/>
      </w:r>
      <w:r w:rsidR="00E16A7A">
        <w:tab/>
      </w:r>
      <w:r w:rsidR="00E16A7A">
        <w:tab/>
      </w:r>
      <w:r w:rsidR="00E16A7A">
        <w:tab/>
      </w:r>
      <w:r w:rsidR="00E16A7A">
        <w:tab/>
      </w:r>
      <w:r>
        <w:t>ECE/TRANS/WP.15/2022/10 (секретариат)</w:t>
      </w:r>
    </w:p>
    <w:p w14:paraId="71C8D7E0" w14:textId="77777777" w:rsidR="00BD082D" w:rsidRPr="00394990" w:rsidRDefault="00BD082D" w:rsidP="00BD082D">
      <w:pPr>
        <w:tabs>
          <w:tab w:val="left" w:pos="2977"/>
        </w:tabs>
        <w:spacing w:after="120"/>
        <w:ind w:left="1134" w:right="1134"/>
        <w:jc w:val="both"/>
        <w:rPr>
          <w:rFonts w:eastAsia="SimSun"/>
        </w:rPr>
      </w:pPr>
      <w:r>
        <w:rPr>
          <w:i/>
          <w:iCs/>
        </w:rPr>
        <w:t>Неофициальные документы</w:t>
      </w:r>
      <w:r>
        <w:t>:</w:t>
      </w:r>
      <w:r>
        <w:tab/>
        <w:t>INF.3 (секретариат), INF.9 (Польша)</w:t>
      </w:r>
    </w:p>
    <w:p w14:paraId="410E9919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35.</w:t>
      </w:r>
      <w:r>
        <w:tab/>
        <w:t>Рабочая группа приняла предложение 1 об изменении названия главы 4.4 с одной редакционной поправкой (см. приложение).</w:t>
      </w:r>
    </w:p>
    <w:p w14:paraId="68141D23" w14:textId="77777777" w:rsidR="00BD082D" w:rsidRPr="00F13EBE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36.</w:t>
      </w:r>
      <w:r>
        <w:tab/>
        <w:t>Председатель подтвердила, что дата 1 июля 2033 года, указанная в переходной мере 1.6.4.59, действующей с 1 января 2023 года, является датой, которая была принята Совместным совещанием на основании предложения Рабочей группы по цистернам, чтобы разрешить изготовление контейнеров-цистерн в соответствии с требованиями главы 6.9, применимыми до 31 декабря 2022 года, и их</w:t>
      </w:r>
      <w:r w:rsidRPr="00E6766B">
        <w:t xml:space="preserve"> </w:t>
      </w:r>
      <w:r>
        <w:t>использование.</w:t>
      </w:r>
    </w:p>
    <w:p w14:paraId="66AEA560" w14:textId="37C6AA6B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ascii="TimesNewRomanPSMT" w:eastAsia="SimSun" w:hAnsi="TimesNewRomanPSMT" w:cs="TimesNewRomanPSMT"/>
        </w:rPr>
      </w:pPr>
      <w:r>
        <w:t>37.</w:t>
      </w:r>
      <w:r>
        <w:tab/>
        <w:t>Рабочая группа подтвердила, что положения главы 4.4, действующие до 31</w:t>
      </w:r>
      <w:r w:rsidR="00E16A7A">
        <w:rPr>
          <w:lang w:val="en-US"/>
        </w:rPr>
        <w:t> </w:t>
      </w:r>
      <w:r>
        <w:t>декабря 2022 года, остаются применимыми к контейнерам-цистернам из армированных волокном пластмасс, используемым в соответствии с переходной мерой 1.6.4.59. Данное толкование будет опубликовано на соответствующей странице веб-сайта ЕЭК.</w:t>
      </w:r>
    </w:p>
    <w:p w14:paraId="550B2FA9" w14:textId="0956BB50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38.</w:t>
      </w:r>
      <w:r>
        <w:tab/>
        <w:t>Исходя из этого Рабочая группа приняла предложенную поправку к пункту</w:t>
      </w:r>
      <w:r w:rsidR="00E16A7A">
        <w:rPr>
          <w:lang w:val="en-US"/>
        </w:rPr>
        <w:t> </w:t>
      </w:r>
      <w:r>
        <w:t>1.6.4.59, изложенную в неофициальном документе INF.9, за исключением крайней даты применения, которой останется 1 июля 2033 года (см. приложение).</w:t>
      </w:r>
    </w:p>
    <w:p w14:paraId="293053CB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39.</w:t>
      </w:r>
      <w:r>
        <w:tab/>
        <w:t xml:space="preserve">Рабочая группа также приняла сопутствующую поправку к пояснительному примечанию по колонке 10 таблицы А, предложенную в неофициальном документе INF.3 (см. приложение). </w:t>
      </w:r>
    </w:p>
    <w:p w14:paraId="3E0B4DB7" w14:textId="77777777" w:rsidR="00BD082D" w:rsidRPr="00DD5507" w:rsidRDefault="00BD082D" w:rsidP="00BD082D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outlineLvl w:val="1"/>
        <w:rPr>
          <w:b/>
          <w:sz w:val="28"/>
          <w:szCs w:val="28"/>
        </w:rPr>
      </w:pPr>
      <w:r>
        <w:rPr>
          <w:b/>
          <w:bCs/>
        </w:rPr>
        <w:tab/>
      </w:r>
      <w:r w:rsidRPr="00DD5507">
        <w:rPr>
          <w:b/>
          <w:bCs/>
          <w:sz w:val="28"/>
          <w:szCs w:val="28"/>
        </w:rPr>
        <w:t>VII.</w:t>
      </w:r>
      <w:r w:rsidRPr="00DD5507">
        <w:rPr>
          <w:sz w:val="28"/>
          <w:szCs w:val="28"/>
        </w:rPr>
        <w:tab/>
      </w:r>
      <w:r w:rsidRPr="00DD5507">
        <w:rPr>
          <w:b/>
          <w:bCs/>
          <w:sz w:val="28"/>
          <w:szCs w:val="28"/>
        </w:rPr>
        <w:t>Толкование ДОПОГ (пункт 6 повестки дня)</w:t>
      </w:r>
    </w:p>
    <w:p w14:paraId="52B13D72" w14:textId="77777777" w:rsidR="00BD082D" w:rsidRPr="00DD5507" w:rsidRDefault="00BD082D" w:rsidP="00BD082D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outlineLvl w:val="2"/>
        <w:rPr>
          <w:rFonts w:eastAsia="Calibri"/>
          <w:b/>
          <w:sz w:val="24"/>
          <w:szCs w:val="24"/>
        </w:rPr>
      </w:pPr>
      <w:r>
        <w:rPr>
          <w:b/>
          <w:bCs/>
        </w:rPr>
        <w:tab/>
      </w:r>
      <w:r w:rsidRPr="00DD5507">
        <w:rPr>
          <w:b/>
          <w:bCs/>
          <w:sz w:val="24"/>
          <w:szCs w:val="24"/>
        </w:rPr>
        <w:t>A.</w:t>
      </w:r>
      <w:r w:rsidRPr="00DD5507">
        <w:rPr>
          <w:sz w:val="24"/>
          <w:szCs w:val="24"/>
        </w:rPr>
        <w:tab/>
      </w:r>
      <w:r w:rsidRPr="00DD5507">
        <w:rPr>
          <w:b/>
          <w:bCs/>
          <w:sz w:val="24"/>
          <w:szCs w:val="24"/>
        </w:rPr>
        <w:t>Расчет массы нетто взрывчатого вещества</w:t>
      </w:r>
    </w:p>
    <w:p w14:paraId="748F21B1" w14:textId="77777777" w:rsidR="00BD082D" w:rsidRPr="00F13EBE" w:rsidRDefault="00BD082D" w:rsidP="00E16A7A">
      <w:pPr>
        <w:tabs>
          <w:tab w:val="left" w:pos="1701"/>
          <w:tab w:val="left" w:pos="2552"/>
        </w:tabs>
        <w:spacing w:after="120"/>
        <w:ind w:left="1134" w:right="1134"/>
        <w:jc w:val="both"/>
        <w:rPr>
          <w:rFonts w:eastAsia="SimSun"/>
        </w:rPr>
      </w:pPr>
      <w:r>
        <w:rPr>
          <w:i/>
          <w:iCs/>
        </w:rPr>
        <w:t>Документ</w:t>
      </w:r>
      <w:r>
        <w:t>:</w:t>
      </w:r>
      <w:r>
        <w:tab/>
        <w:t>ECE/TRANS/WP.15/2022/9 (секретариат)</w:t>
      </w:r>
    </w:p>
    <w:p w14:paraId="320C76FE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Calibri"/>
        </w:rPr>
      </w:pPr>
      <w:r>
        <w:t>40.</w:t>
      </w:r>
      <w:r>
        <w:tab/>
        <w:t xml:space="preserve">Рабочая группа приняла к сведению выводы Рабочей группы по взрывчатым веществам, которая провела свое совещание в ходе шестидесятой сессии Подкомитета экспертов по перевозке опасных грузов (Женева, 27 июня ‒‒ 6 июля 2022 года). Рабочая группа также отметила, что на шестьдесят первой сессии Подкомитета (Женева, 28 ноября ‒‒ 6 декабря 2022 года) Швеция представит предложение о внесении поправок в определение термина «пиротехническое вещество» в Типовых правилах для уточнения того, что пиротехнические вещества являются взрывчатыми веществами (документ ST/SG/AC.10/C.3/2022/47). </w:t>
      </w:r>
    </w:p>
    <w:p w14:paraId="233DB322" w14:textId="3EF10834" w:rsidR="00BD082D" w:rsidRPr="00F13EBE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41.</w:t>
      </w:r>
      <w:r>
        <w:tab/>
        <w:t>В свете выводов Рабочей группы по взрывчатым веществам Рабочая группа подтвердила, что количество пиротехнических веществ должно учитываться при расчете массы нетто взрывчатого вещества, упомянутой в подразделе 7.5.5.2 и других</w:t>
      </w:r>
      <w:r w:rsidRPr="005F13CF">
        <w:t xml:space="preserve"> </w:t>
      </w:r>
      <w:r>
        <w:t>положениях ДОПОГ, в которых используется это понятие, в частности в подразделе</w:t>
      </w:r>
      <w:r w:rsidR="00E16A7A">
        <w:rPr>
          <w:lang w:val="en-US"/>
        </w:rPr>
        <w:t> </w:t>
      </w:r>
      <w:r>
        <w:t>1.1.3.6 и положениях об ограничениях проезда через туннели. Данное толкование будет опубликовано на специальной странице веб-сайта ЕЭК.</w:t>
      </w:r>
    </w:p>
    <w:p w14:paraId="110DF66C" w14:textId="77777777" w:rsidR="00BD082D" w:rsidRPr="005F13CF" w:rsidRDefault="00BD082D" w:rsidP="00BD082D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outlineLvl w:val="2"/>
        <w:rPr>
          <w:rFonts w:eastAsia="Calibri"/>
          <w:b/>
          <w:sz w:val="24"/>
          <w:szCs w:val="24"/>
        </w:rPr>
      </w:pPr>
      <w:r>
        <w:rPr>
          <w:b/>
          <w:bCs/>
        </w:rPr>
        <w:tab/>
      </w:r>
      <w:r w:rsidRPr="005F13CF">
        <w:rPr>
          <w:b/>
          <w:bCs/>
          <w:sz w:val="24"/>
          <w:szCs w:val="24"/>
        </w:rPr>
        <w:t>B.</w:t>
      </w:r>
      <w:r w:rsidRPr="005F13CF">
        <w:rPr>
          <w:sz w:val="24"/>
          <w:szCs w:val="24"/>
        </w:rPr>
        <w:tab/>
      </w:r>
      <w:r w:rsidRPr="005F13CF">
        <w:rPr>
          <w:b/>
          <w:bCs/>
          <w:sz w:val="24"/>
          <w:szCs w:val="24"/>
        </w:rPr>
        <w:t>Сфера применения ДОПОГ</w:t>
      </w:r>
    </w:p>
    <w:p w14:paraId="5FB34342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rPr>
          <w:i/>
          <w:iCs/>
        </w:rPr>
        <w:t>Неофициальный документ</w:t>
      </w:r>
      <w:r>
        <w:t>:</w:t>
      </w:r>
      <w:r>
        <w:tab/>
        <w:t>INF.4 (секретариат)</w:t>
      </w:r>
    </w:p>
    <w:p w14:paraId="7B281363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42.</w:t>
      </w:r>
      <w:r>
        <w:tab/>
        <w:t xml:space="preserve">В документе, подготовленном секретариатом, была сделана попытка дать некоторые первоначальные ответы на вопрос относительно применимости </w:t>
      </w:r>
      <w:r>
        <w:lastRenderedPageBreak/>
        <w:t xml:space="preserve">Соглашения ДОПОГ и приложений к нему к двух- и трехколесным транспортным средствам. Рабочая группа решила, что этот вопрос еще требует дальнейшего обсуждения, в частности в отношении других видов моторизованных двух- и трехколесных транспортных средств, таких как электровелосипеды, статуса транспортных средств, не подпадающих под действие ДОПОГ, и возможности изменения сферы применения ДОПОГ до вступления в силу Протокола о внесении поправок 1993 года, особенно с учетом статьи 18 Венской конвенции о праве международных договоров (1968 год). </w:t>
      </w:r>
    </w:p>
    <w:p w14:paraId="4B7CCA0E" w14:textId="77777777" w:rsidR="00BD082D" w:rsidRPr="00F13EBE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43.</w:t>
      </w:r>
      <w:r>
        <w:tab/>
        <w:t>Рабочая группа решила, что было бы преждевременно представлять этот документ Совместному совещанию, и пожелала возобновить обсуждение на следующей сессии. Она просила секретариат подготовить официальный документ, включающий информацию, приведенную в неофициальном документе INF.4, с учетом замечаний, полученных в ходе сессии или в межсессионный период и после консультаций с Управлением по правовым вопросам Организации Объединенных Наций.</w:t>
      </w:r>
    </w:p>
    <w:p w14:paraId="0D605621" w14:textId="77777777" w:rsidR="00BD082D" w:rsidRPr="00394A5D" w:rsidRDefault="00BD082D" w:rsidP="00BD082D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szCs w:val="28"/>
        </w:rPr>
      </w:pPr>
      <w:r w:rsidRPr="00394A5D">
        <w:rPr>
          <w:b/>
          <w:bCs/>
          <w:sz w:val="28"/>
          <w:szCs w:val="28"/>
        </w:rPr>
        <w:tab/>
        <w:t>VIII.</w:t>
      </w:r>
      <w:r w:rsidRPr="00394A5D">
        <w:rPr>
          <w:sz w:val="28"/>
          <w:szCs w:val="28"/>
        </w:rPr>
        <w:tab/>
      </w:r>
      <w:r w:rsidRPr="00394A5D">
        <w:rPr>
          <w:b/>
          <w:bCs/>
          <w:sz w:val="28"/>
          <w:szCs w:val="28"/>
        </w:rPr>
        <w:t>Программа работы (пункт 7 повестки дня)</w:t>
      </w:r>
    </w:p>
    <w:p w14:paraId="43D4D7B3" w14:textId="3FD49A4B" w:rsidR="00BD082D" w:rsidRPr="00394990" w:rsidRDefault="00BD082D" w:rsidP="00BD082D">
      <w:pPr>
        <w:spacing w:after="120"/>
        <w:ind w:left="1134" w:right="1134"/>
        <w:jc w:val="both"/>
      </w:pPr>
      <w:r>
        <w:t>44.</w:t>
      </w:r>
      <w:r>
        <w:tab/>
        <w:t xml:space="preserve">В повестку дня следующей сессии (предварительно запланированной на </w:t>
      </w:r>
      <w:r w:rsidR="00E16A7A">
        <w:br/>
      </w:r>
      <w:r>
        <w:t xml:space="preserve">15–19 мая 2023 года) будут включены следующие пункты: </w:t>
      </w:r>
    </w:p>
    <w:p w14:paraId="5763D235" w14:textId="77777777" w:rsidR="00BD082D" w:rsidRPr="00394990" w:rsidRDefault="00BD082D" w:rsidP="00BD082D">
      <w:pPr>
        <w:tabs>
          <w:tab w:val="num" w:pos="1701"/>
        </w:tabs>
        <w:spacing w:after="120"/>
        <w:ind w:left="1701" w:right="1134" w:hanging="170"/>
        <w:jc w:val="both"/>
      </w:pPr>
      <w:r>
        <w:tab/>
        <w:t>утверждение повестки дня;</w:t>
      </w:r>
    </w:p>
    <w:p w14:paraId="2B840F7A" w14:textId="77777777" w:rsidR="00BD082D" w:rsidRPr="00394990" w:rsidRDefault="00BD082D" w:rsidP="00BD082D">
      <w:pPr>
        <w:tabs>
          <w:tab w:val="num" w:pos="1701"/>
        </w:tabs>
        <w:spacing w:after="120"/>
        <w:ind w:left="1701" w:right="1134" w:hanging="170"/>
        <w:jc w:val="both"/>
      </w:pPr>
      <w:r>
        <w:tab/>
        <w:t>восемьдесят пятая сессия Комитета по внутреннему транспорту;</w:t>
      </w:r>
    </w:p>
    <w:p w14:paraId="04527518" w14:textId="77777777" w:rsidR="00BD082D" w:rsidRPr="00394990" w:rsidRDefault="00BD082D" w:rsidP="00BD082D">
      <w:pPr>
        <w:tabs>
          <w:tab w:val="num" w:pos="1701"/>
        </w:tabs>
        <w:spacing w:after="120"/>
        <w:ind w:left="1701" w:right="1134" w:hanging="170"/>
        <w:jc w:val="both"/>
      </w:pPr>
      <w:r>
        <w:tab/>
        <w:t>состояние Соглашения о международной дорожной перевозке опасных грузов (ДОПОГ) и связанные с этим вопросы;</w:t>
      </w:r>
    </w:p>
    <w:p w14:paraId="6A62CEEA" w14:textId="77777777" w:rsidR="00BD082D" w:rsidRPr="00394990" w:rsidRDefault="00BD082D" w:rsidP="00BD082D">
      <w:pPr>
        <w:tabs>
          <w:tab w:val="num" w:pos="1701"/>
        </w:tabs>
        <w:spacing w:after="120"/>
        <w:ind w:left="1701" w:right="1134" w:hanging="170"/>
        <w:jc w:val="both"/>
      </w:pPr>
      <w:r>
        <w:tab/>
        <w:t>работа Совместного совещания МПОГ/ДОПОГ/ВОПОГ;</w:t>
      </w:r>
    </w:p>
    <w:p w14:paraId="6BA8E5DC" w14:textId="77777777" w:rsidR="00BD082D" w:rsidRPr="00394990" w:rsidRDefault="00BD082D" w:rsidP="00BD082D">
      <w:pPr>
        <w:tabs>
          <w:tab w:val="num" w:pos="1701"/>
        </w:tabs>
        <w:spacing w:after="120"/>
        <w:ind w:left="1701" w:right="1134" w:hanging="170"/>
        <w:jc w:val="both"/>
      </w:pPr>
      <w:r>
        <w:tab/>
        <w:t>предложения о внесении поправок в приложения A и B к ДОПОГ;</w:t>
      </w:r>
    </w:p>
    <w:p w14:paraId="4987169E" w14:textId="77777777" w:rsidR="00BD082D" w:rsidRPr="00394990" w:rsidRDefault="00BD082D" w:rsidP="00BD082D">
      <w:pPr>
        <w:tabs>
          <w:tab w:val="num" w:pos="1701"/>
        </w:tabs>
        <w:spacing w:after="120"/>
        <w:ind w:left="1701" w:right="1134" w:hanging="170"/>
        <w:jc w:val="both"/>
      </w:pPr>
      <w:r>
        <w:tab/>
        <w:t>толкование ДОПОГ;</w:t>
      </w:r>
    </w:p>
    <w:p w14:paraId="5E7B823D" w14:textId="77777777" w:rsidR="00BD082D" w:rsidRPr="00394990" w:rsidRDefault="00BD082D" w:rsidP="00BD082D">
      <w:pPr>
        <w:tabs>
          <w:tab w:val="num" w:pos="1701"/>
        </w:tabs>
        <w:spacing w:after="120"/>
        <w:ind w:left="1701" w:right="1134" w:hanging="170"/>
        <w:jc w:val="both"/>
      </w:pPr>
      <w:r>
        <w:tab/>
        <w:t>циклическая экономика, устойчивое использование природных ресурсов и цели в области устойчивого развития;</w:t>
      </w:r>
    </w:p>
    <w:p w14:paraId="43404C01" w14:textId="77777777" w:rsidR="00BD082D" w:rsidRPr="00394990" w:rsidRDefault="00BD082D" w:rsidP="00BD082D">
      <w:pPr>
        <w:tabs>
          <w:tab w:val="num" w:pos="1701"/>
        </w:tabs>
        <w:spacing w:after="120"/>
        <w:ind w:left="1701" w:right="1134" w:hanging="170"/>
        <w:jc w:val="both"/>
      </w:pPr>
      <w:r>
        <w:tab/>
        <w:t>программа работы;</w:t>
      </w:r>
    </w:p>
    <w:p w14:paraId="14B0A725" w14:textId="77777777" w:rsidR="00BD082D" w:rsidRPr="00394990" w:rsidRDefault="00BD082D" w:rsidP="00BD082D">
      <w:pPr>
        <w:tabs>
          <w:tab w:val="num" w:pos="1701"/>
        </w:tabs>
        <w:spacing w:after="120"/>
        <w:ind w:left="1701" w:right="1134" w:hanging="170"/>
        <w:jc w:val="both"/>
      </w:pPr>
      <w:r>
        <w:tab/>
        <w:t>прочие вопросы;</w:t>
      </w:r>
    </w:p>
    <w:p w14:paraId="5808F5AE" w14:textId="77777777" w:rsidR="00BD082D" w:rsidRPr="00394990" w:rsidRDefault="00BD082D" w:rsidP="00BD082D">
      <w:pPr>
        <w:tabs>
          <w:tab w:val="num" w:pos="1701"/>
        </w:tabs>
        <w:spacing w:after="120"/>
        <w:ind w:left="1701" w:right="1134" w:hanging="170"/>
        <w:jc w:val="both"/>
      </w:pPr>
      <w:r>
        <w:tab/>
        <w:t>утверждение доклада.</w:t>
      </w:r>
    </w:p>
    <w:p w14:paraId="6AC5F9BD" w14:textId="77777777" w:rsidR="00BD082D" w:rsidRPr="00633F2C" w:rsidRDefault="00BD082D" w:rsidP="00BD082D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outlineLvl w:val="1"/>
        <w:rPr>
          <w:b/>
          <w:sz w:val="28"/>
          <w:szCs w:val="28"/>
        </w:rPr>
      </w:pPr>
      <w:r>
        <w:rPr>
          <w:b/>
          <w:bCs/>
        </w:rPr>
        <w:tab/>
      </w:r>
      <w:r w:rsidRPr="00633F2C">
        <w:rPr>
          <w:b/>
          <w:bCs/>
          <w:sz w:val="28"/>
          <w:szCs w:val="28"/>
        </w:rPr>
        <w:t>IX.</w:t>
      </w:r>
      <w:r w:rsidRPr="00633F2C">
        <w:rPr>
          <w:sz w:val="28"/>
          <w:szCs w:val="28"/>
        </w:rPr>
        <w:tab/>
      </w:r>
      <w:r w:rsidRPr="00633F2C">
        <w:rPr>
          <w:b/>
          <w:bCs/>
          <w:sz w:val="28"/>
          <w:szCs w:val="28"/>
        </w:rPr>
        <w:t>Прочие вопросы (пункт 8 повестки дня)</w:t>
      </w:r>
    </w:p>
    <w:p w14:paraId="480AA638" w14:textId="77777777" w:rsidR="00BD082D" w:rsidRPr="00633F2C" w:rsidRDefault="00BD082D" w:rsidP="00BD082D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outlineLvl w:val="2"/>
        <w:rPr>
          <w:rFonts w:eastAsia="Calibri"/>
          <w:b/>
          <w:sz w:val="24"/>
          <w:szCs w:val="24"/>
        </w:rPr>
      </w:pPr>
      <w:r>
        <w:rPr>
          <w:b/>
          <w:bCs/>
        </w:rPr>
        <w:tab/>
      </w:r>
      <w:r w:rsidRPr="00633F2C">
        <w:rPr>
          <w:b/>
          <w:bCs/>
          <w:sz w:val="24"/>
          <w:szCs w:val="24"/>
        </w:rPr>
        <w:t>A.</w:t>
      </w:r>
      <w:r w:rsidRPr="00633F2C">
        <w:rPr>
          <w:sz w:val="24"/>
          <w:szCs w:val="24"/>
        </w:rPr>
        <w:tab/>
      </w:r>
      <w:r w:rsidRPr="00633F2C">
        <w:rPr>
          <w:b/>
          <w:bCs/>
          <w:sz w:val="24"/>
          <w:szCs w:val="24"/>
        </w:rPr>
        <w:t>Циклическая экономика и устойчивое использование природных ресурсов</w:t>
      </w:r>
    </w:p>
    <w:p w14:paraId="5B97952C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rPr>
          <w:i/>
          <w:iCs/>
        </w:rPr>
        <w:t>Неофициальный документ</w:t>
      </w:r>
      <w:r>
        <w:t>:</w:t>
      </w:r>
      <w:r>
        <w:tab/>
        <w:t>INF.8/Rev.1 (секретариат)</w:t>
      </w:r>
    </w:p>
    <w:p w14:paraId="6142A93A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45.</w:t>
      </w:r>
      <w:r>
        <w:tab/>
        <w:t>В ходе сто двенадцатой сессии Рабочей группы состоялось обсуждение за круглым столом вопроса о циклической экономике с точки зрения мультимодальных перевозок опасных грузов. Это обсуждение за круглым столом было организовано в ответ на дискуссии, состоявшиеся в ходе сто одиннадцатой сессии Рабочей группы, и просьбу Комитета по внутреннему транспорту в контексте его Стратегии на период до 2030 года представлять ему ежегодный доклад о работе вспомогательных органов, связанной с циклической экономикой и целями в области устойчивого развития.</w:t>
      </w:r>
    </w:p>
    <w:p w14:paraId="5562F3A8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46.</w:t>
      </w:r>
      <w:r>
        <w:tab/>
        <w:t xml:space="preserve">Программа и все презентации, сделанные в ходе обсуждения за круглым столом, будут размещены на веб-странице сто двенадцатой сессии Рабочей группы </w:t>
      </w:r>
      <w:r w:rsidRPr="00505A6E">
        <w:rPr>
          <w:rFonts w:eastAsia="SimSun"/>
          <w:lang w:eastAsia="zh-CN"/>
        </w:rPr>
        <w:t>(</w:t>
      </w:r>
      <w:hyperlink r:id="rId10" w:history="1">
        <w:r w:rsidRPr="000A49C8">
          <w:rPr>
            <w:rFonts w:eastAsia="SimSun"/>
            <w:color w:val="0000FF"/>
            <w:lang w:eastAsia="zh-CN"/>
          </w:rPr>
          <w:t>https</w:t>
        </w:r>
        <w:r w:rsidRPr="00505A6E">
          <w:rPr>
            <w:rFonts w:eastAsia="SimSun"/>
            <w:color w:val="0000FF"/>
            <w:lang w:eastAsia="zh-CN"/>
          </w:rPr>
          <w:t>://</w:t>
        </w:r>
        <w:r w:rsidRPr="000A49C8">
          <w:rPr>
            <w:rFonts w:eastAsia="SimSun"/>
            <w:color w:val="0000FF"/>
            <w:lang w:eastAsia="zh-CN"/>
          </w:rPr>
          <w:t>unece</w:t>
        </w:r>
        <w:r w:rsidRPr="00505A6E">
          <w:rPr>
            <w:rFonts w:eastAsia="SimSun"/>
            <w:color w:val="0000FF"/>
            <w:lang w:eastAsia="zh-CN"/>
          </w:rPr>
          <w:t>.</w:t>
        </w:r>
        <w:r w:rsidRPr="000A49C8">
          <w:rPr>
            <w:rFonts w:eastAsia="SimSun"/>
            <w:color w:val="0000FF"/>
            <w:lang w:eastAsia="zh-CN"/>
          </w:rPr>
          <w:t>org</w:t>
        </w:r>
        <w:r w:rsidRPr="00505A6E">
          <w:rPr>
            <w:rFonts w:eastAsia="SimSun"/>
            <w:color w:val="0000FF"/>
            <w:lang w:eastAsia="zh-CN"/>
          </w:rPr>
          <w:t>/</w:t>
        </w:r>
        <w:r w:rsidRPr="000A49C8">
          <w:rPr>
            <w:rFonts w:eastAsia="SimSun"/>
            <w:color w:val="0000FF"/>
            <w:lang w:eastAsia="zh-CN"/>
          </w:rPr>
          <w:t>info</w:t>
        </w:r>
        <w:r w:rsidRPr="00505A6E">
          <w:rPr>
            <w:rFonts w:eastAsia="SimSun"/>
            <w:color w:val="0000FF"/>
            <w:lang w:eastAsia="zh-CN"/>
          </w:rPr>
          <w:t>/</w:t>
        </w:r>
        <w:r w:rsidRPr="000A49C8">
          <w:rPr>
            <w:rFonts w:eastAsia="SimSun"/>
            <w:color w:val="0000FF"/>
            <w:lang w:eastAsia="zh-CN"/>
          </w:rPr>
          <w:t>Transport</w:t>
        </w:r>
        <w:r w:rsidRPr="00505A6E">
          <w:rPr>
            <w:rFonts w:eastAsia="SimSun"/>
            <w:color w:val="0000FF"/>
            <w:lang w:eastAsia="zh-CN"/>
          </w:rPr>
          <w:t>/</w:t>
        </w:r>
        <w:r w:rsidRPr="000A49C8">
          <w:rPr>
            <w:rFonts w:eastAsia="SimSun"/>
            <w:color w:val="0000FF"/>
            <w:lang w:eastAsia="zh-CN"/>
          </w:rPr>
          <w:t>Dangerous</w:t>
        </w:r>
        <w:r w:rsidRPr="00505A6E">
          <w:rPr>
            <w:rFonts w:eastAsia="SimSun"/>
            <w:color w:val="0000FF"/>
            <w:lang w:eastAsia="zh-CN"/>
          </w:rPr>
          <w:t>-</w:t>
        </w:r>
        <w:r w:rsidRPr="000A49C8">
          <w:rPr>
            <w:rFonts w:eastAsia="SimSun"/>
            <w:color w:val="0000FF"/>
            <w:lang w:eastAsia="zh-CN"/>
          </w:rPr>
          <w:t>Goods</w:t>
        </w:r>
        <w:r w:rsidRPr="00505A6E">
          <w:rPr>
            <w:rFonts w:eastAsia="SimSun"/>
            <w:color w:val="0000FF"/>
            <w:lang w:eastAsia="zh-CN"/>
          </w:rPr>
          <w:t>/</w:t>
        </w:r>
        <w:r w:rsidRPr="000A49C8">
          <w:rPr>
            <w:rFonts w:eastAsia="SimSun"/>
            <w:color w:val="0000FF"/>
            <w:lang w:eastAsia="zh-CN"/>
          </w:rPr>
          <w:t>events</w:t>
        </w:r>
        <w:r w:rsidRPr="00505A6E">
          <w:rPr>
            <w:rFonts w:eastAsia="SimSun"/>
            <w:color w:val="0000FF"/>
            <w:lang w:eastAsia="zh-CN"/>
          </w:rPr>
          <w:t>/364687</w:t>
        </w:r>
      </w:hyperlink>
      <w:r w:rsidRPr="00505A6E">
        <w:rPr>
          <w:rFonts w:eastAsia="SimSun"/>
          <w:lang w:eastAsia="zh-CN"/>
        </w:rPr>
        <w:t>).</w:t>
      </w:r>
    </w:p>
    <w:p w14:paraId="502A48D9" w14:textId="1237468E" w:rsidR="00BD082D" w:rsidRPr="00F13EBE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lastRenderedPageBreak/>
        <w:t>47.</w:t>
      </w:r>
      <w:r>
        <w:tab/>
        <w:t>При открытии обсуждения за круглым столом с приветственным словом выступили Исполнительный секретарь Европейской экономической комиссии, директор Отдела устойчивого транспорта и руководитель Секции по опасным грузам. Исполнительный секретарь подчеркнула важность циклической экономики и устойчивого использования природных ресурсов для достижения целей в области устойчивого развития (ЦУР), сформулированных в Повестке дня на период до 2030</w:t>
      </w:r>
      <w:r w:rsidR="00E16A7A">
        <w:rPr>
          <w:lang w:val="en-US"/>
        </w:rPr>
        <w:t> </w:t>
      </w:r>
      <w:r>
        <w:t>года. Директор Отдела устойчивого транспорта напомнил, в частности, что Экономический и Социальный Совет недавно утвердил пересмотренный круг ведения Комитета по внутреннему транспорту. Новый круг ведения был разработан с целью поощрения участия стран, не являющихся членами ЕЭК, в сессиях Комитета по внутреннему транспорту и его вспомогательных органов и создания условий для их присоединения к правовым документам Организации Объединенных Наций, разработанным под эгидой Отдела устойчивого транспорта. Руководитель Секции по опасным грузам напомнил о решениях, принятых Совместным совещанием, относительно добавления в его программу работы отдельного пункта, посвященного циклической экономике и ЦУР, а также ссылок на эти темы в рабочих документах.</w:t>
      </w:r>
    </w:p>
    <w:p w14:paraId="01399E5A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48.</w:t>
      </w:r>
      <w:r>
        <w:tab/>
        <w:t>Участники обсуждения за круглым столом и участники сессии признали, что работа органов Организации Объединенных Наций по вопросам перевозки опасных грузов уже оказывает прямое или косвенное влияние на развитие циклической экономики и достижение ЦУР и что сейчас важно лучше определить связи между этими областями.</w:t>
      </w:r>
    </w:p>
    <w:p w14:paraId="1A7C9D4B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49.</w:t>
      </w:r>
      <w:r>
        <w:tab/>
        <w:t>Рабочая группа высоко оценила проведенное обсуждение за круглым столом. Она подчеркнула важность дальнейшего рассмотрения своей</w:t>
      </w:r>
      <w:r w:rsidRPr="00BA72FF">
        <w:t xml:space="preserve"> </w:t>
      </w:r>
      <w:r>
        <w:t>работы в свете целей, связанных с циклической экономикой и устойчивым использованием природных ресурсов, при одновременном согласовании этих целей с ожидаемыми целями в области безопасности.</w:t>
      </w:r>
    </w:p>
    <w:p w14:paraId="39AAFB5F" w14:textId="77777777" w:rsidR="00BD082D" w:rsidRPr="00F13EBE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Calibri"/>
        </w:rPr>
      </w:pPr>
      <w:r>
        <w:t>50.</w:t>
      </w:r>
      <w:r>
        <w:tab/>
        <w:t>Рабочая группа решила посвятить новый пункт своей повестки дня вопросу о целях в области устойчивого развития и циклической экономике, чтобы обеспечить возможность регулярного обсуждения последующих действий. Она также предложила делегациям отмечать в разделе «обоснование» представляемых ими предложений любые возможные взаимосвязи с этими темами.</w:t>
      </w:r>
    </w:p>
    <w:p w14:paraId="6F7A4888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Calibri"/>
        </w:rPr>
      </w:pPr>
      <w:r>
        <w:t>51.</w:t>
      </w:r>
      <w:r>
        <w:tab/>
        <w:t>Рабочая группа отметила, что на своей весенней сессии 2023 года Совместное совещание продолжит обсуждение основных целей в области устойчивого развития, применимых к его работе; Рабочая группа будет проинформирована о результатах этих обсуждений на своей сто тринадцатой сессии.</w:t>
      </w:r>
    </w:p>
    <w:p w14:paraId="413D89D5" w14:textId="77777777" w:rsidR="00BD082D" w:rsidRPr="007B133D" w:rsidRDefault="00BD082D" w:rsidP="00BD082D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outlineLvl w:val="2"/>
        <w:rPr>
          <w:b/>
          <w:sz w:val="24"/>
          <w:szCs w:val="24"/>
        </w:rPr>
      </w:pPr>
      <w:r>
        <w:rPr>
          <w:b/>
          <w:bCs/>
        </w:rPr>
        <w:tab/>
      </w:r>
      <w:r w:rsidRPr="007B133D">
        <w:rPr>
          <w:b/>
          <w:bCs/>
          <w:sz w:val="24"/>
          <w:szCs w:val="24"/>
        </w:rPr>
        <w:t>B.</w:t>
      </w:r>
      <w:r w:rsidRPr="007B133D">
        <w:rPr>
          <w:sz w:val="24"/>
          <w:szCs w:val="24"/>
        </w:rPr>
        <w:tab/>
      </w:r>
      <w:r w:rsidRPr="007B133D">
        <w:rPr>
          <w:b/>
          <w:bCs/>
          <w:sz w:val="24"/>
          <w:szCs w:val="24"/>
        </w:rPr>
        <w:t>Проект ППТ ЕвроМед</w:t>
      </w:r>
    </w:p>
    <w:p w14:paraId="70DD971A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rPr>
          <w:i/>
          <w:iCs/>
        </w:rPr>
        <w:t>Неофициальный документ</w:t>
      </w:r>
      <w:r>
        <w:t>:</w:t>
      </w:r>
      <w:r>
        <w:tab/>
        <w:t>INF.11 (ЕвроМед)</w:t>
      </w:r>
    </w:p>
    <w:p w14:paraId="7FFAC1C5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52.</w:t>
      </w:r>
      <w:r>
        <w:tab/>
        <w:t>Представитель ППТ ЕвроМед кратко рассказал об осуществленной с 2012 года деятельности в рамках проекта ЕвроМед в области автомобильного, железнодорожного и городского транспорта (АЖГ) и проекта ППТ ЕвроМед Европейского союза, в том что касается автомобильных перевозок опасных грузов, а также продвижения ДОПОГ и согласованного законодательства по внутренним перевозкам в некоторых средиземноморских странах Ближнего Востока и Северной Африки и соседних странах. Рабочая группа с удовлетворением отметила достигнутые на сегодняшний день результаты, подчеркнув при этом, что реализация проекта завершится в 2023 году и что предстоит еще выполнить значительный объем работы.</w:t>
      </w:r>
    </w:p>
    <w:p w14:paraId="51E89030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53.</w:t>
      </w:r>
      <w:r>
        <w:tab/>
        <w:t xml:space="preserve">Рабочая группа также отметила, что после 2023 года может быть начат новый этап проекта, и настоятельно рекомендовала Европейской комиссии принять в этой связи соответствующие меры. </w:t>
      </w:r>
    </w:p>
    <w:p w14:paraId="61F05162" w14:textId="6D9A79C5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54.</w:t>
      </w:r>
      <w:r>
        <w:tab/>
        <w:t xml:space="preserve">Рабочая группа далее отметила, что после обсуждения на предыдущих сессиях вопроса о переводе ДОПОГ на арабский язык и с учетом невозможности на данный момент найти решение в рамках секретариата Организации Объединенных Наций участники проекта ППТ ЕвроМед, наконец, решили взять на себя эту задачу. Вариант </w:t>
      </w:r>
      <w:r>
        <w:lastRenderedPageBreak/>
        <w:t>ДОПОГ 2023 года на арабском языке должен</w:t>
      </w:r>
      <w:r w:rsidRPr="00AB7E01">
        <w:t xml:space="preserve"> </w:t>
      </w:r>
      <w:r>
        <w:t xml:space="preserve">появиться к концу ноября 2022 года. </w:t>
      </w:r>
      <w:r w:rsidR="00E16A7A">
        <w:br/>
      </w:r>
      <w:r>
        <w:t>Он будет предоставлен секретариату ЕЭК для публикации и распространения через веб-сайт. Рабочая группа приветствовала этот результат. Чтобы обеспечить постоянную пользу от проделанной работы, необходимо найти постоянное решение для выполнения перевода поправок каждые два года и публикации соответствующих сводных вариантов с поправками. Секретариату было предложено проконсультироваться с соответствующими службами для поиска устойчивого решения.</w:t>
      </w:r>
    </w:p>
    <w:p w14:paraId="5B6F1589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55.</w:t>
      </w:r>
      <w:r>
        <w:tab/>
        <w:t>Эксперты ППТ ЕвроМед поблагодарили секретариат ЕЭК и Отдел устойчивого транспорта за постоянную поддержку с самого начала осуществления проекта.</w:t>
      </w:r>
    </w:p>
    <w:p w14:paraId="4F9A090D" w14:textId="77777777" w:rsidR="00BD082D" w:rsidRPr="00AB7E01" w:rsidRDefault="00BD082D" w:rsidP="00BD082D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outlineLvl w:val="2"/>
        <w:rPr>
          <w:b/>
          <w:sz w:val="24"/>
          <w:szCs w:val="24"/>
        </w:rPr>
      </w:pPr>
      <w:r>
        <w:rPr>
          <w:b/>
          <w:bCs/>
        </w:rPr>
        <w:tab/>
      </w:r>
      <w:r w:rsidRPr="00AB7E01">
        <w:rPr>
          <w:b/>
          <w:bCs/>
          <w:sz w:val="24"/>
          <w:szCs w:val="24"/>
        </w:rPr>
        <w:t>C.</w:t>
      </w:r>
      <w:r w:rsidRPr="00AB7E01">
        <w:rPr>
          <w:sz w:val="24"/>
          <w:szCs w:val="24"/>
        </w:rPr>
        <w:tab/>
      </w:r>
      <w:r w:rsidRPr="00AB7E01">
        <w:rPr>
          <w:b/>
          <w:bCs/>
          <w:sz w:val="24"/>
          <w:szCs w:val="24"/>
        </w:rPr>
        <w:t>Переводы ДОПОГ</w:t>
      </w:r>
    </w:p>
    <w:p w14:paraId="635A2138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56.</w:t>
      </w:r>
      <w:r>
        <w:tab/>
        <w:t>Секретариат напомнил делегациям, что, если они того пожелают, они могут прислать ссылку на свой национальный перевод ДОПОГ, чтобы его можно было разместить на веб-сайте ЕЭК.</w:t>
      </w:r>
    </w:p>
    <w:p w14:paraId="13B957F5" w14:textId="77777777" w:rsidR="00BD082D" w:rsidRPr="003208DE" w:rsidRDefault="00BD082D" w:rsidP="00BD082D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outlineLvl w:val="2"/>
        <w:rPr>
          <w:b/>
          <w:sz w:val="24"/>
          <w:szCs w:val="24"/>
        </w:rPr>
      </w:pPr>
      <w:r>
        <w:rPr>
          <w:b/>
          <w:bCs/>
        </w:rPr>
        <w:tab/>
      </w:r>
      <w:r w:rsidRPr="003208DE">
        <w:rPr>
          <w:b/>
          <w:bCs/>
          <w:sz w:val="24"/>
          <w:szCs w:val="24"/>
        </w:rPr>
        <w:t>D.</w:t>
      </w:r>
      <w:r w:rsidRPr="003208DE">
        <w:rPr>
          <w:sz w:val="24"/>
          <w:szCs w:val="24"/>
        </w:rPr>
        <w:tab/>
      </w:r>
      <w:r w:rsidRPr="003208DE">
        <w:rPr>
          <w:b/>
          <w:bCs/>
          <w:sz w:val="24"/>
          <w:szCs w:val="24"/>
        </w:rPr>
        <w:t>«Дорожная карта» по ДОПОГ</w:t>
      </w:r>
    </w:p>
    <w:p w14:paraId="48701A16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57.</w:t>
      </w:r>
      <w:r>
        <w:tab/>
        <w:t>Рабочая группа с удовлетворением отметила, что электронный вариант «дорожной карты» по ДОПОГ размещен на веб-сайте ЕЭК на английском, русском и французском языках (</w:t>
      </w:r>
      <w:hyperlink r:id="rId11" w:history="1">
        <w:r w:rsidRPr="004D38B9">
          <w:rPr>
            <w:rStyle w:val="Hyperlink"/>
            <w:rFonts w:eastAsia="SimSun"/>
            <w:lang w:eastAsia="zh-CN"/>
          </w:rPr>
          <w:t>https</w:t>
        </w:r>
        <w:r w:rsidRPr="00CA6AB6">
          <w:rPr>
            <w:rStyle w:val="Hyperlink"/>
            <w:rFonts w:eastAsia="SimSun"/>
            <w:lang w:eastAsia="zh-CN"/>
          </w:rPr>
          <w:t>://</w:t>
        </w:r>
        <w:r w:rsidRPr="004D38B9">
          <w:rPr>
            <w:rStyle w:val="Hyperlink"/>
            <w:rFonts w:eastAsia="SimSun"/>
            <w:lang w:eastAsia="zh-CN"/>
          </w:rPr>
          <w:t>unece</w:t>
        </w:r>
        <w:r w:rsidRPr="00CA6AB6">
          <w:rPr>
            <w:rStyle w:val="Hyperlink"/>
            <w:rFonts w:eastAsia="SimSun"/>
            <w:lang w:eastAsia="zh-CN"/>
          </w:rPr>
          <w:t>.</w:t>
        </w:r>
        <w:r w:rsidRPr="004D38B9">
          <w:rPr>
            <w:rStyle w:val="Hyperlink"/>
            <w:rFonts w:eastAsia="SimSun"/>
            <w:lang w:eastAsia="zh-CN"/>
          </w:rPr>
          <w:t>org</w:t>
        </w:r>
        <w:r w:rsidRPr="00CA6AB6">
          <w:rPr>
            <w:rStyle w:val="Hyperlink"/>
            <w:rFonts w:eastAsia="SimSun"/>
            <w:lang w:eastAsia="zh-CN"/>
          </w:rPr>
          <w:t>/</w:t>
        </w:r>
        <w:r w:rsidRPr="004D38B9">
          <w:rPr>
            <w:rStyle w:val="Hyperlink"/>
            <w:rFonts w:eastAsia="SimSun"/>
            <w:lang w:eastAsia="zh-CN"/>
          </w:rPr>
          <w:t>info</w:t>
        </w:r>
        <w:r w:rsidRPr="00CA6AB6">
          <w:rPr>
            <w:rStyle w:val="Hyperlink"/>
            <w:rFonts w:eastAsia="SimSun"/>
            <w:lang w:eastAsia="zh-CN"/>
          </w:rPr>
          <w:t>/</w:t>
        </w:r>
        <w:r w:rsidRPr="004D38B9">
          <w:rPr>
            <w:rStyle w:val="Hyperlink"/>
            <w:rFonts w:eastAsia="SimSun"/>
            <w:lang w:eastAsia="zh-CN"/>
          </w:rPr>
          <w:t>Transport</w:t>
        </w:r>
        <w:r w:rsidRPr="00CA6AB6">
          <w:rPr>
            <w:rStyle w:val="Hyperlink"/>
            <w:rFonts w:eastAsia="SimSun"/>
            <w:lang w:eastAsia="zh-CN"/>
          </w:rPr>
          <w:t>/</w:t>
        </w:r>
        <w:r w:rsidRPr="004D38B9">
          <w:rPr>
            <w:rStyle w:val="Hyperlink"/>
            <w:rFonts w:eastAsia="SimSun"/>
            <w:lang w:eastAsia="zh-CN"/>
          </w:rPr>
          <w:t>pub</w:t>
        </w:r>
        <w:r w:rsidRPr="00CA6AB6">
          <w:rPr>
            <w:rStyle w:val="Hyperlink"/>
            <w:rFonts w:eastAsia="SimSun"/>
            <w:lang w:eastAsia="zh-CN"/>
          </w:rPr>
          <w:t>/2576</w:t>
        </w:r>
      </w:hyperlink>
      <w:r>
        <w:t>) и что секретариат завершает подготовку варианта на испанском языке.</w:t>
      </w:r>
    </w:p>
    <w:p w14:paraId="0FA58DCB" w14:textId="77777777" w:rsidR="00BD082D" w:rsidRPr="00E13B47" w:rsidRDefault="00BD082D" w:rsidP="00BD082D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outlineLvl w:val="2"/>
        <w:rPr>
          <w:b/>
          <w:sz w:val="24"/>
          <w:szCs w:val="24"/>
        </w:rPr>
      </w:pPr>
      <w:r>
        <w:rPr>
          <w:b/>
          <w:bCs/>
        </w:rPr>
        <w:tab/>
      </w:r>
      <w:r w:rsidRPr="00E13B47">
        <w:rPr>
          <w:b/>
          <w:bCs/>
          <w:sz w:val="24"/>
          <w:szCs w:val="24"/>
        </w:rPr>
        <w:t>E.</w:t>
      </w:r>
      <w:r w:rsidRPr="00E13B47">
        <w:rPr>
          <w:sz w:val="24"/>
          <w:szCs w:val="24"/>
        </w:rPr>
        <w:tab/>
      </w:r>
      <w:r w:rsidRPr="00E13B47">
        <w:rPr>
          <w:b/>
          <w:bCs/>
          <w:sz w:val="24"/>
          <w:szCs w:val="24"/>
        </w:rPr>
        <w:t>Платформа электронного обучения LearnITC</w:t>
      </w:r>
    </w:p>
    <w:p w14:paraId="5D3D6961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58.</w:t>
      </w:r>
      <w:r>
        <w:tab/>
        <w:t xml:space="preserve">Сотрудник секретариата представил платформу электронного обучения по внутреннему транспорту и торговым связям LearnITC </w:t>
      </w:r>
      <w:r w:rsidRPr="00E13B47">
        <w:rPr>
          <w:rFonts w:eastAsia="SimSun"/>
          <w:lang w:eastAsia="zh-CN"/>
        </w:rPr>
        <w:t>(</w:t>
      </w:r>
      <w:hyperlink r:id="rId12" w:history="1">
        <w:r w:rsidRPr="00283BFA">
          <w:rPr>
            <w:rFonts w:eastAsia="SimSun"/>
            <w:color w:val="0000FF"/>
            <w:lang w:eastAsia="zh-CN"/>
          </w:rPr>
          <w:t>https</w:t>
        </w:r>
        <w:r w:rsidRPr="00E13B47">
          <w:rPr>
            <w:rFonts w:eastAsia="SimSun"/>
            <w:color w:val="0000FF"/>
            <w:lang w:eastAsia="zh-CN"/>
          </w:rPr>
          <w:t>://</w:t>
        </w:r>
        <w:r w:rsidRPr="00283BFA">
          <w:rPr>
            <w:rFonts w:eastAsia="SimSun"/>
            <w:color w:val="0000FF"/>
            <w:lang w:eastAsia="zh-CN"/>
          </w:rPr>
          <w:t>learnitc</w:t>
        </w:r>
        <w:r w:rsidRPr="00E13B47">
          <w:rPr>
            <w:rFonts w:eastAsia="SimSun"/>
            <w:color w:val="0000FF"/>
            <w:lang w:eastAsia="zh-CN"/>
          </w:rPr>
          <w:t>.</w:t>
        </w:r>
        <w:r w:rsidRPr="00283BFA">
          <w:rPr>
            <w:rFonts w:eastAsia="SimSun"/>
            <w:color w:val="0000FF"/>
            <w:lang w:eastAsia="zh-CN"/>
          </w:rPr>
          <w:t>unece</w:t>
        </w:r>
        <w:r w:rsidRPr="00E13B47">
          <w:rPr>
            <w:rFonts w:eastAsia="SimSun"/>
            <w:color w:val="0000FF"/>
            <w:lang w:eastAsia="zh-CN"/>
          </w:rPr>
          <w:t>.</w:t>
        </w:r>
        <w:r w:rsidRPr="00283BFA">
          <w:rPr>
            <w:rFonts w:eastAsia="SimSun"/>
            <w:color w:val="0000FF"/>
            <w:lang w:eastAsia="zh-CN"/>
          </w:rPr>
          <w:t>org</w:t>
        </w:r>
        <w:r w:rsidRPr="00E13B47">
          <w:rPr>
            <w:rFonts w:eastAsia="SimSun"/>
            <w:color w:val="0000FF"/>
            <w:lang w:eastAsia="zh-CN"/>
          </w:rPr>
          <w:t>/</w:t>
        </w:r>
      </w:hyperlink>
      <w:r w:rsidRPr="00E13B47">
        <w:rPr>
          <w:rFonts w:eastAsia="SimSun"/>
          <w:lang w:eastAsia="zh-CN"/>
        </w:rPr>
        <w:t>)</w:t>
      </w:r>
      <w:r>
        <w:t>.</w:t>
      </w:r>
    </w:p>
    <w:p w14:paraId="180096C4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59.</w:t>
      </w:r>
      <w:r>
        <w:tab/>
        <w:t xml:space="preserve">Эта платформа электронного обучения, охватывающая правовые документы Организации Объединенных Наций, стандарты и другие инструменты для внутреннего транспорта и торговли, ориентирована в первую очередь на представителей институциональных и отраслевых субъектов, желающих реализовать политику устойчивого развития транспорта и торговых связей. </w:t>
      </w:r>
    </w:p>
    <w:p w14:paraId="69A49F96" w14:textId="77777777" w:rsidR="00BD082D" w:rsidRPr="000A6091" w:rsidRDefault="00BD082D" w:rsidP="00BD082D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outlineLvl w:val="2"/>
        <w:rPr>
          <w:rFonts w:eastAsia="Calibri"/>
          <w:b/>
          <w:sz w:val="24"/>
          <w:szCs w:val="24"/>
        </w:rPr>
      </w:pPr>
      <w:r>
        <w:rPr>
          <w:b/>
          <w:bCs/>
        </w:rPr>
        <w:tab/>
      </w:r>
      <w:r w:rsidRPr="000A6091">
        <w:rPr>
          <w:b/>
          <w:bCs/>
          <w:sz w:val="24"/>
          <w:szCs w:val="24"/>
        </w:rPr>
        <w:t>F.</w:t>
      </w:r>
      <w:r w:rsidRPr="000A6091">
        <w:rPr>
          <w:sz w:val="24"/>
          <w:szCs w:val="24"/>
        </w:rPr>
        <w:tab/>
      </w:r>
      <w:r w:rsidRPr="000A6091">
        <w:rPr>
          <w:b/>
          <w:bCs/>
          <w:sz w:val="24"/>
          <w:szCs w:val="24"/>
        </w:rPr>
        <w:t>Выражение признательности</w:t>
      </w:r>
    </w:p>
    <w:p w14:paraId="6B8B3B25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60.</w:t>
      </w:r>
      <w:r>
        <w:tab/>
        <w:t xml:space="preserve">Рабочая группа была проинформирована о том, что г-жа Карин Пеллетье, представитель МОПАП, больше не будет участвовать в ее работе, и пожелала ей успехов в выполнении ее новых обязанностей. Рабочая группа поблагодарила ее за экспертные знания и значительный вклад, который она внесла в работу по вопросам конструкции транспортных средств, в том числе благодаря ее участию в неофициальной рабочей группе по электромобилям. </w:t>
      </w:r>
    </w:p>
    <w:p w14:paraId="5768EBBB" w14:textId="5A3E5FA5" w:rsidR="00BD082D" w:rsidRPr="002B60A3" w:rsidRDefault="00BD082D" w:rsidP="00BD082D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outlineLvl w:val="1"/>
        <w:rPr>
          <w:b/>
          <w:sz w:val="28"/>
          <w:szCs w:val="28"/>
        </w:rPr>
      </w:pPr>
      <w:r>
        <w:rPr>
          <w:b/>
          <w:bCs/>
        </w:rPr>
        <w:tab/>
      </w:r>
      <w:r w:rsidRPr="002B60A3">
        <w:rPr>
          <w:b/>
          <w:bCs/>
          <w:sz w:val="28"/>
          <w:szCs w:val="28"/>
        </w:rPr>
        <w:t>X.</w:t>
      </w:r>
      <w:r w:rsidRPr="002B60A3">
        <w:rPr>
          <w:sz w:val="28"/>
          <w:szCs w:val="28"/>
        </w:rPr>
        <w:tab/>
      </w:r>
      <w:r w:rsidRPr="002B60A3">
        <w:rPr>
          <w:b/>
          <w:bCs/>
          <w:sz w:val="28"/>
          <w:szCs w:val="28"/>
        </w:rPr>
        <w:t xml:space="preserve">Выборы должностных лиц на 2023 год </w:t>
      </w:r>
      <w:r w:rsidR="00E16A7A">
        <w:rPr>
          <w:b/>
          <w:bCs/>
          <w:sz w:val="28"/>
          <w:szCs w:val="28"/>
        </w:rPr>
        <w:br/>
      </w:r>
      <w:r w:rsidRPr="002B60A3">
        <w:rPr>
          <w:b/>
          <w:bCs/>
          <w:sz w:val="28"/>
          <w:szCs w:val="28"/>
        </w:rPr>
        <w:t>(пункт 9 повестки дня)</w:t>
      </w:r>
    </w:p>
    <w:p w14:paraId="6F285759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61.</w:t>
      </w:r>
      <w:r>
        <w:tab/>
        <w:t>По предложению представителя Люксембурга, поддержанному Нидерландами, Рабочая группа избрала г-жу Ариан Румье (Франция) и г-на Альфонсо Симони (Италия) соответственно Председателем и заместителем Председателя на 2023 год.</w:t>
      </w:r>
    </w:p>
    <w:p w14:paraId="79ABD92E" w14:textId="77777777" w:rsidR="00BD082D" w:rsidRPr="002B60A3" w:rsidRDefault="00BD082D" w:rsidP="00BD082D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outlineLvl w:val="1"/>
        <w:rPr>
          <w:b/>
          <w:sz w:val="28"/>
          <w:szCs w:val="28"/>
        </w:rPr>
      </w:pPr>
      <w:r>
        <w:rPr>
          <w:b/>
          <w:bCs/>
        </w:rPr>
        <w:tab/>
      </w:r>
      <w:r w:rsidRPr="002B60A3">
        <w:rPr>
          <w:b/>
          <w:bCs/>
          <w:sz w:val="28"/>
          <w:szCs w:val="28"/>
        </w:rPr>
        <w:t>XI.</w:t>
      </w:r>
      <w:r w:rsidRPr="002B60A3">
        <w:rPr>
          <w:sz w:val="28"/>
          <w:szCs w:val="28"/>
        </w:rPr>
        <w:tab/>
      </w:r>
      <w:r w:rsidRPr="002B60A3">
        <w:rPr>
          <w:b/>
          <w:bCs/>
          <w:sz w:val="28"/>
          <w:szCs w:val="28"/>
        </w:rPr>
        <w:t>Утверждение доклада (пункт 10 повестки дня)</w:t>
      </w:r>
    </w:p>
    <w:p w14:paraId="50B7B09F" w14:textId="77777777" w:rsidR="00BD082D" w:rsidRPr="00F13EBE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t>62.</w:t>
      </w:r>
      <w:r>
        <w:tab/>
        <w:t>Рабочая группа утвердила доклад о работе своей сто двенадцатой сессии и приложение к нему на основе проекта, подготовленного секретариатом.</w:t>
      </w:r>
    </w:p>
    <w:p w14:paraId="31FFA7CB" w14:textId="1C0494E4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SimSun"/>
        </w:rPr>
      </w:pPr>
      <w:r>
        <w:lastRenderedPageBreak/>
        <w:t>63.</w:t>
      </w:r>
      <w:r>
        <w:tab/>
        <w:t>В соответствии со специальными процедурами принятия решений на официальных совещаниях с дистанционным участием, принятыми Исполнительным комитетом (ECE/EX/2020/L.12), решения, принятые Рабочей группой, были опубликованы и сообщены всем постоянным представительствам в Женеве (</w:t>
      </w:r>
      <w:hyperlink r:id="rId13" w:history="1">
        <w:r w:rsidRPr="00E16A7A">
          <w:rPr>
            <w:rStyle w:val="Hyperlink"/>
          </w:rPr>
          <w:t>https://unece.org/silence-procedure</w:t>
        </w:r>
      </w:hyperlink>
      <w:r>
        <w:t>).</w:t>
      </w:r>
    </w:p>
    <w:p w14:paraId="37D4DD08" w14:textId="77777777" w:rsidR="00BD082D" w:rsidRPr="00394990" w:rsidRDefault="00BD082D" w:rsidP="00BD082D">
      <w:pPr>
        <w:tabs>
          <w:tab w:val="left" w:pos="1701"/>
          <w:tab w:val="left" w:pos="2268"/>
        </w:tabs>
        <w:spacing w:after="120"/>
        <w:ind w:left="1134" w:right="1134"/>
        <w:jc w:val="both"/>
        <w:rPr>
          <w:rFonts w:eastAsia="Calibri"/>
        </w:rPr>
      </w:pPr>
      <w:r>
        <w:t>64.</w:t>
      </w:r>
      <w:r>
        <w:tab/>
        <w:t>После опубликования никаких возражений не поступило. Решения считаются принятыми.</w:t>
      </w:r>
    </w:p>
    <w:p w14:paraId="7C303DEA" w14:textId="77777777" w:rsidR="00BD082D" w:rsidRPr="00394990" w:rsidRDefault="00BD082D" w:rsidP="00BD082D">
      <w:pPr>
        <w:suppressAutoHyphens w:val="0"/>
        <w:spacing w:line="240" w:lineRule="auto"/>
        <w:rPr>
          <w:rFonts w:eastAsia="SimSun"/>
          <w:lang w:eastAsia="zh-CN"/>
        </w:rPr>
      </w:pPr>
      <w:r w:rsidRPr="00394990">
        <w:rPr>
          <w:rFonts w:eastAsia="SimSun"/>
          <w:lang w:eastAsia="zh-CN"/>
        </w:rPr>
        <w:br w:type="page"/>
      </w:r>
    </w:p>
    <w:p w14:paraId="61C43B2F" w14:textId="77777777" w:rsidR="00BD082D" w:rsidRPr="00466879" w:rsidRDefault="00BD082D" w:rsidP="00BD082D">
      <w:pPr>
        <w:pStyle w:val="H1G"/>
        <w:rPr>
          <w:sz w:val="28"/>
          <w:szCs w:val="28"/>
        </w:rPr>
      </w:pPr>
      <w:r w:rsidRPr="00466879">
        <w:rPr>
          <w:bCs/>
          <w:sz w:val="28"/>
          <w:szCs w:val="28"/>
        </w:rPr>
        <w:lastRenderedPageBreak/>
        <w:t>Приложение</w:t>
      </w:r>
    </w:p>
    <w:p w14:paraId="401F599C" w14:textId="77777777" w:rsidR="00BD082D" w:rsidRPr="00394990" w:rsidRDefault="00BD082D" w:rsidP="00BD082D">
      <w:pPr>
        <w:pStyle w:val="H1G"/>
      </w:pPr>
      <w:r>
        <w:tab/>
      </w:r>
      <w:r>
        <w:tab/>
      </w:r>
      <w:r>
        <w:rPr>
          <w:bCs/>
        </w:rPr>
        <w:t>Проекты поправок к приложениям А и В к ДОПОГ для вступления в силу 1 января 2025 года</w:t>
      </w:r>
    </w:p>
    <w:p w14:paraId="0DBD7FDB" w14:textId="77777777" w:rsidR="00BD082D" w:rsidRPr="00394990" w:rsidRDefault="00BD082D" w:rsidP="00BD082D">
      <w:pPr>
        <w:pStyle w:val="H23G"/>
      </w:pPr>
      <w:r>
        <w:tab/>
      </w:r>
      <w:r>
        <w:tab/>
      </w:r>
      <w:r>
        <w:rPr>
          <w:bCs/>
        </w:rPr>
        <w:t>Глава 1.6</w:t>
      </w:r>
    </w:p>
    <w:p w14:paraId="39DEA14B" w14:textId="77777777" w:rsidR="00BD082D" w:rsidRPr="00394990" w:rsidRDefault="00BD082D" w:rsidP="00BD082D">
      <w:pPr>
        <w:pStyle w:val="SingleTxtG"/>
        <w:ind w:left="2268" w:hanging="1134"/>
      </w:pPr>
      <w:r>
        <w:t>1.6.4.59</w:t>
      </w:r>
      <w:r>
        <w:tab/>
        <w:t>Изменить следующим образом:</w:t>
      </w:r>
    </w:p>
    <w:p w14:paraId="2CDE7E95" w14:textId="77777777" w:rsidR="00BD082D" w:rsidRPr="00394990" w:rsidRDefault="00BD082D" w:rsidP="00BD082D">
      <w:pPr>
        <w:pStyle w:val="SingleTxtG"/>
      </w:pPr>
      <w:r>
        <w:t>«1.6.4.59</w:t>
      </w:r>
      <w:r>
        <w:tab/>
        <w:t>Контейнеры-цистерны из армированных волокном пластмасс, изготовленные до 1 июля 2033 года в соответствии с требованиями главы 6.9, действующими до 31 декабря 2022 года, могут по-прежнему эксплуатироваться в соответствии с положениями главы 4.4, действующими до 31 декабря 2022 года.».</w:t>
      </w:r>
    </w:p>
    <w:p w14:paraId="6EAAE6C7" w14:textId="77777777" w:rsidR="00BD082D" w:rsidRPr="00394990" w:rsidRDefault="00BD082D" w:rsidP="00BD082D">
      <w:pPr>
        <w:pStyle w:val="SingleTxtG"/>
        <w:rPr>
          <w:i/>
          <w:iCs/>
        </w:rPr>
      </w:pPr>
      <w:r>
        <w:rPr>
          <w:i/>
          <w:iCs/>
        </w:rPr>
        <w:t>(Справочный документ: ECE/TRANS/WP.15/2022/10 с поправками, содержащимися в неофициальном документе INF.9)</w:t>
      </w:r>
    </w:p>
    <w:p w14:paraId="2D645987" w14:textId="77777777" w:rsidR="00BD082D" w:rsidRPr="00394990" w:rsidRDefault="00BD082D" w:rsidP="00BD082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</w:rPr>
      </w:pPr>
      <w:r>
        <w:tab/>
      </w:r>
      <w:r>
        <w:tab/>
      </w:r>
      <w:r>
        <w:rPr>
          <w:b/>
          <w:bCs/>
        </w:rPr>
        <w:t>Глава 1.8</w:t>
      </w:r>
    </w:p>
    <w:p w14:paraId="7DCB65FB" w14:textId="77777777" w:rsidR="00BD082D" w:rsidRPr="00394990" w:rsidRDefault="00BD082D" w:rsidP="00BD082D">
      <w:pPr>
        <w:spacing w:after="120"/>
        <w:ind w:left="2268" w:right="1134" w:hanging="1134"/>
        <w:jc w:val="both"/>
      </w:pPr>
      <w:r>
        <w:t>1.8.3.2</w:t>
      </w:r>
      <w:r>
        <w:tab/>
        <w:t>Изменить нумерацию подпунктов a) и b) на b) и c). В перенумерованном подпункте c) перед словом «перевозку» вставить «отправку,» (дважды).</w:t>
      </w:r>
    </w:p>
    <w:p w14:paraId="7F145B7F" w14:textId="77777777" w:rsidR="00BD082D" w:rsidRPr="00394990" w:rsidRDefault="00BD082D" w:rsidP="00BD082D">
      <w:pPr>
        <w:spacing w:after="120"/>
        <w:ind w:left="2268" w:right="1134" w:hanging="1134"/>
        <w:jc w:val="both"/>
      </w:pPr>
      <w:r>
        <w:tab/>
        <w:t>Добавить новый подпункт a) следующего содержания:</w:t>
      </w:r>
    </w:p>
    <w:p w14:paraId="4B070727" w14:textId="77777777" w:rsidR="00BD082D" w:rsidRPr="00394990" w:rsidRDefault="00BD082D" w:rsidP="00BD082D">
      <w:pPr>
        <w:spacing w:after="120"/>
        <w:ind w:left="2268" w:right="1134" w:hanging="1134"/>
        <w:jc w:val="both"/>
      </w:pPr>
      <w:r>
        <w:t>«a)</w:t>
      </w:r>
      <w:r>
        <w:tab/>
      </w:r>
      <w:r w:rsidRPr="00382181">
        <w:rPr>
          <w:i/>
          <w:iCs/>
        </w:rPr>
        <w:t>(</w:t>
      </w:r>
      <w:r>
        <w:rPr>
          <w:i/>
          <w:iCs/>
        </w:rPr>
        <w:t>Зарезервирован</w:t>
      </w:r>
      <w:r w:rsidRPr="00382181">
        <w:rPr>
          <w:i/>
          <w:iCs/>
        </w:rPr>
        <w:t>)</w:t>
      </w:r>
      <w:r>
        <w:t>;».</w:t>
      </w:r>
    </w:p>
    <w:p w14:paraId="67AA5249" w14:textId="77777777" w:rsidR="00BD082D" w:rsidRPr="00394990" w:rsidRDefault="00BD082D" w:rsidP="00BD082D">
      <w:pPr>
        <w:spacing w:after="120"/>
        <w:ind w:left="1134" w:right="1134"/>
        <w:jc w:val="both"/>
        <w:rPr>
          <w:i/>
          <w:iCs/>
        </w:rPr>
      </w:pPr>
      <w:r>
        <w:rPr>
          <w:i/>
          <w:iCs/>
        </w:rPr>
        <w:t>(Справочный документ: ECE/TRANS/WP.15/AC.1/166, приложение, воспроизведенное в неофициальном документе INF.7)</w:t>
      </w:r>
    </w:p>
    <w:p w14:paraId="0C23A2AC" w14:textId="77777777" w:rsidR="00BD082D" w:rsidRPr="00394990" w:rsidRDefault="00BD082D" w:rsidP="00BD082D">
      <w:pPr>
        <w:pStyle w:val="H23G"/>
      </w:pPr>
      <w:r>
        <w:tab/>
      </w:r>
      <w:r>
        <w:tab/>
      </w:r>
      <w:r>
        <w:rPr>
          <w:bCs/>
        </w:rPr>
        <w:t>Глава 3.2</w:t>
      </w:r>
    </w:p>
    <w:p w14:paraId="4E246664" w14:textId="1F94D358" w:rsidR="00BD082D" w:rsidRPr="00394990" w:rsidRDefault="00BD082D" w:rsidP="00BD082D">
      <w:pPr>
        <w:pStyle w:val="SingleTxtG"/>
        <w:ind w:left="2268" w:hanging="1134"/>
      </w:pPr>
      <w:r>
        <w:t>3.2.1</w:t>
      </w:r>
      <w:r>
        <w:tab/>
      </w:r>
      <w:r w:rsidR="00E16A7A">
        <w:tab/>
      </w:r>
      <w:r>
        <w:t>В пояснительном примечании по колонке 10 таблицы А заменить слова «В</w:t>
      </w:r>
      <w:r w:rsidR="00E16A7A">
        <w:rPr>
          <w:lang w:val="en-US"/>
        </w:rPr>
        <w:t> </w:t>
      </w:r>
      <w:r>
        <w:t>отношении переносных цистерн из армированных волокном пластмасс» словами «В отношении переносных цистерн с корпусом из АВП».</w:t>
      </w:r>
    </w:p>
    <w:p w14:paraId="6578F639" w14:textId="77777777" w:rsidR="00BD082D" w:rsidRPr="00394990" w:rsidRDefault="00BD082D" w:rsidP="00BD082D">
      <w:pPr>
        <w:pStyle w:val="SingleTxtG"/>
        <w:rPr>
          <w:b/>
          <w:bCs/>
        </w:rPr>
      </w:pPr>
      <w:r>
        <w:rPr>
          <w:i/>
          <w:iCs/>
        </w:rPr>
        <w:t>(Справочный документ: неофициальный документ INF.3)</w:t>
      </w:r>
    </w:p>
    <w:p w14:paraId="6C8AD81F" w14:textId="77777777" w:rsidR="00BD082D" w:rsidRPr="00394990" w:rsidRDefault="00BD082D" w:rsidP="00BD082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</w:rPr>
      </w:pPr>
      <w:r>
        <w:tab/>
      </w:r>
      <w:r>
        <w:tab/>
      </w:r>
      <w:r>
        <w:rPr>
          <w:b/>
          <w:bCs/>
        </w:rPr>
        <w:t>Глава 3.2, таблица A</w:t>
      </w:r>
    </w:p>
    <w:p w14:paraId="2592214A" w14:textId="77777777" w:rsidR="00BD082D" w:rsidRPr="00394990" w:rsidRDefault="00BD082D" w:rsidP="00BD082D">
      <w:pPr>
        <w:spacing w:after="120"/>
        <w:ind w:left="2268" w:right="850" w:hanging="1134"/>
        <w:jc w:val="both"/>
      </w:pPr>
      <w:r>
        <w:t>Для № ООН 3090, 3091, 3480, 3481 добавить «677»</w:t>
      </w:r>
      <w:r w:rsidRPr="00E93223">
        <w:t xml:space="preserve"> </w:t>
      </w:r>
      <w:r>
        <w:t>в колонку 6.</w:t>
      </w:r>
    </w:p>
    <w:p w14:paraId="7213C974" w14:textId="77777777" w:rsidR="00BD082D" w:rsidRPr="00394990" w:rsidRDefault="00BD082D" w:rsidP="00BD082D">
      <w:pPr>
        <w:spacing w:after="120"/>
        <w:ind w:left="1134" w:right="1134"/>
        <w:jc w:val="both"/>
        <w:rPr>
          <w:i/>
          <w:iCs/>
        </w:rPr>
      </w:pPr>
      <w:r>
        <w:rPr>
          <w:i/>
          <w:iCs/>
        </w:rPr>
        <w:t>(Справочный документ: ECE/TRANS/WP.15/AC.1/166, приложение, воспроизведенное в неофициальном документе INF.7)</w:t>
      </w:r>
    </w:p>
    <w:p w14:paraId="7C246278" w14:textId="77777777" w:rsidR="00BD082D" w:rsidRPr="00394990" w:rsidRDefault="00BD082D" w:rsidP="00BD082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</w:rPr>
      </w:pPr>
      <w:r>
        <w:tab/>
      </w:r>
      <w:r>
        <w:tab/>
      </w:r>
      <w:r>
        <w:rPr>
          <w:b/>
          <w:bCs/>
        </w:rPr>
        <w:t>Глава 3.3</w:t>
      </w:r>
    </w:p>
    <w:p w14:paraId="1AE29533" w14:textId="60A00CB5" w:rsidR="00BD082D" w:rsidRPr="00394990" w:rsidRDefault="00BD082D" w:rsidP="00DD1266">
      <w:pPr>
        <w:spacing w:after="120"/>
        <w:ind w:left="2268" w:right="1133" w:hanging="1134"/>
        <w:jc w:val="both"/>
      </w:pPr>
      <w:r>
        <w:t>СП 376</w:t>
      </w:r>
      <w:r>
        <w:tab/>
        <w:t>В пятом абзаце исключить последнее предложение следующего содержания: «В обоих случаях элементы и батареи относятся к транспортной категории</w:t>
      </w:r>
      <w:r w:rsidR="00E16A7A">
        <w:rPr>
          <w:lang w:val="en-US"/>
        </w:rPr>
        <w:t> </w:t>
      </w:r>
      <w:r>
        <w:t>0.».</w:t>
      </w:r>
    </w:p>
    <w:p w14:paraId="018285E5" w14:textId="77777777" w:rsidR="00BD082D" w:rsidRPr="00394990" w:rsidRDefault="00BD082D" w:rsidP="00DD1266">
      <w:pPr>
        <w:spacing w:after="120"/>
        <w:ind w:left="1134" w:right="1134"/>
        <w:jc w:val="both"/>
        <w:rPr>
          <w:i/>
          <w:iCs/>
        </w:rPr>
      </w:pPr>
      <w:r>
        <w:rPr>
          <w:i/>
          <w:iCs/>
        </w:rPr>
        <w:t>(Справочный документ: ECE/TRANS/WP.15/AC.1/166, приложение, воспроизведенное в неофициальном документе INF.7)</w:t>
      </w:r>
    </w:p>
    <w:p w14:paraId="075756CB" w14:textId="77777777" w:rsidR="00BD082D" w:rsidRPr="00394990" w:rsidRDefault="00BD082D" w:rsidP="00BD082D">
      <w:pPr>
        <w:spacing w:after="120"/>
        <w:ind w:left="2268" w:right="850" w:hanging="1134"/>
        <w:jc w:val="both"/>
      </w:pPr>
      <w:r>
        <w:t>Добавить новое специальное положение следующего содержания:</w:t>
      </w:r>
    </w:p>
    <w:p w14:paraId="3CA970DB" w14:textId="77146EFE" w:rsidR="00BD082D" w:rsidRPr="00F13EBE" w:rsidRDefault="00BD082D" w:rsidP="00DD1266">
      <w:pPr>
        <w:spacing w:after="120"/>
        <w:ind w:left="2268" w:right="1133" w:hanging="1134"/>
        <w:jc w:val="both"/>
      </w:pPr>
      <w:r>
        <w:t>«СП 677</w:t>
      </w:r>
      <w:r>
        <w:tab/>
        <w:t xml:space="preserve">Элементы и батареи, которые, как установлено в соответствии со специальным положением 376, имеют повреждения или дефекты и могут быстро распадаться, вступать в опасные реакции, возгораться, создавать опасность выделения тепла или опасность выброса токсичных, коррозионных или воспламеняющихся газов или паров при нормальных условиях перевозки, должны быть отнесены к транспортной категории 0. </w:t>
      </w:r>
      <w:r w:rsidR="00E16A7A">
        <w:br/>
      </w:r>
      <w:r>
        <w:t>В транспортном документе слова “Перевозка в соответствии со специальным положением 376” должны быть дополнены словами “Транспортная категория 0”.».</w:t>
      </w:r>
    </w:p>
    <w:p w14:paraId="4B5B4EFF" w14:textId="77777777" w:rsidR="00BD082D" w:rsidRPr="00394990" w:rsidRDefault="00BD082D" w:rsidP="00BD082D">
      <w:pPr>
        <w:spacing w:after="120"/>
        <w:ind w:left="1134" w:right="1134"/>
        <w:jc w:val="both"/>
        <w:rPr>
          <w:i/>
          <w:iCs/>
        </w:rPr>
      </w:pPr>
      <w:r>
        <w:rPr>
          <w:i/>
          <w:iCs/>
        </w:rPr>
        <w:lastRenderedPageBreak/>
        <w:t>(Справочный документ: ECE/TRANS/WP.15/AC.1/166, приложение, воспроизведенное в неофициальном документе INF.7)</w:t>
      </w:r>
    </w:p>
    <w:p w14:paraId="08F26F19" w14:textId="77777777" w:rsidR="00BD082D" w:rsidRPr="00394990" w:rsidRDefault="00BD082D" w:rsidP="00BD082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</w:rPr>
      </w:pPr>
      <w:r>
        <w:tab/>
      </w:r>
      <w:r>
        <w:tab/>
      </w:r>
      <w:r>
        <w:rPr>
          <w:b/>
          <w:bCs/>
        </w:rPr>
        <w:t>Глава 4.1</w:t>
      </w:r>
    </w:p>
    <w:p w14:paraId="579CB91E" w14:textId="33A3323A" w:rsidR="00BD082D" w:rsidRPr="00394990" w:rsidRDefault="00BD082D" w:rsidP="00DD1266">
      <w:pPr>
        <w:spacing w:after="120"/>
        <w:ind w:left="2268" w:right="1133" w:hanging="1134"/>
        <w:jc w:val="both"/>
      </w:pPr>
      <w:r>
        <w:t>4.1.6.15</w:t>
      </w:r>
      <w:r>
        <w:tab/>
        <w:t>В таблице 4.1.6.15.1 для графы «4.1.6.2» во второй колонке заменить «EN</w:t>
      </w:r>
      <w:r w:rsidR="00E16A7A">
        <w:rPr>
          <w:lang w:val="en-US"/>
        </w:rPr>
        <w:t> </w:t>
      </w:r>
      <w:r>
        <w:t xml:space="preserve">ISO </w:t>
      </w:r>
      <w:proofErr w:type="gramStart"/>
      <w:r>
        <w:t>11114-2</w:t>
      </w:r>
      <w:proofErr w:type="gramEnd"/>
      <w:r>
        <w:t>:2013» на «EN ISO 11114-2:2021».</w:t>
      </w:r>
    </w:p>
    <w:p w14:paraId="3276A617" w14:textId="77777777" w:rsidR="00BD082D" w:rsidRPr="00394990" w:rsidRDefault="00BD082D" w:rsidP="00BD082D">
      <w:pPr>
        <w:spacing w:after="120"/>
        <w:ind w:left="1134" w:right="1134"/>
        <w:jc w:val="both"/>
        <w:rPr>
          <w:i/>
          <w:iCs/>
        </w:rPr>
      </w:pPr>
      <w:r>
        <w:rPr>
          <w:i/>
          <w:iCs/>
        </w:rPr>
        <w:t>(Справочный документ: ECE/TRANS/WP.15/AC.1/166, приложение, воспроизведенное в неофициальном документе INF.7)</w:t>
      </w:r>
    </w:p>
    <w:p w14:paraId="0CCE934E" w14:textId="77777777" w:rsidR="00BD082D" w:rsidRPr="00394990" w:rsidRDefault="00BD082D" w:rsidP="00BD082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</w:rPr>
      </w:pPr>
      <w:r>
        <w:tab/>
      </w:r>
      <w:r>
        <w:tab/>
      </w:r>
      <w:r>
        <w:rPr>
          <w:b/>
          <w:bCs/>
        </w:rPr>
        <w:t>Глава 4.3</w:t>
      </w:r>
    </w:p>
    <w:p w14:paraId="6BF5CDBB" w14:textId="77777777" w:rsidR="00BD082D" w:rsidRPr="00394990" w:rsidRDefault="00BD082D" w:rsidP="00BD082D">
      <w:pPr>
        <w:spacing w:after="120"/>
        <w:ind w:left="2268" w:right="1134" w:hanging="1134"/>
        <w:jc w:val="both"/>
      </w:pPr>
      <w:r>
        <w:t>4.3.2.1.7</w:t>
      </w:r>
      <w:r>
        <w:tab/>
        <w:t>В конце добавить новое примечание следующего содержания:</w:t>
      </w:r>
    </w:p>
    <w:p w14:paraId="4FE27A31" w14:textId="6DC1F6DA" w:rsidR="00BD082D" w:rsidRPr="00394990" w:rsidRDefault="00BD082D" w:rsidP="008A1621">
      <w:pPr>
        <w:spacing w:after="120"/>
        <w:ind w:left="3119" w:right="1134" w:hanging="1985"/>
        <w:jc w:val="both"/>
      </w:pPr>
      <w:r>
        <w:t>«</w:t>
      </w:r>
      <w:r>
        <w:rPr>
          <w:b/>
          <w:bCs/>
          <w:i/>
          <w:iCs/>
        </w:rPr>
        <w:t>ПРИМЕЧАНИЕ:</w:t>
      </w:r>
      <w:r>
        <w:tab/>
      </w:r>
      <w:r>
        <w:rPr>
          <w:i/>
          <w:iCs/>
        </w:rPr>
        <w:t>Комплект технической документации на цистерну может в качестве альтернативы храниться в электронной форме.</w:t>
      </w:r>
      <w:r>
        <w:t>».</w:t>
      </w:r>
    </w:p>
    <w:p w14:paraId="3E767BFF" w14:textId="77777777" w:rsidR="00BD082D" w:rsidRPr="00394990" w:rsidRDefault="00BD082D" w:rsidP="00BD082D">
      <w:pPr>
        <w:spacing w:after="120"/>
        <w:ind w:left="1134" w:right="1134"/>
        <w:jc w:val="both"/>
        <w:rPr>
          <w:i/>
          <w:iCs/>
        </w:rPr>
      </w:pPr>
      <w:r>
        <w:rPr>
          <w:i/>
          <w:iCs/>
        </w:rPr>
        <w:t>(Справочный документ: ECE/TRANS/WP.15/AC.1/166, приложение, воспроизведенное в неофициальном документе INF.7)</w:t>
      </w:r>
    </w:p>
    <w:p w14:paraId="627FC970" w14:textId="77777777" w:rsidR="00BD082D" w:rsidRPr="00394990" w:rsidRDefault="00BD082D" w:rsidP="00BD082D">
      <w:pPr>
        <w:pStyle w:val="H23G"/>
      </w:pPr>
      <w:r>
        <w:tab/>
      </w:r>
      <w:r>
        <w:tab/>
      </w:r>
      <w:r>
        <w:rPr>
          <w:bCs/>
        </w:rPr>
        <w:t>Глава 4.4</w:t>
      </w:r>
    </w:p>
    <w:p w14:paraId="5B5FCBCA" w14:textId="16CABC2E" w:rsidR="00BD082D" w:rsidRPr="00394990" w:rsidRDefault="00BD082D" w:rsidP="00BD082D">
      <w:pPr>
        <w:pStyle w:val="SingleTxtG"/>
        <w:ind w:left="2268" w:hanging="1134"/>
      </w:pPr>
      <w:r>
        <w:t>4.4</w:t>
      </w:r>
      <w:r>
        <w:tab/>
      </w:r>
      <w:r w:rsidR="00E16A7A">
        <w:tab/>
      </w:r>
      <w:r>
        <w:t>Изменить название главы 4.4 следующим образом: «ИСПОЛЬЗОВАНИЕ ВСТРОЕННЫХ ЦИСТЕРН (АВТОЦИСТЕРН) И СЪЕМНЫХ ЦИСТЕРН ИЗ АРМИРОВАННЫХ ВОЛОКНОМ ПЛАСТМАСС (АВП)».</w:t>
      </w:r>
    </w:p>
    <w:p w14:paraId="0519F920" w14:textId="77777777" w:rsidR="00BD082D" w:rsidRPr="00394990" w:rsidRDefault="00BD082D" w:rsidP="00BD082D">
      <w:pPr>
        <w:pStyle w:val="SingleTxtG"/>
      </w:pPr>
      <w:r>
        <w:rPr>
          <w:i/>
          <w:iCs/>
        </w:rPr>
        <w:t>(Справочный документ: ECE/TRANS/WP.15/2022/10 с редакционным изменением)</w:t>
      </w:r>
    </w:p>
    <w:p w14:paraId="5076F3F3" w14:textId="77777777" w:rsidR="00BD082D" w:rsidRPr="00394990" w:rsidRDefault="00BD082D" w:rsidP="00BD082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</w:rPr>
      </w:pPr>
      <w:r>
        <w:tab/>
      </w:r>
      <w:r>
        <w:tab/>
      </w:r>
      <w:r>
        <w:rPr>
          <w:b/>
          <w:bCs/>
        </w:rPr>
        <w:t>Глава 6.2</w:t>
      </w:r>
    </w:p>
    <w:p w14:paraId="7E799B5F" w14:textId="77777777" w:rsidR="00BD082D" w:rsidRPr="00394990" w:rsidRDefault="00BD082D" w:rsidP="00BD082D">
      <w:pPr>
        <w:spacing w:after="120"/>
        <w:ind w:left="2268" w:right="1134" w:hanging="1134"/>
        <w:jc w:val="both"/>
      </w:pPr>
      <w:r>
        <w:t>6.2.4.1</w:t>
      </w:r>
      <w:r>
        <w:tab/>
        <w:t>Изменить таблицу «</w:t>
      </w:r>
      <w:r>
        <w:rPr>
          <w:i/>
          <w:iCs/>
        </w:rPr>
        <w:t>Для конструкции и изготовления затворов</w:t>
      </w:r>
      <w:r>
        <w:t>» следующим образом:</w:t>
      </w:r>
    </w:p>
    <w:p w14:paraId="1A4A9382" w14:textId="77777777" w:rsidR="00BD082D" w:rsidRPr="00394990" w:rsidRDefault="00BD082D" w:rsidP="00BD082D">
      <w:pPr>
        <w:spacing w:after="120"/>
        <w:ind w:left="2694" w:right="1134" w:hanging="426"/>
        <w:jc w:val="both"/>
      </w:pPr>
      <w:r>
        <w:t>В конце включить следующую новую строку:</w:t>
      </w:r>
    </w:p>
    <w:tbl>
      <w:tblPr>
        <w:tblW w:w="8469" w:type="dxa"/>
        <w:tblInd w:w="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4353"/>
        <w:gridCol w:w="1092"/>
        <w:gridCol w:w="980"/>
        <w:gridCol w:w="456"/>
      </w:tblGrid>
      <w:tr w:rsidR="00BD082D" w:rsidRPr="00B3466E" w14:paraId="0186B017" w14:textId="77777777" w:rsidTr="008970D8">
        <w:tc>
          <w:tcPr>
            <w:tcW w:w="1588" w:type="dxa"/>
            <w:vAlign w:val="center"/>
          </w:tcPr>
          <w:p w14:paraId="3A09AFC7" w14:textId="77777777" w:rsidR="00BD082D" w:rsidRPr="00B3466E" w:rsidRDefault="00BD082D" w:rsidP="008970D8">
            <w:pPr>
              <w:widowControl w:val="0"/>
              <w:spacing w:before="40" w:after="80"/>
            </w:pPr>
            <w:r>
              <w:t>EN 13799:2022</w:t>
            </w:r>
          </w:p>
        </w:tc>
        <w:tc>
          <w:tcPr>
            <w:tcW w:w="4353" w:type="dxa"/>
          </w:tcPr>
          <w:p w14:paraId="20A93F0F" w14:textId="77777777" w:rsidR="00BD082D" w:rsidRPr="00394990" w:rsidRDefault="00BD082D" w:rsidP="008970D8">
            <w:pPr>
              <w:widowControl w:val="0"/>
              <w:spacing w:before="40" w:after="80"/>
            </w:pPr>
            <w:r>
              <w:t>Оборудование для СНГ и его вспомогательные приспособления ⸺ Уровнемеры для емкостей высокого давления для сжиженного нефтяного газа (СНГ)</w:t>
            </w:r>
          </w:p>
        </w:tc>
        <w:tc>
          <w:tcPr>
            <w:tcW w:w="1092" w:type="dxa"/>
            <w:vAlign w:val="center"/>
          </w:tcPr>
          <w:p w14:paraId="17E4ED28" w14:textId="77777777" w:rsidR="00BD082D" w:rsidRPr="00B3466E" w:rsidRDefault="00BD082D" w:rsidP="008970D8">
            <w:pPr>
              <w:widowControl w:val="0"/>
              <w:spacing w:before="40" w:after="80"/>
              <w:jc w:val="center"/>
            </w:pPr>
            <w:r>
              <w:t>6.2.3.1 и 6.2.3.3</w:t>
            </w:r>
          </w:p>
        </w:tc>
        <w:tc>
          <w:tcPr>
            <w:tcW w:w="980" w:type="dxa"/>
            <w:vAlign w:val="center"/>
          </w:tcPr>
          <w:p w14:paraId="446ACEAE" w14:textId="77777777" w:rsidR="00BD082D" w:rsidRPr="00B3466E" w:rsidRDefault="00BD082D" w:rsidP="008970D8">
            <w:pPr>
              <w:widowControl w:val="0"/>
              <w:spacing w:before="40" w:after="80"/>
              <w:jc w:val="center"/>
            </w:pPr>
            <w:r>
              <w:t>До дальней-шего указания</w:t>
            </w:r>
          </w:p>
        </w:tc>
        <w:tc>
          <w:tcPr>
            <w:tcW w:w="456" w:type="dxa"/>
            <w:vAlign w:val="center"/>
          </w:tcPr>
          <w:p w14:paraId="5087B710" w14:textId="77777777" w:rsidR="00BD082D" w:rsidRPr="00B3466E" w:rsidRDefault="00BD082D" w:rsidP="008970D8">
            <w:pPr>
              <w:widowControl w:val="0"/>
              <w:spacing w:before="40" w:after="80"/>
            </w:pPr>
          </w:p>
        </w:tc>
      </w:tr>
    </w:tbl>
    <w:p w14:paraId="271E1C94" w14:textId="77777777" w:rsidR="00BD082D" w:rsidRPr="00394990" w:rsidRDefault="00BD082D" w:rsidP="007D6573">
      <w:pPr>
        <w:spacing w:before="120" w:after="120"/>
        <w:ind w:left="1134" w:right="1134"/>
        <w:jc w:val="both"/>
        <w:rPr>
          <w:i/>
          <w:iCs/>
        </w:rPr>
      </w:pPr>
      <w:r>
        <w:rPr>
          <w:i/>
          <w:iCs/>
        </w:rPr>
        <w:t>(Справочный документ: ECE/TRANS/WP.15/AC.1/166, приложение, воспроизведенное в неофициальном документе INF.7)</w:t>
      </w:r>
    </w:p>
    <w:p w14:paraId="493B126A" w14:textId="77777777" w:rsidR="00BD082D" w:rsidRPr="00394990" w:rsidRDefault="00BD082D" w:rsidP="00BD082D">
      <w:pPr>
        <w:keepNext/>
        <w:keepLines/>
        <w:tabs>
          <w:tab w:val="right" w:pos="851"/>
        </w:tabs>
        <w:spacing w:before="240" w:after="120" w:line="240" w:lineRule="exact"/>
        <w:ind w:left="1134" w:right="1134" w:hanging="1134"/>
        <w:rPr>
          <w:b/>
        </w:rPr>
      </w:pPr>
      <w:r>
        <w:tab/>
      </w:r>
      <w:r>
        <w:tab/>
      </w:r>
      <w:r>
        <w:rPr>
          <w:b/>
          <w:bCs/>
        </w:rPr>
        <w:t>Глава 6.8</w:t>
      </w:r>
    </w:p>
    <w:p w14:paraId="7A3E37C5" w14:textId="77777777" w:rsidR="00BD082D" w:rsidRPr="00394990" w:rsidRDefault="00BD082D" w:rsidP="00BD082D">
      <w:pPr>
        <w:spacing w:after="120"/>
        <w:ind w:left="2268" w:right="1134" w:hanging="1134"/>
        <w:jc w:val="both"/>
      </w:pPr>
      <w:r>
        <w:t>6.8.2.1.17</w:t>
      </w:r>
      <w:r>
        <w:tab/>
        <w:t>В конце определения «P</w:t>
      </w:r>
      <w:r>
        <w:rPr>
          <w:vertAlign w:val="subscript"/>
        </w:rPr>
        <w:t>расчет</w:t>
      </w:r>
      <w:r>
        <w:t>» добавить «или в таблице пункта 4.3.3.1.1».</w:t>
      </w:r>
    </w:p>
    <w:p w14:paraId="3FEE7F32" w14:textId="77777777" w:rsidR="00BD082D" w:rsidRPr="00394990" w:rsidRDefault="00BD082D" w:rsidP="00BD082D">
      <w:pPr>
        <w:spacing w:after="120"/>
        <w:ind w:left="1134" w:right="1134"/>
        <w:jc w:val="both"/>
        <w:rPr>
          <w:i/>
          <w:iCs/>
        </w:rPr>
      </w:pPr>
      <w:r>
        <w:rPr>
          <w:i/>
          <w:iCs/>
        </w:rPr>
        <w:t>(Справочный документ: ECE/TRANS/WP.15/AC.1/166, приложение, воспроизведенное в неофициальном документе INF.7)</w:t>
      </w:r>
    </w:p>
    <w:p w14:paraId="3B927A1B" w14:textId="77777777" w:rsidR="00BD082D" w:rsidRPr="00394990" w:rsidRDefault="00BD082D" w:rsidP="00BD082D">
      <w:pPr>
        <w:spacing w:after="120"/>
        <w:ind w:left="1134" w:right="1134"/>
        <w:jc w:val="both"/>
        <w:rPr>
          <w:rFonts w:cs="Arial"/>
          <w:bCs/>
        </w:rPr>
      </w:pPr>
      <w:r>
        <w:t>6.8.2.6.1</w:t>
      </w:r>
      <w:r>
        <w:tab/>
        <w:t>В таблице, под заголовком «</w:t>
      </w:r>
      <w:r>
        <w:rPr>
          <w:i/>
          <w:iCs/>
        </w:rPr>
        <w:t>Для конструкции и изготовления цистерн</w:t>
      </w:r>
      <w:r>
        <w:t>»:</w:t>
      </w:r>
    </w:p>
    <w:p w14:paraId="7D632895" w14:textId="4649CABD" w:rsidR="00BD082D" w:rsidRPr="00007BE2" w:rsidRDefault="00904BA9" w:rsidP="007D6573">
      <w:pPr>
        <w:spacing w:after="120"/>
        <w:ind w:left="2835" w:right="1134" w:hanging="567"/>
        <w:jc w:val="both"/>
        <w:rPr>
          <w:rFonts w:cs="Arial"/>
        </w:rPr>
      </w:pPr>
      <w:r>
        <w:rPr>
          <w:rFonts w:cs="Times New Roman"/>
        </w:rPr>
        <w:t>–</w:t>
      </w:r>
      <w:r w:rsidR="00BD082D">
        <w:tab/>
        <w:t>В строке для EN 14025:2018 + AС:2020 в колонке 4 заменить «До</w:t>
      </w:r>
      <w:r w:rsidR="007D6573">
        <w:rPr>
          <w:lang w:val="en-US"/>
        </w:rPr>
        <w:t> </w:t>
      </w:r>
      <w:r w:rsidR="00BD082D">
        <w:t>дальнейшего указания» на «С 1 января 2021 года до 31</w:t>
      </w:r>
      <w:r w:rsidR="007D6573">
        <w:rPr>
          <w:lang w:val="en-US"/>
        </w:rPr>
        <w:t> </w:t>
      </w:r>
      <w:r w:rsidR="00BD082D">
        <w:t>декабря 2026 года». Под этой строкой добавить новую строку следующего содержания:</w:t>
      </w:r>
    </w:p>
    <w:tbl>
      <w:tblPr>
        <w:tblW w:w="8505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4"/>
        <w:gridCol w:w="4353"/>
        <w:gridCol w:w="1106"/>
        <w:gridCol w:w="980"/>
        <w:gridCol w:w="442"/>
      </w:tblGrid>
      <w:tr w:rsidR="008970D8" w:rsidRPr="00B3466E" w14:paraId="035D3535" w14:textId="77777777" w:rsidTr="008970D8"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E6F8" w14:textId="77777777" w:rsidR="00BD082D" w:rsidRPr="00B3466E" w:rsidRDefault="00BD082D" w:rsidP="008970D8">
            <w:pPr>
              <w:widowControl w:val="0"/>
              <w:tabs>
                <w:tab w:val="left" w:pos="720"/>
              </w:tabs>
              <w:spacing w:before="40" w:after="80"/>
              <w:rPr>
                <w:rFonts w:cs="Arial"/>
              </w:rPr>
            </w:pPr>
            <w:r>
              <w:t>EN 14025:[2023]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1A843" w14:textId="335C4DA6" w:rsidR="00BD082D" w:rsidRPr="00394990" w:rsidRDefault="00BD082D" w:rsidP="008970D8">
            <w:pPr>
              <w:widowControl w:val="0"/>
              <w:tabs>
                <w:tab w:val="left" w:pos="599"/>
              </w:tabs>
              <w:spacing w:before="40" w:after="80"/>
              <w:rPr>
                <w:bCs/>
                <w:color w:val="000000"/>
              </w:rPr>
            </w:pPr>
            <w:r>
              <w:t xml:space="preserve">Цистерны для перевозки опасных грузов </w:t>
            </w:r>
            <w:r w:rsidR="007D6573">
              <w:rPr>
                <w:rFonts w:cs="Times New Roman"/>
              </w:rPr>
              <w:t>—</w:t>
            </w:r>
            <w:r>
              <w:t xml:space="preserve"> Металлические цистерны под давлением </w:t>
            </w:r>
            <w:r w:rsidR="007D6573">
              <w:rPr>
                <w:rFonts w:cs="Times New Roman"/>
              </w:rPr>
              <w:t>—</w:t>
            </w:r>
            <w:r>
              <w:t xml:space="preserve"> Конструкция и изготовление</w:t>
            </w:r>
          </w:p>
          <w:p w14:paraId="5B80E8F5" w14:textId="77777777" w:rsidR="00BD082D" w:rsidRPr="00394990" w:rsidRDefault="00BD082D" w:rsidP="008970D8">
            <w:pPr>
              <w:widowControl w:val="0"/>
              <w:tabs>
                <w:tab w:val="left" w:pos="1901"/>
              </w:tabs>
              <w:spacing w:before="40" w:after="80"/>
              <w:rPr>
                <w:rFonts w:cs="Arial"/>
                <w:bCs/>
                <w:i/>
              </w:rPr>
            </w:pPr>
            <w:r>
              <w:rPr>
                <w:b/>
                <w:bCs/>
                <w:i/>
                <w:iCs/>
              </w:rPr>
              <w:t>ПРИМЕЧАНИЕ:</w:t>
            </w:r>
            <w:r>
              <w:tab/>
            </w:r>
            <w:r>
              <w:rPr>
                <w:i/>
                <w:iCs/>
              </w:rPr>
              <w:t>Пригодность материалов для изготовления корпусов должна быть подтверждена, по крайней мере, на основе свидетельства типа 3.1, выданного в соответствии со стандартом EN 10204.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5D7F1" w14:textId="77777777" w:rsidR="00BD082D" w:rsidRPr="00B3466E" w:rsidRDefault="00BD082D" w:rsidP="008970D8">
            <w:pPr>
              <w:widowControl w:val="0"/>
              <w:tabs>
                <w:tab w:val="left" w:pos="720"/>
              </w:tabs>
              <w:spacing w:before="40" w:after="80"/>
              <w:jc w:val="center"/>
              <w:rPr>
                <w:rFonts w:cs="Arial"/>
              </w:rPr>
            </w:pPr>
            <w:r>
              <w:t>6.8.2.1 и 6.8.3.1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A29B1" w14:textId="77777777" w:rsidR="00BD082D" w:rsidRPr="00B3466E" w:rsidRDefault="00BD082D" w:rsidP="008970D8">
            <w:pPr>
              <w:widowControl w:val="0"/>
              <w:tabs>
                <w:tab w:val="left" w:pos="720"/>
              </w:tabs>
              <w:spacing w:before="40" w:after="80"/>
              <w:jc w:val="center"/>
              <w:rPr>
                <w:rFonts w:cs="Arial"/>
              </w:rPr>
            </w:pPr>
            <w:r>
              <w:t>До дальней-шего указания</w:t>
            </w: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4FEF" w14:textId="77777777" w:rsidR="00BD082D" w:rsidRPr="00B3466E" w:rsidRDefault="00BD082D" w:rsidP="008970D8">
            <w:pPr>
              <w:widowControl w:val="0"/>
              <w:tabs>
                <w:tab w:val="left" w:pos="720"/>
              </w:tabs>
              <w:spacing w:before="40" w:after="80"/>
              <w:rPr>
                <w:rFonts w:cs="Arial"/>
              </w:rPr>
            </w:pPr>
          </w:p>
        </w:tc>
      </w:tr>
    </w:tbl>
    <w:p w14:paraId="29CEDA44" w14:textId="77777777" w:rsidR="00BD082D" w:rsidRPr="00394990" w:rsidRDefault="00BD082D" w:rsidP="007D6573">
      <w:pPr>
        <w:spacing w:before="120" w:after="120"/>
        <w:ind w:left="1134" w:right="1134"/>
        <w:jc w:val="both"/>
        <w:rPr>
          <w:i/>
          <w:iCs/>
        </w:rPr>
      </w:pPr>
      <w:r>
        <w:rPr>
          <w:i/>
          <w:iCs/>
        </w:rPr>
        <w:lastRenderedPageBreak/>
        <w:t>(Справочный документ: ECE/TRANS/WP.15/AC.1/166, приложение, воспроизведенное в неофициальном документе INF.7)</w:t>
      </w:r>
    </w:p>
    <w:p w14:paraId="7F983C64" w14:textId="77777777" w:rsidR="00BD082D" w:rsidRPr="00394990" w:rsidRDefault="00BD082D" w:rsidP="00BD082D">
      <w:pPr>
        <w:spacing w:after="120"/>
        <w:ind w:left="2268" w:right="850" w:hanging="1134"/>
        <w:jc w:val="both"/>
      </w:pPr>
      <w:r>
        <w:tab/>
        <w:t>В таблице, под заголовком «</w:t>
      </w:r>
      <w:r>
        <w:rPr>
          <w:i/>
          <w:iCs/>
        </w:rPr>
        <w:t>Для оборудования</w:t>
      </w:r>
      <w:r>
        <w:t>»:</w:t>
      </w:r>
    </w:p>
    <w:p w14:paraId="0E51B26E" w14:textId="76976BB2" w:rsidR="00BD082D" w:rsidRPr="00B3466E" w:rsidRDefault="00BD082D" w:rsidP="007D6573">
      <w:pPr>
        <w:spacing w:before="120" w:after="120"/>
        <w:ind w:left="2835" w:right="1134" w:hanging="567"/>
        <w:jc w:val="both"/>
        <w:rPr>
          <w:rFonts w:cs="Arial"/>
        </w:rPr>
      </w:pPr>
      <w:r>
        <w:t>[</w:t>
      </w:r>
      <w:r w:rsidR="00904BA9">
        <w:rPr>
          <w:rFonts w:cs="Times New Roman"/>
        </w:rPr>
        <w:t>–</w:t>
      </w:r>
      <w:r>
        <w:tab/>
        <w:t>В строке для EN 14432:2014 в колонке 4 заменить «До</w:t>
      </w:r>
      <w:r w:rsidR="007D6573">
        <w:rPr>
          <w:lang w:val="en-US"/>
        </w:rPr>
        <w:t> </w:t>
      </w:r>
      <w:r>
        <w:t>дальнейшего указания» на «С 1 января 2019 года до 31</w:t>
      </w:r>
      <w:r w:rsidR="007D6573">
        <w:rPr>
          <w:lang w:val="en-US"/>
        </w:rPr>
        <w:t> </w:t>
      </w:r>
      <w:r>
        <w:t>декабря 2026 года». Под этой строкой добавить новую строку следующего содержания:</w:t>
      </w:r>
    </w:p>
    <w:tbl>
      <w:tblPr>
        <w:tblStyle w:val="TableGrid"/>
        <w:tblW w:w="8505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1624"/>
        <w:gridCol w:w="4353"/>
        <w:gridCol w:w="1106"/>
        <w:gridCol w:w="980"/>
        <w:gridCol w:w="442"/>
      </w:tblGrid>
      <w:tr w:rsidR="008970D8" w:rsidRPr="00B3466E" w14:paraId="529DBE02" w14:textId="77777777" w:rsidTr="008970D8">
        <w:tc>
          <w:tcPr>
            <w:tcW w:w="1624" w:type="dxa"/>
            <w:vAlign w:val="center"/>
          </w:tcPr>
          <w:p w14:paraId="276B61E9" w14:textId="77777777" w:rsidR="00BD082D" w:rsidRPr="00B3466E" w:rsidRDefault="00BD082D" w:rsidP="007D6573">
            <w:pPr>
              <w:spacing w:before="40" w:after="120"/>
              <w:jc w:val="center"/>
            </w:pPr>
            <w:r>
              <w:t>EN 14432:[2023]</w:t>
            </w:r>
          </w:p>
        </w:tc>
        <w:tc>
          <w:tcPr>
            <w:tcW w:w="4353" w:type="dxa"/>
          </w:tcPr>
          <w:p w14:paraId="5D97FA97" w14:textId="77777777" w:rsidR="00BD082D" w:rsidRPr="00394990" w:rsidRDefault="00BD082D" w:rsidP="007D6573">
            <w:pPr>
              <w:spacing w:before="40" w:after="120"/>
              <w:ind w:left="138"/>
            </w:pPr>
            <w:r>
              <w:t>Цистерны для перевозки опасных грузов — Оборудование цистерн для перевозки жидких химических продуктов и сжиженных газов — Клапаны слива продукта и впуска воздуха</w:t>
            </w:r>
          </w:p>
          <w:p w14:paraId="2A754F9E" w14:textId="3A68695F" w:rsidR="00BD082D" w:rsidRPr="00394990" w:rsidRDefault="00BD082D" w:rsidP="007D6573">
            <w:pPr>
              <w:tabs>
                <w:tab w:val="left" w:pos="2057"/>
              </w:tabs>
              <w:spacing w:before="40" w:after="120"/>
              <w:ind w:left="138"/>
            </w:pPr>
            <w:r>
              <w:rPr>
                <w:b/>
                <w:bCs/>
                <w:i/>
                <w:iCs/>
              </w:rPr>
              <w:t>ПРИМЕЧАНИЕ:</w:t>
            </w:r>
            <w:r w:rsidR="007D6573">
              <w:rPr>
                <w:i/>
                <w:iCs/>
              </w:rPr>
              <w:tab/>
            </w:r>
            <w:r>
              <w:rPr>
                <w:i/>
                <w:iCs/>
              </w:rPr>
              <w:t>Данный стандарт также может быть использован для цистерн, опорожняемых самотеком.</w:t>
            </w:r>
          </w:p>
        </w:tc>
        <w:tc>
          <w:tcPr>
            <w:tcW w:w="1106" w:type="dxa"/>
            <w:vAlign w:val="center"/>
          </w:tcPr>
          <w:p w14:paraId="5DB902FC" w14:textId="0BA85592" w:rsidR="00BD082D" w:rsidRPr="00B3466E" w:rsidRDefault="00BD082D" w:rsidP="007D6573">
            <w:pPr>
              <w:spacing w:before="40" w:after="120"/>
              <w:jc w:val="center"/>
            </w:pPr>
            <w:r>
              <w:t>6.8.2.2.1, 6.8.2.2.2 и 6.8.2.3.1</w:t>
            </w:r>
          </w:p>
        </w:tc>
        <w:tc>
          <w:tcPr>
            <w:tcW w:w="980" w:type="dxa"/>
            <w:vAlign w:val="center"/>
          </w:tcPr>
          <w:p w14:paraId="2AD6DF26" w14:textId="77777777" w:rsidR="00BD082D" w:rsidRPr="00B3466E" w:rsidRDefault="00BD082D" w:rsidP="007D6573">
            <w:pPr>
              <w:spacing w:before="40" w:after="120"/>
              <w:jc w:val="center"/>
            </w:pPr>
            <w:r>
              <w:t>До дальней-шего указания</w:t>
            </w:r>
          </w:p>
        </w:tc>
        <w:tc>
          <w:tcPr>
            <w:tcW w:w="442" w:type="dxa"/>
          </w:tcPr>
          <w:p w14:paraId="103B6BA8" w14:textId="77777777" w:rsidR="00BD082D" w:rsidRPr="00B3466E" w:rsidRDefault="00BD082D" w:rsidP="007D6573">
            <w:pPr>
              <w:spacing w:before="40" w:after="120"/>
            </w:pPr>
          </w:p>
        </w:tc>
      </w:tr>
    </w:tbl>
    <w:p w14:paraId="088F327D" w14:textId="77777777" w:rsidR="00BD082D" w:rsidRPr="00B3466E" w:rsidRDefault="00BD082D" w:rsidP="007D6573">
      <w:pPr>
        <w:spacing w:before="120" w:after="120"/>
        <w:ind w:left="1134" w:right="1134"/>
        <w:jc w:val="both"/>
      </w:pPr>
      <w:r>
        <w:t>]</w:t>
      </w:r>
    </w:p>
    <w:p w14:paraId="78909E21" w14:textId="77777777" w:rsidR="00BD082D" w:rsidRPr="00394990" w:rsidRDefault="00BD082D" w:rsidP="00BD082D">
      <w:pPr>
        <w:spacing w:after="120"/>
        <w:ind w:left="1134" w:right="1134"/>
        <w:jc w:val="both"/>
        <w:rPr>
          <w:i/>
          <w:iCs/>
        </w:rPr>
      </w:pPr>
      <w:r>
        <w:rPr>
          <w:i/>
          <w:iCs/>
        </w:rPr>
        <w:t>(Справочный документ: ECE/TRANS/WP.15/AC.1/166, приложение, воспроизведенное в неофициальном документе INF.7)</w:t>
      </w:r>
    </w:p>
    <w:p w14:paraId="5F0F4515" w14:textId="13E864AD" w:rsidR="00BD082D" w:rsidRPr="00B3466E" w:rsidRDefault="00BD082D" w:rsidP="007D6573">
      <w:pPr>
        <w:spacing w:after="120"/>
        <w:ind w:left="2835" w:right="1134" w:hanging="567"/>
        <w:jc w:val="both"/>
        <w:rPr>
          <w:rFonts w:cs="Arial"/>
        </w:rPr>
      </w:pPr>
      <w:r>
        <w:t>[</w:t>
      </w:r>
      <w:r w:rsidR="00904BA9">
        <w:rPr>
          <w:rFonts w:cs="Times New Roman"/>
        </w:rPr>
        <w:t>–</w:t>
      </w:r>
      <w:r>
        <w:tab/>
        <w:t>В строке для EN 14433:2014 в колонке 4 заменить «До</w:t>
      </w:r>
      <w:r w:rsidR="007D6573">
        <w:rPr>
          <w:lang w:val="en-US"/>
        </w:rPr>
        <w:t> </w:t>
      </w:r>
      <w:r>
        <w:t>дальнейшего указания» на «С 1 января 2019 года до 31</w:t>
      </w:r>
      <w:r w:rsidR="007D6573">
        <w:rPr>
          <w:lang w:val="en-US"/>
        </w:rPr>
        <w:t> </w:t>
      </w:r>
      <w:r>
        <w:t>декабря 2026 года». Под этой строкой добавить новую строку следующего содержания:</w:t>
      </w:r>
    </w:p>
    <w:tbl>
      <w:tblPr>
        <w:tblStyle w:val="TableGrid"/>
        <w:tblW w:w="8511" w:type="dxa"/>
        <w:tblInd w:w="1129" w:type="dxa"/>
        <w:tblLayout w:type="fixed"/>
        <w:tblLook w:val="04A0" w:firstRow="1" w:lastRow="0" w:firstColumn="1" w:lastColumn="0" w:noHBand="0" w:noVBand="1"/>
      </w:tblPr>
      <w:tblGrid>
        <w:gridCol w:w="1624"/>
        <w:gridCol w:w="4353"/>
        <w:gridCol w:w="1106"/>
        <w:gridCol w:w="980"/>
        <w:gridCol w:w="448"/>
      </w:tblGrid>
      <w:tr w:rsidR="00BD082D" w:rsidRPr="00B3466E" w14:paraId="42975171" w14:textId="77777777" w:rsidTr="008970D8">
        <w:tc>
          <w:tcPr>
            <w:tcW w:w="1624" w:type="dxa"/>
            <w:vAlign w:val="center"/>
          </w:tcPr>
          <w:p w14:paraId="36687E3A" w14:textId="77777777" w:rsidR="00BD082D" w:rsidRPr="00B3466E" w:rsidRDefault="00BD082D" w:rsidP="00280959">
            <w:pPr>
              <w:spacing w:before="40" w:after="120"/>
              <w:jc w:val="center"/>
            </w:pPr>
            <w:r>
              <w:t>EN 14433:[2023]</w:t>
            </w:r>
          </w:p>
        </w:tc>
        <w:tc>
          <w:tcPr>
            <w:tcW w:w="4353" w:type="dxa"/>
          </w:tcPr>
          <w:p w14:paraId="61BF58DA" w14:textId="77777777" w:rsidR="00BD082D" w:rsidRPr="00394990" w:rsidRDefault="00BD082D" w:rsidP="00280959">
            <w:pPr>
              <w:spacing w:before="40" w:after="120"/>
              <w:ind w:left="138"/>
            </w:pPr>
            <w:r>
              <w:t>Цистерны для перевозки опасных грузов — Оборудование цистерн для перевозки жидких химических продуктов и сжиженных газов — Нижние клапаны</w:t>
            </w:r>
          </w:p>
          <w:p w14:paraId="04C07E9D" w14:textId="0DF2FC68" w:rsidR="00BD082D" w:rsidRPr="00394990" w:rsidRDefault="00BD082D" w:rsidP="00280959">
            <w:pPr>
              <w:tabs>
                <w:tab w:val="left" w:pos="2057"/>
              </w:tabs>
              <w:spacing w:before="40" w:after="120"/>
              <w:ind w:left="138"/>
            </w:pPr>
            <w:r>
              <w:rPr>
                <w:b/>
                <w:bCs/>
                <w:i/>
                <w:iCs/>
              </w:rPr>
              <w:t>ПРИМЕЧАНИЕ:</w:t>
            </w:r>
            <w:r w:rsidR="00280959">
              <w:rPr>
                <w:b/>
                <w:bCs/>
                <w:i/>
                <w:iCs/>
              </w:rPr>
              <w:tab/>
            </w:r>
            <w:r>
              <w:rPr>
                <w:i/>
                <w:iCs/>
              </w:rPr>
              <w:t>Данный стандарт также может быть использован для цистерн, опорожняемых самотеком.</w:t>
            </w:r>
          </w:p>
        </w:tc>
        <w:tc>
          <w:tcPr>
            <w:tcW w:w="1106" w:type="dxa"/>
            <w:vAlign w:val="center"/>
          </w:tcPr>
          <w:p w14:paraId="2FC40DA5" w14:textId="77777777" w:rsidR="00BD082D" w:rsidRPr="00B3466E" w:rsidRDefault="00BD082D" w:rsidP="00280959">
            <w:pPr>
              <w:spacing w:before="40" w:after="120"/>
              <w:jc w:val="center"/>
            </w:pPr>
            <w:r>
              <w:t>6.8.2.2.1, 6.8.2.2.2 и 6.8.2.3.1</w:t>
            </w:r>
          </w:p>
        </w:tc>
        <w:tc>
          <w:tcPr>
            <w:tcW w:w="980" w:type="dxa"/>
            <w:vAlign w:val="center"/>
          </w:tcPr>
          <w:p w14:paraId="7C9AACCA" w14:textId="77777777" w:rsidR="00BD082D" w:rsidRPr="00B3466E" w:rsidRDefault="00BD082D" w:rsidP="00280959">
            <w:pPr>
              <w:spacing w:before="40" w:after="120"/>
              <w:jc w:val="center"/>
            </w:pPr>
            <w:r>
              <w:t>До дальней-шего указания</w:t>
            </w:r>
          </w:p>
        </w:tc>
        <w:tc>
          <w:tcPr>
            <w:tcW w:w="448" w:type="dxa"/>
          </w:tcPr>
          <w:p w14:paraId="54E3CF5F" w14:textId="77777777" w:rsidR="00BD082D" w:rsidRPr="00B3466E" w:rsidRDefault="00BD082D" w:rsidP="00280959">
            <w:pPr>
              <w:spacing w:before="40" w:after="120"/>
            </w:pPr>
          </w:p>
        </w:tc>
      </w:tr>
    </w:tbl>
    <w:p w14:paraId="421C4566" w14:textId="77777777" w:rsidR="00BD082D" w:rsidRPr="00B3466E" w:rsidRDefault="00BD082D" w:rsidP="00280959">
      <w:pPr>
        <w:spacing w:before="120" w:after="120"/>
        <w:ind w:left="1134" w:right="1134"/>
        <w:jc w:val="both"/>
      </w:pPr>
      <w:r>
        <w:t>]</w:t>
      </w:r>
    </w:p>
    <w:p w14:paraId="519F42BB" w14:textId="77777777" w:rsidR="00BD082D" w:rsidRPr="00394990" w:rsidRDefault="00BD082D" w:rsidP="00BD082D">
      <w:pPr>
        <w:spacing w:after="120"/>
        <w:ind w:left="1134" w:right="1134"/>
        <w:jc w:val="both"/>
        <w:rPr>
          <w:i/>
          <w:iCs/>
        </w:rPr>
      </w:pPr>
      <w:r>
        <w:rPr>
          <w:i/>
          <w:iCs/>
        </w:rPr>
        <w:t>(Справочный документ: ECE/TRANS/WP.15/AC.1/166, приложение, воспроизведенное в неофициальном документе INF.7)</w:t>
      </w:r>
    </w:p>
    <w:p w14:paraId="65CFD041" w14:textId="77777777" w:rsidR="00BD082D" w:rsidRPr="00394990" w:rsidRDefault="00BD082D" w:rsidP="00280959">
      <w:pPr>
        <w:spacing w:before="120" w:after="120"/>
        <w:ind w:left="2835" w:right="1134" w:hanging="567"/>
        <w:jc w:val="both"/>
      </w:pPr>
      <w:r>
        <w:t>-</w:t>
      </w:r>
      <w:r>
        <w:tab/>
        <w:t>После последней строки включить новую строку следующего содержания:</w:t>
      </w:r>
    </w:p>
    <w:tbl>
      <w:tblPr>
        <w:tblW w:w="8475" w:type="dxa"/>
        <w:tblInd w:w="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2"/>
        <w:gridCol w:w="4339"/>
        <w:gridCol w:w="1106"/>
        <w:gridCol w:w="994"/>
        <w:gridCol w:w="434"/>
      </w:tblGrid>
      <w:tr w:rsidR="00BD082D" w:rsidRPr="00B3466E" w14:paraId="613B795F" w14:textId="77777777" w:rsidTr="008970D8">
        <w:tc>
          <w:tcPr>
            <w:tcW w:w="1602" w:type="dxa"/>
            <w:vAlign w:val="center"/>
          </w:tcPr>
          <w:p w14:paraId="70754306" w14:textId="77777777" w:rsidR="00BD082D" w:rsidRPr="00B3466E" w:rsidRDefault="00BD082D" w:rsidP="00CA6576">
            <w:pPr>
              <w:widowControl w:val="0"/>
              <w:spacing w:before="60" w:after="60"/>
              <w:rPr>
                <w:strike/>
              </w:rPr>
            </w:pPr>
            <w:r>
              <w:t>EN 13799:2022</w:t>
            </w:r>
          </w:p>
        </w:tc>
        <w:tc>
          <w:tcPr>
            <w:tcW w:w="4339" w:type="dxa"/>
          </w:tcPr>
          <w:p w14:paraId="5D992F38" w14:textId="77777777" w:rsidR="00BD082D" w:rsidRPr="00394990" w:rsidRDefault="00BD082D" w:rsidP="00CA6576">
            <w:pPr>
              <w:keepLines/>
              <w:widowControl w:val="0"/>
              <w:spacing w:before="60" w:after="120"/>
              <w:rPr>
                <w:strike/>
              </w:rPr>
            </w:pPr>
            <w:r>
              <w:t>Оборудование для СНГ и его вспомогательные приспособления ⸺ Уровнемеры для емкостей высокого давления для сжиженного нефтяного газа (СНГ)</w:t>
            </w:r>
          </w:p>
        </w:tc>
        <w:tc>
          <w:tcPr>
            <w:tcW w:w="1106" w:type="dxa"/>
            <w:vAlign w:val="center"/>
          </w:tcPr>
          <w:p w14:paraId="58B562DD" w14:textId="77777777" w:rsidR="00BD082D" w:rsidRPr="00B3466E" w:rsidRDefault="00BD082D" w:rsidP="00CA6576">
            <w:pPr>
              <w:widowControl w:val="0"/>
              <w:spacing w:before="60" w:after="60"/>
              <w:jc w:val="center"/>
            </w:pPr>
            <w:r>
              <w:t>6.8.2.2.1 и 6.8.2.2.11</w:t>
            </w:r>
          </w:p>
        </w:tc>
        <w:tc>
          <w:tcPr>
            <w:tcW w:w="994" w:type="dxa"/>
            <w:vAlign w:val="center"/>
          </w:tcPr>
          <w:p w14:paraId="419EAB3A" w14:textId="77777777" w:rsidR="00BD082D" w:rsidRPr="00B3466E" w:rsidRDefault="00BD082D" w:rsidP="00CA6576">
            <w:pPr>
              <w:widowControl w:val="0"/>
              <w:spacing w:before="60" w:after="60"/>
              <w:jc w:val="center"/>
            </w:pPr>
            <w:r>
              <w:t>До дальней-шего указания</w:t>
            </w:r>
          </w:p>
        </w:tc>
        <w:tc>
          <w:tcPr>
            <w:tcW w:w="434" w:type="dxa"/>
            <w:vAlign w:val="center"/>
          </w:tcPr>
          <w:p w14:paraId="7F1B9BF8" w14:textId="77777777" w:rsidR="00BD082D" w:rsidRPr="00B3466E" w:rsidRDefault="00BD082D" w:rsidP="00CA6576">
            <w:pPr>
              <w:widowControl w:val="0"/>
              <w:spacing w:before="60" w:after="60"/>
              <w:rPr>
                <w:strike/>
              </w:rPr>
            </w:pPr>
          </w:p>
        </w:tc>
      </w:tr>
    </w:tbl>
    <w:p w14:paraId="41AC0A27" w14:textId="77777777" w:rsidR="00BD082D" w:rsidRPr="00394990" w:rsidRDefault="00BD082D" w:rsidP="00280959">
      <w:pPr>
        <w:spacing w:before="120" w:after="120"/>
        <w:ind w:left="1134" w:right="1134"/>
        <w:jc w:val="both"/>
        <w:rPr>
          <w:i/>
          <w:iCs/>
        </w:rPr>
      </w:pPr>
      <w:r>
        <w:rPr>
          <w:i/>
          <w:iCs/>
        </w:rPr>
        <w:t>(Справочный документ: ECE/TRANS/WP.15/AC.1/166, приложение, воспроизведенное в неофициальном документе INF.7)</w:t>
      </w:r>
    </w:p>
    <w:p w14:paraId="000E4F71" w14:textId="197F3BB4" w:rsidR="00BD082D" w:rsidRPr="00F13EBE" w:rsidRDefault="00BD082D" w:rsidP="00280959">
      <w:pPr>
        <w:spacing w:after="120"/>
        <w:ind w:left="2835" w:right="850" w:hanging="1701"/>
        <w:jc w:val="both"/>
      </w:pPr>
      <w:r>
        <w:t>6.8.4 d), TT11</w:t>
      </w:r>
      <w:r>
        <w:tab/>
        <w:t>В абзаце после таблицы заменить «EN 14025:2018» на «EN</w:t>
      </w:r>
      <w:r w:rsidR="00280959">
        <w:rPr>
          <w:lang w:val="en-US"/>
        </w:rPr>
        <w:t> </w:t>
      </w:r>
      <w:r>
        <w:t>14025:[2023]».</w:t>
      </w:r>
    </w:p>
    <w:p w14:paraId="400A4A4A" w14:textId="77777777" w:rsidR="00BD082D" w:rsidRPr="00394990" w:rsidRDefault="00BD082D" w:rsidP="00BD082D">
      <w:pPr>
        <w:spacing w:after="120"/>
        <w:ind w:left="1134" w:right="1134"/>
        <w:jc w:val="both"/>
        <w:rPr>
          <w:i/>
          <w:iCs/>
        </w:rPr>
      </w:pPr>
      <w:r>
        <w:rPr>
          <w:i/>
          <w:iCs/>
        </w:rPr>
        <w:t>(Справочный документ: ECE/TRANS/WP.15/AC.1/166, приложение, воспроизведенное в неофициальном документе INF.7)</w:t>
      </w:r>
    </w:p>
    <w:p w14:paraId="65D0C11D" w14:textId="77777777" w:rsidR="00BD082D" w:rsidRPr="00394990" w:rsidRDefault="00BD082D" w:rsidP="00280959">
      <w:pPr>
        <w:pStyle w:val="H23G"/>
      </w:pPr>
      <w:r>
        <w:lastRenderedPageBreak/>
        <w:tab/>
      </w:r>
      <w:r>
        <w:tab/>
      </w:r>
      <w:r>
        <w:rPr>
          <w:bCs/>
        </w:rPr>
        <w:t>Глава 9.1</w:t>
      </w:r>
    </w:p>
    <w:p w14:paraId="148D60E9" w14:textId="77777777" w:rsidR="00BD082D" w:rsidRPr="00394990" w:rsidRDefault="00BD082D" w:rsidP="00280959">
      <w:pPr>
        <w:pStyle w:val="SingleTxtG"/>
        <w:keepNext/>
        <w:ind w:left="2268" w:hanging="1134"/>
      </w:pPr>
      <w:r>
        <w:t>9.1.3.3</w:t>
      </w:r>
      <w:r>
        <w:tab/>
      </w:r>
      <w:r>
        <w:tab/>
        <w:t>В конце первого абзаца добавить следующий текст:</w:t>
      </w:r>
    </w:p>
    <w:p w14:paraId="0ECB894A" w14:textId="77777777" w:rsidR="00BD082D" w:rsidRPr="00394990" w:rsidRDefault="00BD082D" w:rsidP="00BD082D">
      <w:pPr>
        <w:pStyle w:val="SingleTxtG"/>
        <w:rPr>
          <w:bCs/>
        </w:rPr>
      </w:pPr>
      <w:r>
        <w:t xml:space="preserve">«На него могут наноситься дополнительные элементы защиты, такие как голограмма, печать изображения, видимого только при ультрафиолетовом освещении, гильоширный рисунок или штрихкод. </w:t>
      </w:r>
    </w:p>
    <w:p w14:paraId="315E89AA" w14:textId="77777777" w:rsidR="00BD082D" w:rsidRPr="00394990" w:rsidRDefault="00BD082D" w:rsidP="00BD082D">
      <w:pPr>
        <w:pStyle w:val="SingleTxtG"/>
        <w:rPr>
          <w:bCs/>
        </w:rPr>
      </w:pPr>
      <w:r>
        <w:t xml:space="preserve">Договаривающиеся стороны, которые включили дополнительные элементы защиты в свидетельство о допущении к перевозке, передают секретариату ЕЭК ООН пример национального образца каждого свидетельства, предназначенного для выдачи в соответствии с настоящим разделом. Договаривающиеся стороны передают также </w:t>
      </w:r>
      <w:r w:rsidRPr="00FF6A39">
        <w:rPr>
          <w:rFonts w:eastAsia="Calibri" w:cs="Arial"/>
        </w:rPr>
        <w:t>пояснения</w:t>
      </w:r>
      <w:r>
        <w:t>, позволяющие проверять соответствие свидетельств переданным примерам образцов. Секретариат размещает эту информацию на своем веб-сайте.».</w:t>
      </w:r>
    </w:p>
    <w:p w14:paraId="12D417ED" w14:textId="77777777" w:rsidR="00BD082D" w:rsidRPr="00394990" w:rsidRDefault="00BD082D" w:rsidP="00BD082D">
      <w:pPr>
        <w:pStyle w:val="SingleTxtG"/>
        <w:rPr>
          <w:i/>
          <w:iCs/>
        </w:rPr>
      </w:pPr>
      <w:r>
        <w:rPr>
          <w:i/>
          <w:iCs/>
        </w:rPr>
        <w:t>(Справочный документ: ECE/TRANS/WP.15/2022/7, предложение 2 с поправками, содержащимися в неофициальном документе INF.10) (Ссылка для перевода второго абзаца: ДОПОГ 2021 года, пункт 8.2.2.8.6)</w:t>
      </w:r>
    </w:p>
    <w:p w14:paraId="6DA6986A" w14:textId="77777777" w:rsidR="00BD082D" w:rsidRPr="006B4545" w:rsidRDefault="00BD082D" w:rsidP="00BD082D">
      <w:pPr>
        <w:pStyle w:val="H23G"/>
      </w:pPr>
      <w:r>
        <w:tab/>
      </w:r>
      <w:r>
        <w:tab/>
      </w:r>
      <w:r>
        <w:rPr>
          <w:bCs/>
        </w:rPr>
        <w:t>Глава 9.2</w:t>
      </w:r>
    </w:p>
    <w:p w14:paraId="2B3218FD" w14:textId="77777777" w:rsidR="00BD082D" w:rsidRPr="00F13EBE" w:rsidRDefault="00BD082D" w:rsidP="00BD082D">
      <w:pPr>
        <w:pStyle w:val="SingleTxtG"/>
        <w:ind w:left="2268" w:hanging="1134"/>
      </w:pPr>
      <w:r>
        <w:t>9.2.2.2.2</w:t>
      </w:r>
      <w:r>
        <w:tab/>
        <w:t>В третьем абзаце заменить «ISO 19642-8, ISO 19642-9 или ISO 19642:10:2019» на «ISO 19642-8:2019, ISO 19642-9:2019 или ISO 19642-10:2019».</w:t>
      </w:r>
    </w:p>
    <w:p w14:paraId="3BF56CC4" w14:textId="77777777" w:rsidR="00BD082D" w:rsidRPr="00394990" w:rsidRDefault="00BD082D" w:rsidP="00BD082D">
      <w:pPr>
        <w:pStyle w:val="SingleTxtG"/>
        <w:rPr>
          <w:i/>
          <w:iCs/>
        </w:rPr>
      </w:pPr>
      <w:r>
        <w:rPr>
          <w:i/>
          <w:iCs/>
        </w:rPr>
        <w:t>(Справочный документ: ECE/TRANS/WP.15/2022/8)</w:t>
      </w:r>
    </w:p>
    <w:p w14:paraId="743E120B" w14:textId="132CBC7F" w:rsidR="00BD082D" w:rsidRPr="00BD082D" w:rsidRDefault="00BD082D" w:rsidP="00BD082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D082D" w:rsidRPr="00BD082D" w:rsidSect="00BD082D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B15EA" w14:textId="77777777" w:rsidR="00DD4136" w:rsidRPr="00A312BC" w:rsidRDefault="00DD4136" w:rsidP="00A312BC"/>
  </w:endnote>
  <w:endnote w:type="continuationSeparator" w:id="0">
    <w:p w14:paraId="3B9D9310" w14:textId="77777777" w:rsidR="00DD4136" w:rsidRPr="00A312BC" w:rsidRDefault="00DD413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E9B15" w14:textId="3FA0A4E2" w:rsidR="00BD082D" w:rsidRPr="00BD082D" w:rsidRDefault="00BD082D">
    <w:pPr>
      <w:pStyle w:val="Footer"/>
    </w:pPr>
    <w:r w:rsidRPr="00BD082D">
      <w:rPr>
        <w:b/>
        <w:sz w:val="18"/>
      </w:rPr>
      <w:fldChar w:fldCharType="begin"/>
    </w:r>
    <w:r w:rsidRPr="00BD082D">
      <w:rPr>
        <w:b/>
        <w:sz w:val="18"/>
      </w:rPr>
      <w:instrText xml:space="preserve"> PAGE  \* MERGEFORMAT </w:instrText>
    </w:r>
    <w:r w:rsidRPr="00BD082D">
      <w:rPr>
        <w:b/>
        <w:sz w:val="18"/>
      </w:rPr>
      <w:fldChar w:fldCharType="separate"/>
    </w:r>
    <w:r w:rsidRPr="00BD082D">
      <w:rPr>
        <w:b/>
        <w:noProof/>
        <w:sz w:val="18"/>
      </w:rPr>
      <w:t>2</w:t>
    </w:r>
    <w:r w:rsidRPr="00BD082D">
      <w:rPr>
        <w:b/>
        <w:sz w:val="18"/>
      </w:rPr>
      <w:fldChar w:fldCharType="end"/>
    </w:r>
    <w:r>
      <w:rPr>
        <w:b/>
        <w:sz w:val="18"/>
      </w:rPr>
      <w:tab/>
    </w:r>
    <w:r>
      <w:t>GE.22-25470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99FD1" w14:textId="4223D67C" w:rsidR="00BD082D" w:rsidRPr="00BD082D" w:rsidRDefault="00BD082D" w:rsidP="00BD082D">
    <w:pPr>
      <w:pStyle w:val="Footer"/>
      <w:tabs>
        <w:tab w:val="clear" w:pos="9639"/>
        <w:tab w:val="right" w:pos="9638"/>
      </w:tabs>
      <w:rPr>
        <w:b/>
        <w:sz w:val="18"/>
      </w:rPr>
    </w:pPr>
    <w:r>
      <w:t>GE.22-25470</w:t>
    </w:r>
    <w:r>
      <w:tab/>
    </w:r>
    <w:r w:rsidRPr="00BD082D">
      <w:rPr>
        <w:b/>
        <w:sz w:val="18"/>
      </w:rPr>
      <w:fldChar w:fldCharType="begin"/>
    </w:r>
    <w:r w:rsidRPr="00BD082D">
      <w:rPr>
        <w:b/>
        <w:sz w:val="18"/>
      </w:rPr>
      <w:instrText xml:space="preserve"> PAGE  \* MERGEFORMAT </w:instrText>
    </w:r>
    <w:r w:rsidRPr="00BD082D">
      <w:rPr>
        <w:b/>
        <w:sz w:val="18"/>
      </w:rPr>
      <w:fldChar w:fldCharType="separate"/>
    </w:r>
    <w:r w:rsidRPr="00BD082D">
      <w:rPr>
        <w:b/>
        <w:noProof/>
        <w:sz w:val="18"/>
      </w:rPr>
      <w:t>3</w:t>
    </w:r>
    <w:r w:rsidRPr="00BD082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5E53" w14:textId="2B3641E6" w:rsidR="00042B72" w:rsidRPr="00E16A7A" w:rsidRDefault="00BD082D" w:rsidP="00BD082D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88CB6EB" wp14:editId="213A550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22-25470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45723BB" wp14:editId="05515F5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16A7A">
      <w:rPr>
        <w:lang w:val="en-US"/>
      </w:rPr>
      <w:t xml:space="preserve">  021222  081222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AA8B3" w14:textId="77777777" w:rsidR="00DD4136" w:rsidRPr="001075E9" w:rsidRDefault="00DD413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258F7AE" w14:textId="77777777" w:rsidR="00DD4136" w:rsidRDefault="00DD413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8CB9F" w14:textId="4D8BFD20" w:rsidR="00BD082D" w:rsidRPr="00BD082D" w:rsidRDefault="00BD082D">
    <w:pPr>
      <w:pStyle w:val="Header"/>
    </w:pPr>
    <w:fldSimple w:instr=" TITLE  \* MERGEFORMAT ">
      <w:r w:rsidR="0021649F">
        <w:t>ECE/TRANS/WP.15/260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2DE1C" w14:textId="0E0BC4AA" w:rsidR="00BD082D" w:rsidRPr="00BD082D" w:rsidRDefault="00BD082D" w:rsidP="00BD082D">
    <w:pPr>
      <w:pStyle w:val="Header"/>
      <w:jc w:val="right"/>
    </w:pPr>
    <w:fldSimple w:instr=" TITLE  \* MERGEFORMAT ">
      <w:r w:rsidR="0021649F">
        <w:t>ECE/TRANS/WP.15/260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2"/>
  </w:num>
  <w:num w:numId="3">
    <w:abstractNumId w:val="11"/>
  </w:num>
  <w:num w:numId="4">
    <w:abstractNumId w:val="19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 w:numId="23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136"/>
    <w:rsid w:val="00033EE1"/>
    <w:rsid w:val="00042B72"/>
    <w:rsid w:val="000558BD"/>
    <w:rsid w:val="000B57E7"/>
    <w:rsid w:val="000B6373"/>
    <w:rsid w:val="000C071B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1649F"/>
    <w:rsid w:val="00255343"/>
    <w:rsid w:val="0027151D"/>
    <w:rsid w:val="00280959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C3C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B0370"/>
    <w:rsid w:val="007B1894"/>
    <w:rsid w:val="007D6573"/>
    <w:rsid w:val="00806737"/>
    <w:rsid w:val="00825F8D"/>
    <w:rsid w:val="00834B71"/>
    <w:rsid w:val="00841273"/>
    <w:rsid w:val="0086445C"/>
    <w:rsid w:val="00894693"/>
    <w:rsid w:val="008970D8"/>
    <w:rsid w:val="008A08D7"/>
    <w:rsid w:val="008A1621"/>
    <w:rsid w:val="008A37C8"/>
    <w:rsid w:val="008B6909"/>
    <w:rsid w:val="008D53B6"/>
    <w:rsid w:val="008F7609"/>
    <w:rsid w:val="00904BA9"/>
    <w:rsid w:val="00906890"/>
    <w:rsid w:val="00911BE4"/>
    <w:rsid w:val="00951972"/>
    <w:rsid w:val="009608F3"/>
    <w:rsid w:val="009A24AC"/>
    <w:rsid w:val="009C59D7"/>
    <w:rsid w:val="009C6FE6"/>
    <w:rsid w:val="009D7E7D"/>
    <w:rsid w:val="00A1061F"/>
    <w:rsid w:val="00A14DA8"/>
    <w:rsid w:val="00A312BC"/>
    <w:rsid w:val="00A6328D"/>
    <w:rsid w:val="00A84021"/>
    <w:rsid w:val="00A84D35"/>
    <w:rsid w:val="00A917B3"/>
    <w:rsid w:val="00AA5CB1"/>
    <w:rsid w:val="00AB4B51"/>
    <w:rsid w:val="00B10CC7"/>
    <w:rsid w:val="00B36DF7"/>
    <w:rsid w:val="00B539E7"/>
    <w:rsid w:val="00B62458"/>
    <w:rsid w:val="00BC18B2"/>
    <w:rsid w:val="00BD082D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1266"/>
    <w:rsid w:val="00DD4136"/>
    <w:rsid w:val="00DD78D1"/>
    <w:rsid w:val="00DE32CD"/>
    <w:rsid w:val="00DF5767"/>
    <w:rsid w:val="00DF71B9"/>
    <w:rsid w:val="00E12C5F"/>
    <w:rsid w:val="00E16A7A"/>
    <w:rsid w:val="00E71BE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424357"/>
  <w15:docId w15:val="{D0BBC392-D982-414D-908E-A4F7E63A5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3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BD082D"/>
    <w:rPr>
      <w:lang w:val="ru-RU" w:eastAsia="en-US"/>
    </w:rPr>
  </w:style>
  <w:style w:type="paragraph" w:customStyle="1" w:styleId="ParNoG">
    <w:name w:val="_ParNo_G"/>
    <w:basedOn w:val="SingleTxtG"/>
    <w:qFormat/>
    <w:rsid w:val="00BD082D"/>
    <w:pPr>
      <w:numPr>
        <w:numId w:val="22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E16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ece.org/transport/dangerous-goods/country-information-competent-authorities-notifications" TargetMode="External"/><Relationship Id="rId13" Type="http://schemas.openxmlformats.org/officeDocument/2006/relationships/hyperlink" Target="https://unece.org/silence-procedure" TargetMode="Externa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learnitc.unece.org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nece.org/info/Transport/pub/2576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unece.org/info/Transport/Dangerous-Goods/events/364687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nece.org/guidelines-telematics-application-standards-construction-and-approval-vehicles-calculation-risks" TargetMode="External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5109</Words>
  <Characters>29127</Characters>
  <Application>Microsoft Office Word</Application>
  <DocSecurity>0</DocSecurity>
  <Lines>242</Lines>
  <Paragraphs>68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ECE/TRANS/WP.15/260</vt:lpstr>
      <vt:lpstr>A/</vt:lpstr>
      <vt:lpstr>A/</vt:lpstr>
    </vt:vector>
  </TitlesOfParts>
  <Company>DCM</Company>
  <LinksUpToDate>false</LinksUpToDate>
  <CharactersWithSpaces>34168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ECE/TRANS/WP.15/260</dc:title>
  <dc:subject/>
  <dc:creator>Anna PETELINA</dc:creator>
  <cp:keywords/>
  <cp:lastModifiedBy>Laurence Berthet</cp:lastModifiedBy>
  <cp:revision>3</cp:revision>
  <cp:lastPrinted>2022-12-08T10:54:00Z</cp:lastPrinted>
  <dcterms:created xsi:type="dcterms:W3CDTF">2022-12-08T10:53:00Z</dcterms:created>
  <dcterms:modified xsi:type="dcterms:W3CDTF">2022-12-08T10:54:00Z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