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5730583" w14:textId="77777777" w:rsidTr="00B20551">
        <w:trPr>
          <w:cantSplit/>
          <w:trHeight w:hRule="exact" w:val="851"/>
        </w:trPr>
        <w:tc>
          <w:tcPr>
            <w:tcW w:w="1276" w:type="dxa"/>
            <w:tcBorders>
              <w:bottom w:val="single" w:sz="4" w:space="0" w:color="auto"/>
            </w:tcBorders>
            <w:vAlign w:val="bottom"/>
          </w:tcPr>
          <w:p w14:paraId="54201343" w14:textId="77777777" w:rsidR="009E6CB7" w:rsidRDefault="009E6CB7" w:rsidP="00B20551">
            <w:pPr>
              <w:spacing w:after="80"/>
            </w:pPr>
          </w:p>
        </w:tc>
        <w:tc>
          <w:tcPr>
            <w:tcW w:w="2268" w:type="dxa"/>
            <w:tcBorders>
              <w:bottom w:val="single" w:sz="4" w:space="0" w:color="auto"/>
            </w:tcBorders>
            <w:vAlign w:val="bottom"/>
          </w:tcPr>
          <w:p w14:paraId="6D8FC36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F4782D5" w14:textId="3D0CCE3C" w:rsidR="009E6CB7" w:rsidRPr="00D47EEA" w:rsidRDefault="00BE7BD2" w:rsidP="00BE7BD2">
            <w:pPr>
              <w:jc w:val="right"/>
            </w:pPr>
            <w:r w:rsidRPr="00BE7BD2">
              <w:rPr>
                <w:sz w:val="40"/>
              </w:rPr>
              <w:t>ECE</w:t>
            </w:r>
            <w:r>
              <w:t>/TRANS/WP.15/AC.1/2023/11</w:t>
            </w:r>
          </w:p>
        </w:tc>
      </w:tr>
      <w:tr w:rsidR="009E6CB7" w14:paraId="77ACDE69" w14:textId="77777777" w:rsidTr="00B20551">
        <w:trPr>
          <w:cantSplit/>
          <w:trHeight w:hRule="exact" w:val="2835"/>
        </w:trPr>
        <w:tc>
          <w:tcPr>
            <w:tcW w:w="1276" w:type="dxa"/>
            <w:tcBorders>
              <w:top w:val="single" w:sz="4" w:space="0" w:color="auto"/>
              <w:bottom w:val="single" w:sz="12" w:space="0" w:color="auto"/>
            </w:tcBorders>
          </w:tcPr>
          <w:p w14:paraId="18A74E28" w14:textId="77777777" w:rsidR="009E6CB7" w:rsidRDefault="00686A48" w:rsidP="00B20551">
            <w:pPr>
              <w:spacing w:before="120"/>
            </w:pPr>
            <w:r>
              <w:rPr>
                <w:noProof/>
                <w:lang w:val="fr-CH" w:eastAsia="fr-CH"/>
              </w:rPr>
              <w:drawing>
                <wp:inline distT="0" distB="0" distL="0" distR="0" wp14:anchorId="6E5281D6" wp14:editId="6E4BE24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56E06A8"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88A43EA" w14:textId="77777777" w:rsidR="009E6CB7" w:rsidRDefault="00BE7BD2" w:rsidP="00BE7BD2">
            <w:pPr>
              <w:spacing w:before="240" w:line="240" w:lineRule="exact"/>
            </w:pPr>
            <w:r>
              <w:t>Distr.: General</w:t>
            </w:r>
          </w:p>
          <w:p w14:paraId="5385DE07" w14:textId="7EEC9561" w:rsidR="00BE7BD2" w:rsidRDefault="00C02C1B" w:rsidP="00BE7BD2">
            <w:pPr>
              <w:spacing w:line="240" w:lineRule="exact"/>
            </w:pPr>
            <w:r>
              <w:t>1</w:t>
            </w:r>
            <w:r w:rsidR="00CD3E68">
              <w:t>5</w:t>
            </w:r>
            <w:r w:rsidR="00BE7BD2">
              <w:t xml:space="preserve"> December 2022</w:t>
            </w:r>
          </w:p>
          <w:p w14:paraId="096487C1" w14:textId="77777777" w:rsidR="00BE7BD2" w:rsidRDefault="00BE7BD2" w:rsidP="00BE7BD2">
            <w:pPr>
              <w:spacing w:line="240" w:lineRule="exact"/>
            </w:pPr>
          </w:p>
          <w:p w14:paraId="490248BA" w14:textId="70B89EAC" w:rsidR="00BE7BD2" w:rsidRDefault="00BE7BD2" w:rsidP="00BE7BD2">
            <w:pPr>
              <w:spacing w:line="240" w:lineRule="exact"/>
            </w:pPr>
            <w:r>
              <w:t>Original: English</w:t>
            </w:r>
          </w:p>
        </w:tc>
      </w:tr>
    </w:tbl>
    <w:p w14:paraId="58AC0AF9" w14:textId="77777777" w:rsidR="00B52504" w:rsidRPr="00960236" w:rsidRDefault="00B52504" w:rsidP="00C411EB">
      <w:pPr>
        <w:spacing w:before="120"/>
        <w:rPr>
          <w:b/>
          <w:sz w:val="28"/>
          <w:szCs w:val="28"/>
        </w:rPr>
      </w:pPr>
      <w:r w:rsidRPr="00960236">
        <w:rPr>
          <w:b/>
          <w:sz w:val="28"/>
          <w:szCs w:val="28"/>
        </w:rPr>
        <w:t>Economic Commission for Europe</w:t>
      </w:r>
    </w:p>
    <w:p w14:paraId="5B2DD297" w14:textId="77777777" w:rsidR="00B52504" w:rsidRPr="00960236" w:rsidRDefault="00B52504" w:rsidP="00C411EB">
      <w:pPr>
        <w:spacing w:before="120"/>
        <w:rPr>
          <w:sz w:val="28"/>
          <w:szCs w:val="28"/>
        </w:rPr>
      </w:pPr>
      <w:r w:rsidRPr="00960236">
        <w:rPr>
          <w:sz w:val="28"/>
          <w:szCs w:val="28"/>
        </w:rPr>
        <w:t>Inland Transport Committee</w:t>
      </w:r>
    </w:p>
    <w:p w14:paraId="07F4C66C" w14:textId="77777777" w:rsidR="00B52504" w:rsidRPr="00960236" w:rsidRDefault="00B52504" w:rsidP="00C411EB">
      <w:pPr>
        <w:spacing w:before="120"/>
        <w:rPr>
          <w:b/>
          <w:sz w:val="24"/>
          <w:szCs w:val="24"/>
        </w:rPr>
      </w:pPr>
      <w:r w:rsidRPr="00960236">
        <w:rPr>
          <w:b/>
          <w:sz w:val="24"/>
          <w:szCs w:val="24"/>
        </w:rPr>
        <w:t>Working Party on the Transport of Dangerous Goods</w:t>
      </w:r>
    </w:p>
    <w:p w14:paraId="4B1C90A9" w14:textId="77777777" w:rsidR="00B52504" w:rsidRDefault="00B52504" w:rsidP="00B52504">
      <w:pPr>
        <w:spacing w:before="120"/>
        <w:rPr>
          <w:b/>
        </w:rPr>
      </w:pPr>
      <w:r>
        <w:rPr>
          <w:b/>
        </w:rPr>
        <w:t>Joint Meeting of the RID Committee of Experts and the</w:t>
      </w:r>
      <w:r>
        <w:rPr>
          <w:b/>
        </w:rPr>
        <w:br/>
        <w:t>Working Party on the Transport of Dangerous Goods</w:t>
      </w:r>
    </w:p>
    <w:p w14:paraId="6D5BEA1D" w14:textId="21E6779E" w:rsidR="00B52504" w:rsidRDefault="00B52504" w:rsidP="00B52504">
      <w:r>
        <w:t>Berne, 20-24 March 2023</w:t>
      </w:r>
    </w:p>
    <w:p w14:paraId="23CB31CB" w14:textId="11C918E8" w:rsidR="00AF22AE" w:rsidRPr="00AF22AE" w:rsidRDefault="00B52504" w:rsidP="00AF22AE">
      <w:pPr>
        <w:widowControl w:val="0"/>
        <w:rPr>
          <w:rStyle w:val="SingleTxtGChar"/>
          <w:b/>
          <w:bCs/>
        </w:rPr>
      </w:pPr>
      <w:r>
        <w:t xml:space="preserve">Item </w:t>
      </w:r>
      <w:r w:rsidR="00AF22AE">
        <w:t>5 (b)</w:t>
      </w:r>
      <w:r>
        <w:t xml:space="preserve"> of the provisional agenda</w:t>
      </w:r>
      <w:r w:rsidR="00AF22AE">
        <w:br/>
      </w:r>
      <w:r w:rsidR="00AF22AE" w:rsidRPr="00AF22AE">
        <w:rPr>
          <w:rStyle w:val="SingleTxtGChar"/>
          <w:b/>
          <w:bCs/>
        </w:rPr>
        <w:t>Proposals for amendments to RID/ADR/</w:t>
      </w:r>
      <w:r w:rsidR="00AF22AE">
        <w:rPr>
          <w:rStyle w:val="SingleTxtGChar"/>
          <w:b/>
          <w:bCs/>
        </w:rPr>
        <w:t>ADN</w:t>
      </w:r>
      <w:r w:rsidR="00AF22AE">
        <w:rPr>
          <w:rStyle w:val="SingleTxtGChar"/>
          <w:b/>
          <w:bCs/>
        </w:rPr>
        <w:br/>
        <w:t>n</w:t>
      </w:r>
      <w:r w:rsidR="00AF22AE" w:rsidRPr="00AF22AE">
        <w:rPr>
          <w:rStyle w:val="SingleTxtGChar"/>
          <w:b/>
          <w:bCs/>
        </w:rPr>
        <w:t>ew proposals</w:t>
      </w:r>
    </w:p>
    <w:p w14:paraId="38206FD7" w14:textId="77BC5A36" w:rsidR="00D21605" w:rsidRPr="00EE168C" w:rsidRDefault="00F3039C" w:rsidP="00F3039C">
      <w:pPr>
        <w:pStyle w:val="HChG"/>
      </w:pPr>
      <w:r>
        <w:tab/>
      </w:r>
      <w:r>
        <w:tab/>
      </w:r>
      <w:r w:rsidR="00D21605">
        <w:t>Amendment of packing instruction P 200 in 4.1.4.1</w:t>
      </w:r>
      <w:r w:rsidR="00EE7426">
        <w:t>:</w:t>
      </w:r>
      <w:r w:rsidR="00D21605">
        <w:t xml:space="preserve"> Prohibition of pressure relief devices for non-UN acetylene cylinders</w:t>
      </w:r>
    </w:p>
    <w:p w14:paraId="55F21774" w14:textId="53440EA3" w:rsidR="00C6155B" w:rsidRDefault="00F3039C" w:rsidP="0055435A">
      <w:pPr>
        <w:pStyle w:val="H1G"/>
        <w:rPr>
          <w:vertAlign w:val="superscript"/>
        </w:rPr>
        <w:sectPr w:rsidR="00C6155B" w:rsidSect="00C6155B">
          <w:headerReference w:type="even" r:id="rId12"/>
          <w:headerReference w:type="default" r:id="rId13"/>
          <w:footerReference w:type="even" r:id="rId14"/>
          <w:footerReference w:type="default" r:id="rId15"/>
          <w:footerReference w:type="first" r:id="rId16"/>
          <w:footnotePr>
            <w:numFmt w:val="chicago"/>
          </w:footnotePr>
          <w:endnotePr>
            <w:numFmt w:val="decimal"/>
          </w:endnotePr>
          <w:type w:val="continuous"/>
          <w:pgSz w:w="11907" w:h="16840" w:code="9"/>
          <w:pgMar w:top="1418" w:right="1134" w:bottom="1134" w:left="1134" w:header="851" w:footer="567" w:gutter="0"/>
          <w:cols w:space="720"/>
          <w:titlePg/>
          <w:docGrid w:linePitch="272"/>
        </w:sectPr>
      </w:pPr>
      <w:r>
        <w:tab/>
      </w:r>
      <w:r>
        <w:tab/>
      </w:r>
      <w:r w:rsidR="00CD3E68">
        <w:t>T</w:t>
      </w:r>
      <w:r w:rsidR="00D21605">
        <w:t xml:space="preserve">ransmitted by </w:t>
      </w:r>
      <w:r>
        <w:t xml:space="preserve">the </w:t>
      </w:r>
      <w:r w:rsidR="00CD3E68">
        <w:t>Government</w:t>
      </w:r>
      <w:r>
        <w:t xml:space="preserve"> </w:t>
      </w:r>
      <w:r w:rsidR="00CD3E68">
        <w:t>o</w:t>
      </w:r>
      <w:r>
        <w:t xml:space="preserve">f </w:t>
      </w:r>
      <w:r w:rsidR="00D21605">
        <w:t>Germany</w:t>
      </w:r>
      <w:r w:rsidR="00C6155B">
        <w:rPr>
          <w:rStyle w:val="FootnoteReference"/>
        </w:rPr>
        <w:footnoteReference w:id="2"/>
      </w:r>
      <w:r w:rsidR="0055435A">
        <w:rPr>
          <w:vertAlign w:val="superscript"/>
        </w:rPr>
        <w:t xml:space="preserve">, </w:t>
      </w:r>
      <w:r w:rsidR="0055435A">
        <w:rPr>
          <w:rStyle w:val="FootnoteReferenc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F40C60" w14:paraId="2909D175" w14:textId="77777777" w:rsidTr="00F40C60">
        <w:trPr>
          <w:jc w:val="center"/>
        </w:trPr>
        <w:tc>
          <w:tcPr>
            <w:tcW w:w="9629" w:type="dxa"/>
            <w:shd w:val="clear" w:color="auto" w:fill="auto"/>
          </w:tcPr>
          <w:p w14:paraId="1CA96163" w14:textId="77777777" w:rsidR="00F40C60" w:rsidRPr="00C6263E" w:rsidRDefault="00F40C60" w:rsidP="006E5E26">
            <w:pPr>
              <w:spacing w:before="240" w:after="120"/>
              <w:ind w:left="255"/>
              <w:rPr>
                <w:i/>
                <w:sz w:val="24"/>
              </w:rPr>
            </w:pPr>
            <w:r w:rsidRPr="00C6263E">
              <w:rPr>
                <w:i/>
                <w:sz w:val="24"/>
              </w:rPr>
              <w:t>Summary</w:t>
            </w:r>
          </w:p>
        </w:tc>
      </w:tr>
      <w:tr w:rsidR="00F40C60" w14:paraId="5BC09686" w14:textId="77777777" w:rsidTr="00F40C60">
        <w:trPr>
          <w:jc w:val="center"/>
        </w:trPr>
        <w:tc>
          <w:tcPr>
            <w:tcW w:w="9629" w:type="dxa"/>
            <w:shd w:val="clear" w:color="auto" w:fill="auto"/>
          </w:tcPr>
          <w:p w14:paraId="50B6FDFA" w14:textId="77777777" w:rsidR="00F40C60" w:rsidRDefault="00BB2089" w:rsidP="006E5E26">
            <w:pPr>
              <w:pStyle w:val="SingleTxtG"/>
            </w:pPr>
            <w:r>
              <w:rPr>
                <w:b/>
                <w:i/>
                <w:snapToGrid w:val="0"/>
              </w:rPr>
              <w:t>Explanatory summary:</w:t>
            </w:r>
            <w:r>
              <w:rPr>
                <w:snapToGrid w:val="0"/>
              </w:rPr>
              <w:tab/>
            </w:r>
            <w:r>
              <w:t xml:space="preserve">Amendment of packing instruction P 200 to harmonise the rules </w:t>
            </w:r>
            <w:r>
              <w:tab/>
            </w:r>
            <w:r>
              <w:tab/>
            </w:r>
            <w:r>
              <w:tab/>
            </w:r>
            <w:r>
              <w:tab/>
            </w:r>
            <w:r>
              <w:tab/>
              <w:t xml:space="preserve">on the prohibition of pressure relief devices for non-UN </w:t>
            </w:r>
            <w:r>
              <w:tab/>
            </w:r>
            <w:r>
              <w:tab/>
            </w:r>
            <w:r>
              <w:tab/>
            </w:r>
            <w:r>
              <w:tab/>
            </w:r>
            <w:r>
              <w:tab/>
            </w:r>
            <w:r>
              <w:tab/>
              <w:t>acetylene cylinders in RID/ADR</w:t>
            </w:r>
          </w:p>
          <w:p w14:paraId="318BE581" w14:textId="557EC7AF" w:rsidR="00BB2089" w:rsidRDefault="009A06A8" w:rsidP="006E5E26">
            <w:pPr>
              <w:pStyle w:val="SingleTxtG"/>
            </w:pPr>
            <w:r>
              <w:rPr>
                <w:b/>
                <w:i/>
                <w:snapToGrid w:val="0"/>
              </w:rPr>
              <w:t xml:space="preserve">Decision to be </w:t>
            </w:r>
            <w:proofErr w:type="gramStart"/>
            <w:r>
              <w:rPr>
                <w:b/>
                <w:i/>
                <w:snapToGrid w:val="0"/>
              </w:rPr>
              <w:t>taken:</w:t>
            </w:r>
            <w:proofErr w:type="gramEnd"/>
            <w:r>
              <w:rPr>
                <w:snapToGrid w:val="0"/>
              </w:rPr>
              <w:tab/>
            </w:r>
            <w:r>
              <w:t xml:space="preserve">Amendment of packing </w:t>
            </w:r>
            <w:r w:rsidR="008D2A07">
              <w:t>instruction</w:t>
            </w:r>
            <w:r>
              <w:t xml:space="preserve"> P 200.</w:t>
            </w:r>
          </w:p>
          <w:p w14:paraId="78B53BB5" w14:textId="066C9D77" w:rsidR="00BB2089" w:rsidRDefault="00133845" w:rsidP="00316196">
            <w:pPr>
              <w:pStyle w:val="SingleTxtG"/>
            </w:pPr>
            <w:r w:rsidRPr="00316196">
              <w:rPr>
                <w:b/>
                <w:bCs/>
                <w:i/>
                <w:iCs/>
              </w:rPr>
              <w:t>Related documents:</w:t>
            </w:r>
            <w:r w:rsidR="009E1617" w:rsidRPr="00316196">
              <w:rPr>
                <w:b/>
                <w:bCs/>
                <w:i/>
                <w:iCs/>
              </w:rPr>
              <w:tab/>
            </w:r>
            <w:r w:rsidR="009E1617">
              <w:tab/>
              <w:t>ECE/TRANS/WP.15/AC.1</w:t>
            </w:r>
            <w:r w:rsidR="00316196">
              <w:t>/2021/20</w:t>
            </w:r>
            <w:r w:rsidR="00316196">
              <w:br/>
            </w:r>
            <w:r w:rsidR="00316196">
              <w:tab/>
            </w:r>
            <w:r w:rsidR="00316196">
              <w:tab/>
            </w:r>
            <w:r w:rsidR="00316196">
              <w:tab/>
            </w:r>
            <w:r w:rsidR="00316196">
              <w:tab/>
            </w:r>
            <w:r w:rsidR="00316196">
              <w:tab/>
              <w:t xml:space="preserve">Informal document </w:t>
            </w:r>
            <w:hyperlink r:id="rId17" w:history="1">
              <w:r w:rsidR="00316196">
                <w:rPr>
                  <w:rStyle w:val="Hyperlink"/>
                </w:rPr>
                <w:t>INF.8</w:t>
              </w:r>
            </w:hyperlink>
            <w:r w:rsidR="00316196">
              <w:t xml:space="preserve"> from the Joint Meeting in </w:t>
            </w:r>
            <w:r w:rsidR="00316196">
              <w:tab/>
            </w:r>
            <w:r w:rsidR="00316196">
              <w:tab/>
            </w:r>
            <w:r w:rsidR="00316196">
              <w:tab/>
            </w:r>
            <w:r w:rsidR="00316196">
              <w:tab/>
            </w:r>
            <w:r w:rsidR="00316196">
              <w:tab/>
            </w:r>
            <w:r w:rsidR="00316196">
              <w:tab/>
              <w:t>March 2021</w:t>
            </w:r>
          </w:p>
        </w:tc>
      </w:tr>
      <w:tr w:rsidR="00F40C60" w14:paraId="7D227331" w14:textId="77777777" w:rsidTr="00316196">
        <w:trPr>
          <w:trHeight w:val="53"/>
          <w:jc w:val="center"/>
        </w:trPr>
        <w:tc>
          <w:tcPr>
            <w:tcW w:w="9629" w:type="dxa"/>
            <w:shd w:val="clear" w:color="auto" w:fill="auto"/>
          </w:tcPr>
          <w:p w14:paraId="065B719E" w14:textId="77777777" w:rsidR="00F40C60" w:rsidRDefault="00F40C60" w:rsidP="006E5E26"/>
        </w:tc>
      </w:tr>
    </w:tbl>
    <w:p w14:paraId="62F939E6" w14:textId="55A3E783" w:rsidR="00C02C1B" w:rsidRPr="009A4FCB" w:rsidRDefault="00C02C1B" w:rsidP="00C02C1B">
      <w:pPr>
        <w:pStyle w:val="HChG"/>
      </w:pPr>
      <w:r>
        <w:tab/>
      </w:r>
      <w:r>
        <w:tab/>
        <w:t>Introduction</w:t>
      </w:r>
    </w:p>
    <w:p w14:paraId="400EE018" w14:textId="677D6CAB" w:rsidR="00C02C1B" w:rsidRPr="009A4FCB" w:rsidRDefault="00C02C1B" w:rsidP="00C02C1B">
      <w:pPr>
        <w:pStyle w:val="SingleTxtG"/>
      </w:pPr>
      <w:r>
        <w:t>1.</w:t>
      </w:r>
      <w:r>
        <w:tab/>
      </w:r>
      <w:r w:rsidR="007C4366" w:rsidRPr="007C4366">
        <w:t>At its session in spring 2021, the Joint Meeting agreed with a proposal from Germany to amend RID/ADR 6.2.3.1.5 to clarify that neither fusible plugs nor pressure relief devices may be used for non-UN acetylene cylinders</w:t>
      </w:r>
      <w:r w:rsidR="00BE68EF">
        <w:t>.</w:t>
      </w:r>
    </w:p>
    <w:p w14:paraId="4555494E" w14:textId="3B5E6DB9" w:rsidR="00C02C1B" w:rsidRPr="009A4FCB" w:rsidRDefault="00C02C1B" w:rsidP="00C02C1B">
      <w:pPr>
        <w:pStyle w:val="SingleTxtG"/>
      </w:pPr>
      <w:r>
        <w:t>2.</w:t>
      </w:r>
      <w:r>
        <w:tab/>
        <w:t xml:space="preserve">When checking the amendments to RID/ADR for entry into force on 1 January 2023, it was noticed that a consequential amendment that </w:t>
      </w:r>
      <w:r w:rsidR="00205756">
        <w:t>wa</w:t>
      </w:r>
      <w:r>
        <w:t xml:space="preserve">s required in packing instruction P 200 in 4.1.4.1 had not been </w:t>
      </w:r>
      <w:proofErr w:type="gramStart"/>
      <w:r>
        <w:t>taken into account</w:t>
      </w:r>
      <w:proofErr w:type="gramEnd"/>
      <w:r>
        <w:t xml:space="preserve">; special packing provision p in paragraph (10) of </w:t>
      </w:r>
      <w:r>
        <w:lastRenderedPageBreak/>
        <w:t>packing instruction P 200 sets out a rule for the carriage of non-UN acetylene cylinders fitted with pressure relief devices.</w:t>
      </w:r>
    </w:p>
    <w:p w14:paraId="7A90A11D" w14:textId="74F25C60" w:rsidR="00C02C1B" w:rsidRPr="009A4FCB" w:rsidRDefault="00C02C1B" w:rsidP="00C02C1B">
      <w:pPr>
        <w:pStyle w:val="SingleTxtG"/>
      </w:pPr>
      <w:r>
        <w:t>3.</w:t>
      </w:r>
      <w:r>
        <w:tab/>
        <w:t xml:space="preserve">In view of the amendment to RID/ADR 6.2.3.1.5, the proposal below </w:t>
      </w:r>
      <w:r w:rsidR="004F5BE5">
        <w:t>a</w:t>
      </w:r>
      <w:r>
        <w:t>i</w:t>
      </w:r>
      <w:r w:rsidR="004F5BE5">
        <w:t>m</w:t>
      </w:r>
      <w:r>
        <w:t>s to adapt packing instruction P 200 as a necessary consequential amendment, to make clear in the context of packing instruction P 200 as well, that no pressure relief devices may be used for non-UN acetylene cylinders.</w:t>
      </w:r>
    </w:p>
    <w:p w14:paraId="1981BF43" w14:textId="3F92F1B8" w:rsidR="00C02C1B" w:rsidRPr="009A4FCB" w:rsidRDefault="00C02C1B" w:rsidP="00C02C1B">
      <w:pPr>
        <w:pStyle w:val="HChG"/>
      </w:pPr>
      <w:r>
        <w:tab/>
      </w:r>
      <w:r>
        <w:tab/>
        <w:t>Proposal</w:t>
      </w:r>
    </w:p>
    <w:p w14:paraId="2613AFF1" w14:textId="6C9B03C9" w:rsidR="00C02C1B" w:rsidRPr="009A4FCB" w:rsidRDefault="00C02C1B" w:rsidP="00C02C1B">
      <w:pPr>
        <w:pStyle w:val="SingleTxtG"/>
      </w:pPr>
      <w:r>
        <w:t>4.</w:t>
      </w:r>
      <w:r>
        <w:tab/>
        <w:t xml:space="preserve">In 4.1.4.1, packing instruction P 200, amend special packing provision p to read as follows (deleted text is </w:t>
      </w:r>
      <w:r w:rsidR="008F5111">
        <w:t>marked in</w:t>
      </w:r>
      <w:r w:rsidR="00791710">
        <w:t xml:space="preserve"> strike</w:t>
      </w:r>
      <w:r w:rsidR="008F5111">
        <w:t>-through</w:t>
      </w:r>
      <w:r>
        <w:t>):</w:t>
      </w:r>
    </w:p>
    <w:p w14:paraId="3D42C681" w14:textId="77777777" w:rsidR="00C02C1B" w:rsidRPr="00D46637" w:rsidRDefault="00C02C1B" w:rsidP="00C02C1B">
      <w:pPr>
        <w:pStyle w:val="SingleTxtG"/>
        <w:ind w:left="1701"/>
      </w:pPr>
      <w:r>
        <w:t>“</w:t>
      </w:r>
      <w:r w:rsidRPr="00D46637">
        <w:t>For UN No. 1001 acetylene, dissolved, and UN No. 3374 acetylene, solvent free: cylinders shall be filled with a homogeneous monolithic porous material; the working pressure and the quantity of acetylene shall not exceed the values prescribed in the approval or in ISO 3807-1:2000, ISO 3807-2:2000 or ISO 3807:2013, as applicable.</w:t>
      </w:r>
    </w:p>
    <w:p w14:paraId="5A708C45" w14:textId="77777777" w:rsidR="00C02C1B" w:rsidRPr="00D46637" w:rsidRDefault="00C02C1B" w:rsidP="00C02C1B">
      <w:pPr>
        <w:pStyle w:val="SingleTxtG"/>
        <w:ind w:left="1701"/>
      </w:pPr>
      <w:r w:rsidRPr="00D46637">
        <w:t xml:space="preserve">For UN No. 1001 acetylene, dissolved: cylinders shall contain a quantity of acetone or suitable solvent as specified in the approval (see ISO 3807-1:2000, ISO 3807-2:2000 or ISO 3807:2013, as applicable); cylinders </w:t>
      </w:r>
      <w:r w:rsidRPr="00D46637">
        <w:rPr>
          <w:strike/>
        </w:rPr>
        <w:t>fitted with pressure relief devices or</w:t>
      </w:r>
      <w:r w:rsidRPr="00D46637">
        <w:t xml:space="preserve"> manifolded together shall be carried vertically.</w:t>
      </w:r>
    </w:p>
    <w:p w14:paraId="74F109DC" w14:textId="77777777" w:rsidR="00C02C1B" w:rsidRPr="00D46637" w:rsidRDefault="00C02C1B" w:rsidP="00C02C1B">
      <w:pPr>
        <w:pStyle w:val="SingleTxtG"/>
        <w:ind w:left="1701"/>
      </w:pPr>
      <w:r w:rsidRPr="00D46637">
        <w:t xml:space="preserve">Alternatively, for UN No. 1001 acetylene, dissolved: cylinders which are not UN pressure receptacles may be filled with a </w:t>
      </w:r>
      <w:proofErr w:type="spellStart"/>
      <w:r w:rsidRPr="00D46637">
        <w:t>non monolithic</w:t>
      </w:r>
      <w:proofErr w:type="spellEnd"/>
      <w:r w:rsidRPr="00D46637">
        <w:t xml:space="preserve"> porous material; the working pressure, the quantity of acetylene and the quantity of solvent shall not exceed the values prescribed in the approval. The maximum test period for periodic inspection of the cylinders shall not exceed five years.</w:t>
      </w:r>
    </w:p>
    <w:p w14:paraId="47ADDB10" w14:textId="77777777" w:rsidR="00C02C1B" w:rsidRPr="00F35E36" w:rsidRDefault="00C02C1B" w:rsidP="00C02C1B">
      <w:pPr>
        <w:pStyle w:val="SingleTxtG"/>
        <w:ind w:left="1701"/>
      </w:pPr>
      <w:r w:rsidRPr="00D46637">
        <w:t>A test pressure of 52 bar shall be applied only to cylinders fitted with a fusible plug.</w:t>
      </w:r>
      <w:r>
        <w:t>”</w:t>
      </w:r>
    </w:p>
    <w:p w14:paraId="3C47B6AC" w14:textId="56D4BF39" w:rsidR="00C02C1B" w:rsidRPr="009A4FCB" w:rsidRDefault="00C02C1B" w:rsidP="00C02C1B">
      <w:pPr>
        <w:pStyle w:val="HChG"/>
      </w:pPr>
      <w:r>
        <w:tab/>
      </w:r>
      <w:r>
        <w:tab/>
        <w:t>Justification</w:t>
      </w:r>
    </w:p>
    <w:p w14:paraId="4575F1D7" w14:textId="77777777" w:rsidR="00C02C1B" w:rsidRPr="009A4FCB" w:rsidRDefault="00C02C1B" w:rsidP="00C02C1B">
      <w:pPr>
        <w:pStyle w:val="SingleTxtG"/>
      </w:pPr>
      <w:r>
        <w:t>5.</w:t>
      </w:r>
      <w:r>
        <w:tab/>
        <w:t>The amendment to packing instruction P 200 proposed above harmonises the provisions prohibiting the fitting of pressure relief devices to non-UN acetylene cylinders in RID/ADR and increases the level of safety in the carriage of these cylinders.</w:t>
      </w:r>
    </w:p>
    <w:p w14:paraId="58CB9474" w14:textId="4799635D" w:rsidR="00C02C1B" w:rsidRPr="00C02C1B" w:rsidRDefault="00C02C1B" w:rsidP="00C02C1B">
      <w:pPr>
        <w:spacing w:before="240"/>
        <w:jc w:val="center"/>
        <w:rPr>
          <w:u w:val="single"/>
        </w:rPr>
      </w:pPr>
      <w:r>
        <w:rPr>
          <w:u w:val="single"/>
        </w:rPr>
        <w:tab/>
      </w:r>
      <w:r>
        <w:rPr>
          <w:u w:val="single"/>
        </w:rPr>
        <w:tab/>
      </w:r>
      <w:r>
        <w:rPr>
          <w:u w:val="single"/>
        </w:rPr>
        <w:tab/>
      </w:r>
    </w:p>
    <w:sectPr w:rsidR="00C02C1B" w:rsidRPr="00C02C1B" w:rsidSect="00C6155B">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D21C2" w14:textId="77777777" w:rsidR="00B07E98" w:rsidRDefault="00B07E98"/>
  </w:endnote>
  <w:endnote w:type="continuationSeparator" w:id="0">
    <w:p w14:paraId="49517F16" w14:textId="77777777" w:rsidR="00B07E98" w:rsidRDefault="00B07E98"/>
  </w:endnote>
  <w:endnote w:type="continuationNotice" w:id="1">
    <w:p w14:paraId="509E7831" w14:textId="77777777" w:rsidR="00B07E98" w:rsidRDefault="00B07E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6972" w14:textId="5BA455F2" w:rsidR="00BE7BD2" w:rsidRPr="00BE7BD2" w:rsidRDefault="00BE7BD2" w:rsidP="00BE7BD2">
    <w:pPr>
      <w:pStyle w:val="Footer"/>
      <w:tabs>
        <w:tab w:val="right" w:pos="9638"/>
      </w:tabs>
      <w:rPr>
        <w:sz w:val="18"/>
      </w:rPr>
    </w:pPr>
    <w:r w:rsidRPr="00BE7BD2">
      <w:rPr>
        <w:b/>
        <w:sz w:val="18"/>
      </w:rPr>
      <w:fldChar w:fldCharType="begin"/>
    </w:r>
    <w:r w:rsidRPr="00BE7BD2">
      <w:rPr>
        <w:b/>
        <w:sz w:val="18"/>
      </w:rPr>
      <w:instrText xml:space="preserve"> PAGE  \* MERGEFORMAT </w:instrText>
    </w:r>
    <w:r w:rsidRPr="00BE7BD2">
      <w:rPr>
        <w:b/>
        <w:sz w:val="18"/>
      </w:rPr>
      <w:fldChar w:fldCharType="separate"/>
    </w:r>
    <w:r w:rsidRPr="00BE7BD2">
      <w:rPr>
        <w:b/>
        <w:noProof/>
        <w:sz w:val="18"/>
      </w:rPr>
      <w:t>2</w:t>
    </w:r>
    <w:r w:rsidRPr="00BE7BD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6C58" w14:textId="6D079A4D" w:rsidR="00BE7BD2" w:rsidRPr="00BE7BD2" w:rsidRDefault="00BE7BD2" w:rsidP="00BE7BD2">
    <w:pPr>
      <w:pStyle w:val="Footer"/>
      <w:tabs>
        <w:tab w:val="right" w:pos="9638"/>
      </w:tabs>
      <w:rPr>
        <w:b/>
        <w:sz w:val="18"/>
      </w:rPr>
    </w:pPr>
    <w:r>
      <w:tab/>
    </w:r>
    <w:r w:rsidRPr="00BE7BD2">
      <w:rPr>
        <w:b/>
        <w:sz w:val="18"/>
      </w:rPr>
      <w:fldChar w:fldCharType="begin"/>
    </w:r>
    <w:r w:rsidRPr="00BE7BD2">
      <w:rPr>
        <w:b/>
        <w:sz w:val="18"/>
      </w:rPr>
      <w:instrText xml:space="preserve"> PAGE  \* MERGEFORMAT </w:instrText>
    </w:r>
    <w:r w:rsidRPr="00BE7BD2">
      <w:rPr>
        <w:b/>
        <w:sz w:val="18"/>
      </w:rPr>
      <w:fldChar w:fldCharType="separate"/>
    </w:r>
    <w:r w:rsidRPr="00BE7BD2">
      <w:rPr>
        <w:b/>
        <w:noProof/>
        <w:sz w:val="18"/>
      </w:rPr>
      <w:t>3</w:t>
    </w:r>
    <w:r w:rsidRPr="00BE7BD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04EA" w14:textId="77777777" w:rsidR="0035223F" w:rsidRPr="00BE7BD2" w:rsidRDefault="00686A48">
    <w:pPr>
      <w:pStyle w:val="Footer"/>
      <w:rPr>
        <w:sz w:val="20"/>
      </w:rPr>
    </w:pPr>
    <w:r>
      <w:rPr>
        <w:noProof/>
        <w:lang w:val="fr-CH" w:eastAsia="fr-CH"/>
      </w:rPr>
      <w:drawing>
        <wp:anchor distT="0" distB="0" distL="114300" distR="114300" simplePos="0" relativeHeight="251657728" behindDoc="0" locked="1" layoutInCell="1" allowOverlap="1" wp14:anchorId="7EBCA8D3" wp14:editId="26A59686">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F011F" w14:textId="77777777" w:rsidR="00B07E98" w:rsidRPr="000B175B" w:rsidRDefault="00B07E98" w:rsidP="000B175B">
      <w:pPr>
        <w:tabs>
          <w:tab w:val="right" w:pos="2155"/>
        </w:tabs>
        <w:spacing w:after="80"/>
        <w:ind w:left="680"/>
        <w:rPr>
          <w:u w:val="single"/>
        </w:rPr>
      </w:pPr>
      <w:r>
        <w:rPr>
          <w:u w:val="single"/>
        </w:rPr>
        <w:tab/>
      </w:r>
    </w:p>
  </w:footnote>
  <w:footnote w:type="continuationSeparator" w:id="0">
    <w:p w14:paraId="3221FD5B" w14:textId="77777777" w:rsidR="00B07E98" w:rsidRPr="00FC68B7" w:rsidRDefault="00B07E98" w:rsidP="00FC68B7">
      <w:pPr>
        <w:tabs>
          <w:tab w:val="left" w:pos="2155"/>
        </w:tabs>
        <w:spacing w:after="80"/>
        <w:ind w:left="680"/>
        <w:rPr>
          <w:u w:val="single"/>
        </w:rPr>
      </w:pPr>
      <w:r>
        <w:rPr>
          <w:u w:val="single"/>
        </w:rPr>
        <w:tab/>
      </w:r>
    </w:p>
  </w:footnote>
  <w:footnote w:type="continuationNotice" w:id="1">
    <w:p w14:paraId="17815352" w14:textId="77777777" w:rsidR="00B07E98" w:rsidRDefault="00B07E98"/>
  </w:footnote>
  <w:footnote w:id="2">
    <w:p w14:paraId="2B6D43F2" w14:textId="77777777" w:rsidR="00C6155B" w:rsidRPr="00765B43" w:rsidRDefault="00C6155B" w:rsidP="00C6155B">
      <w:pPr>
        <w:pStyle w:val="FootnoteText"/>
        <w:rPr>
          <w:lang w:val="fr-CH"/>
        </w:rPr>
      </w:pPr>
      <w:r>
        <w:tab/>
      </w:r>
      <w:r>
        <w:tab/>
      </w:r>
      <w:r>
        <w:rPr>
          <w:rStyle w:val="FootnoteReference"/>
        </w:rPr>
        <w:footnoteRef/>
      </w:r>
      <w:r>
        <w:t xml:space="preserve"> </w:t>
      </w:r>
      <w:r>
        <w:tab/>
      </w:r>
      <w:r w:rsidRPr="0083055C">
        <w:t>A/77/6 (Sect. 20), table 20.6</w:t>
      </w:r>
    </w:p>
  </w:footnote>
  <w:footnote w:id="3">
    <w:p w14:paraId="2BE763EA" w14:textId="5A5C240D" w:rsidR="0055435A" w:rsidRPr="009E2521" w:rsidRDefault="0055435A" w:rsidP="0055435A">
      <w:pPr>
        <w:pStyle w:val="FootnoteText"/>
        <w:rPr>
          <w:lang w:val="fr-CH"/>
        </w:rPr>
      </w:pPr>
      <w:r>
        <w:tab/>
      </w:r>
      <w:r>
        <w:tab/>
      </w:r>
      <w:r>
        <w:rPr>
          <w:rStyle w:val="FootnoteReference"/>
        </w:rPr>
        <w:t>**</w:t>
      </w:r>
      <w:r>
        <w:t xml:space="preserve"> </w:t>
      </w:r>
      <w:r>
        <w:tab/>
      </w:r>
      <w:r>
        <w:rPr>
          <w:szCs w:val="18"/>
        </w:rPr>
        <w:t>Circulated by the Intergovernmental Organisation for International Carriage by Rail (OTIF) under the symbol OTIF/RID/RC/2023/</w:t>
      </w:r>
      <w:r w:rsidR="00EE7426">
        <w:rPr>
          <w:szCs w:val="18"/>
        </w:rPr>
        <w:t>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A4B2" w14:textId="7F620BF5" w:rsidR="00BE7BD2" w:rsidRPr="00BE7BD2" w:rsidRDefault="00205693">
    <w:pPr>
      <w:pStyle w:val="Header"/>
    </w:pPr>
    <w:r>
      <w:fldChar w:fldCharType="begin"/>
    </w:r>
    <w:r>
      <w:instrText xml:space="preserve"> TITLE  \* MERGEFORMAT </w:instrText>
    </w:r>
    <w:r>
      <w:fldChar w:fldCharType="separate"/>
    </w:r>
    <w:r>
      <w:t>ECE/TRANS/WP.15/AC.1/2023/11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8DB3" w14:textId="77652CA3" w:rsidR="00BE7BD2" w:rsidRPr="00BE7BD2" w:rsidRDefault="00205693" w:rsidP="00BE7BD2">
    <w:pPr>
      <w:pStyle w:val="Header"/>
      <w:jc w:val="right"/>
    </w:pPr>
    <w:r>
      <w:fldChar w:fldCharType="begin"/>
    </w:r>
    <w:r>
      <w:instrText xml:space="preserve"> TITLE  \* MERGEFORMAT </w:instrText>
    </w:r>
    <w:r>
      <w:fldChar w:fldCharType="separate"/>
    </w:r>
    <w:r>
      <w:t>ECE/TRANS/WP.15/AC.1/2023/11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D2"/>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33845"/>
    <w:rsid w:val="00156B99"/>
    <w:rsid w:val="00166124"/>
    <w:rsid w:val="00184DDA"/>
    <w:rsid w:val="001900CD"/>
    <w:rsid w:val="001A0452"/>
    <w:rsid w:val="001B4B04"/>
    <w:rsid w:val="001B5875"/>
    <w:rsid w:val="001C4B9C"/>
    <w:rsid w:val="001C6663"/>
    <w:rsid w:val="001C7895"/>
    <w:rsid w:val="001D26DF"/>
    <w:rsid w:val="001F1599"/>
    <w:rsid w:val="001F19C4"/>
    <w:rsid w:val="00202C8B"/>
    <w:rsid w:val="002043F0"/>
    <w:rsid w:val="00205693"/>
    <w:rsid w:val="00205756"/>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16196"/>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052A8"/>
    <w:rsid w:val="00413520"/>
    <w:rsid w:val="004325CB"/>
    <w:rsid w:val="00440A07"/>
    <w:rsid w:val="00462880"/>
    <w:rsid w:val="00476F24"/>
    <w:rsid w:val="004C55B0"/>
    <w:rsid w:val="004F5BE5"/>
    <w:rsid w:val="004F6BA0"/>
    <w:rsid w:val="00503BEA"/>
    <w:rsid w:val="00533616"/>
    <w:rsid w:val="00535ABA"/>
    <w:rsid w:val="0053768B"/>
    <w:rsid w:val="005420F2"/>
    <w:rsid w:val="0054285C"/>
    <w:rsid w:val="0055435A"/>
    <w:rsid w:val="00584173"/>
    <w:rsid w:val="00595520"/>
    <w:rsid w:val="005A44B9"/>
    <w:rsid w:val="005B1BA0"/>
    <w:rsid w:val="005B3DB3"/>
    <w:rsid w:val="005D15CA"/>
    <w:rsid w:val="005D7969"/>
    <w:rsid w:val="005F08DF"/>
    <w:rsid w:val="005F3066"/>
    <w:rsid w:val="005F3E61"/>
    <w:rsid w:val="005F4B18"/>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1710"/>
    <w:rsid w:val="007959FE"/>
    <w:rsid w:val="007A0CF1"/>
    <w:rsid w:val="007A478E"/>
    <w:rsid w:val="007B6BA5"/>
    <w:rsid w:val="007C3390"/>
    <w:rsid w:val="007C42D8"/>
    <w:rsid w:val="007C4366"/>
    <w:rsid w:val="007C4F4B"/>
    <w:rsid w:val="007D7362"/>
    <w:rsid w:val="007F5CE2"/>
    <w:rsid w:val="007F6611"/>
    <w:rsid w:val="00800522"/>
    <w:rsid w:val="00810BAC"/>
    <w:rsid w:val="008175E9"/>
    <w:rsid w:val="008242D7"/>
    <w:rsid w:val="0082577B"/>
    <w:rsid w:val="008272DD"/>
    <w:rsid w:val="00841436"/>
    <w:rsid w:val="00866893"/>
    <w:rsid w:val="00866F02"/>
    <w:rsid w:val="00867D18"/>
    <w:rsid w:val="008717B9"/>
    <w:rsid w:val="00871F9A"/>
    <w:rsid w:val="00871FD5"/>
    <w:rsid w:val="0088172E"/>
    <w:rsid w:val="00881EFA"/>
    <w:rsid w:val="008879CB"/>
    <w:rsid w:val="008979B1"/>
    <w:rsid w:val="008A6B25"/>
    <w:rsid w:val="008A6C4F"/>
    <w:rsid w:val="008A77AE"/>
    <w:rsid w:val="008B389E"/>
    <w:rsid w:val="008D045E"/>
    <w:rsid w:val="008D2A07"/>
    <w:rsid w:val="008D3F25"/>
    <w:rsid w:val="008D4D82"/>
    <w:rsid w:val="008E0E46"/>
    <w:rsid w:val="008E7116"/>
    <w:rsid w:val="008F143B"/>
    <w:rsid w:val="008F3882"/>
    <w:rsid w:val="008F4B7C"/>
    <w:rsid w:val="008F5111"/>
    <w:rsid w:val="00926E47"/>
    <w:rsid w:val="00947162"/>
    <w:rsid w:val="009610D0"/>
    <w:rsid w:val="0096375C"/>
    <w:rsid w:val="009662E6"/>
    <w:rsid w:val="0097095E"/>
    <w:rsid w:val="0098592B"/>
    <w:rsid w:val="00985FC4"/>
    <w:rsid w:val="00990766"/>
    <w:rsid w:val="00991261"/>
    <w:rsid w:val="009964C4"/>
    <w:rsid w:val="009A06A8"/>
    <w:rsid w:val="009A7B81"/>
    <w:rsid w:val="009D01C0"/>
    <w:rsid w:val="009D6A08"/>
    <w:rsid w:val="009E0A16"/>
    <w:rsid w:val="009E1617"/>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C5664"/>
    <w:rsid w:val="00AF22AE"/>
    <w:rsid w:val="00AF58C1"/>
    <w:rsid w:val="00B04A3F"/>
    <w:rsid w:val="00B06643"/>
    <w:rsid w:val="00B07E98"/>
    <w:rsid w:val="00B15055"/>
    <w:rsid w:val="00B20551"/>
    <w:rsid w:val="00B30179"/>
    <w:rsid w:val="00B33FC7"/>
    <w:rsid w:val="00B37B15"/>
    <w:rsid w:val="00B45C02"/>
    <w:rsid w:val="00B52504"/>
    <w:rsid w:val="00B70B63"/>
    <w:rsid w:val="00B72A1E"/>
    <w:rsid w:val="00B81E12"/>
    <w:rsid w:val="00BA339B"/>
    <w:rsid w:val="00BB2089"/>
    <w:rsid w:val="00BB23CC"/>
    <w:rsid w:val="00BC1E7E"/>
    <w:rsid w:val="00BC74E9"/>
    <w:rsid w:val="00BE23B9"/>
    <w:rsid w:val="00BE36A9"/>
    <w:rsid w:val="00BE618E"/>
    <w:rsid w:val="00BE68EF"/>
    <w:rsid w:val="00BE7BD2"/>
    <w:rsid w:val="00BE7BEC"/>
    <w:rsid w:val="00BF0A5A"/>
    <w:rsid w:val="00BF0E63"/>
    <w:rsid w:val="00BF12A3"/>
    <w:rsid w:val="00BF16D7"/>
    <w:rsid w:val="00BF2373"/>
    <w:rsid w:val="00C0294F"/>
    <w:rsid w:val="00C02C1B"/>
    <w:rsid w:val="00C044E2"/>
    <w:rsid w:val="00C048CB"/>
    <w:rsid w:val="00C066F3"/>
    <w:rsid w:val="00C408B7"/>
    <w:rsid w:val="00C411EB"/>
    <w:rsid w:val="00C463DD"/>
    <w:rsid w:val="00C6155B"/>
    <w:rsid w:val="00C745C3"/>
    <w:rsid w:val="00C978F5"/>
    <w:rsid w:val="00CA24A4"/>
    <w:rsid w:val="00CB348D"/>
    <w:rsid w:val="00CB5E42"/>
    <w:rsid w:val="00CD3E68"/>
    <w:rsid w:val="00CD46F5"/>
    <w:rsid w:val="00CE4A8F"/>
    <w:rsid w:val="00CE78F6"/>
    <w:rsid w:val="00CF071D"/>
    <w:rsid w:val="00D0123D"/>
    <w:rsid w:val="00D15B04"/>
    <w:rsid w:val="00D2031B"/>
    <w:rsid w:val="00D21605"/>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16629"/>
    <w:rsid w:val="00E423C0"/>
    <w:rsid w:val="00E61677"/>
    <w:rsid w:val="00E6414C"/>
    <w:rsid w:val="00E7260F"/>
    <w:rsid w:val="00E8702D"/>
    <w:rsid w:val="00E905F4"/>
    <w:rsid w:val="00E916A9"/>
    <w:rsid w:val="00E916DE"/>
    <w:rsid w:val="00E925AD"/>
    <w:rsid w:val="00E96630"/>
    <w:rsid w:val="00ED18DC"/>
    <w:rsid w:val="00ED6201"/>
    <w:rsid w:val="00ED7A2A"/>
    <w:rsid w:val="00EE7426"/>
    <w:rsid w:val="00EF1D7F"/>
    <w:rsid w:val="00F0137E"/>
    <w:rsid w:val="00F21786"/>
    <w:rsid w:val="00F3039C"/>
    <w:rsid w:val="00F3742B"/>
    <w:rsid w:val="00F40C60"/>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F187"/>
  <w15:docId w15:val="{9FAA4D7D-0AD7-4FBD-B4E7-98761FA8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customStyle="1" w:styleId="-Abschnitt">
    <w:name w:val="- Abschnitt"/>
    <w:basedOn w:val="Normal"/>
    <w:rsid w:val="00133845"/>
    <w:pPr>
      <w:tabs>
        <w:tab w:val="left" w:pos="425"/>
        <w:tab w:val="left" w:pos="851"/>
        <w:tab w:val="left" w:pos="1276"/>
      </w:tabs>
      <w:suppressAutoHyphens w:val="0"/>
      <w:spacing w:line="240" w:lineRule="auto"/>
      <w:ind w:left="357" w:hanging="357"/>
      <w:jc w:val="both"/>
    </w:pPr>
    <w:rPr>
      <w:rFonts w:ascii="Arial" w:hAnsi="Arial"/>
      <w:sz w:val="22"/>
      <w:lang w:eastAsia="de-DE"/>
    </w:rPr>
  </w:style>
  <w:style w:type="character" w:customStyle="1" w:styleId="FootnoteTextChar">
    <w:name w:val="Footnote Text Char"/>
    <w:aliases w:val="5_G Char"/>
    <w:basedOn w:val="DefaultParagraphFont"/>
    <w:link w:val="FootnoteText"/>
    <w:rsid w:val="00841436"/>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6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unece.org/sites/default/files/2021-03/ECE-TRANS-WP15-AC1-21-BE-inf8e.pdf"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Laurence Berthet</DisplayName>
        <AccountId>44</AccountId>
        <AccountType/>
      </UserInfo>
      <UserInfo>
        <DisplayName>Romain Hubert</DisplayName>
        <AccountId>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C4519-FB51-4F68-83DA-A8939BFC4002}">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b4a1c0d-4a69-4996-a84a-fc699b9f49de"/>
    <ds:schemaRef ds:uri="985ec44e-1bab-4c0b-9df0-6ba128686fc9"/>
    <ds:schemaRef ds:uri="http://schemas.microsoft.com/office/2006/documentManagement/types"/>
    <ds:schemaRef ds:uri="acccb6d4-dbe5-46d2-b4d3-5733603d8cc6"/>
    <ds:schemaRef ds:uri="http://www.w3.org/XML/1998/namespace"/>
    <ds:schemaRef ds:uri="http://purl.org/dc/terms/"/>
  </ds:schemaRefs>
</ds:datastoreItem>
</file>

<file path=customXml/itemProps2.xml><?xml version="1.0" encoding="utf-8"?>
<ds:datastoreItem xmlns:ds="http://schemas.openxmlformats.org/officeDocument/2006/customXml" ds:itemID="{D151EFFF-3728-40D3-BDDD-A7D098F4CCFB}">
  <ds:schemaRefs>
    <ds:schemaRef ds:uri="http://schemas.microsoft.com/sharepoint/v3/contenttype/forms"/>
  </ds:schemaRefs>
</ds:datastoreItem>
</file>

<file path=customXml/itemProps3.xml><?xml version="1.0" encoding="utf-8"?>
<ds:datastoreItem xmlns:ds="http://schemas.openxmlformats.org/officeDocument/2006/customXml" ds:itemID="{9F6F84C2-127D-416F-B0AB-B382E3101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44</TotalTime>
  <Pages>2</Pages>
  <Words>530</Words>
  <Characters>3021</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ECE/TRANS/WP.15/AC.1/2023/11</dc:title>
  <dc:creator>Laurence BERTHET</dc:creator>
  <cp:lastModifiedBy>Laurence Berthet</cp:lastModifiedBy>
  <cp:revision>34</cp:revision>
  <cp:lastPrinted>2022-12-15T08:11:00Z</cp:lastPrinted>
  <dcterms:created xsi:type="dcterms:W3CDTF">2022-12-12T13:49:00Z</dcterms:created>
  <dcterms:modified xsi:type="dcterms:W3CDTF">2022-12-15T08:11:00Z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