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5FBF4B" w14:textId="77777777" w:rsidTr="00467123">
        <w:trPr>
          <w:cantSplit/>
          <w:trHeight w:hRule="exact" w:val="53"/>
        </w:trPr>
        <w:tc>
          <w:tcPr>
            <w:tcW w:w="1276" w:type="dxa"/>
            <w:tcBorders>
              <w:bottom w:val="single" w:sz="4" w:space="0" w:color="auto"/>
            </w:tcBorders>
            <w:vAlign w:val="bottom"/>
          </w:tcPr>
          <w:p w14:paraId="05AD5E48" w14:textId="77777777" w:rsidR="009E6CB7" w:rsidRDefault="009E6CB7" w:rsidP="00B20551">
            <w:pPr>
              <w:spacing w:after="80"/>
            </w:pPr>
          </w:p>
        </w:tc>
        <w:tc>
          <w:tcPr>
            <w:tcW w:w="2268" w:type="dxa"/>
            <w:tcBorders>
              <w:bottom w:val="single" w:sz="4" w:space="0" w:color="auto"/>
            </w:tcBorders>
            <w:vAlign w:val="bottom"/>
          </w:tcPr>
          <w:p w14:paraId="6706AD12" w14:textId="43E370EA"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062A7F3B" w14:textId="5F692A71" w:rsidR="009E6CB7" w:rsidRPr="00D47EEA" w:rsidRDefault="009E6CB7" w:rsidP="0024421C">
            <w:pPr>
              <w:jc w:val="right"/>
            </w:pPr>
          </w:p>
        </w:tc>
      </w:tr>
      <w:tr w:rsidR="009E6CB7" w14:paraId="4FCD3687" w14:textId="77777777" w:rsidTr="00467123">
        <w:trPr>
          <w:cantSplit/>
          <w:trHeight w:hRule="exact" w:val="1152"/>
        </w:trPr>
        <w:tc>
          <w:tcPr>
            <w:tcW w:w="1276" w:type="dxa"/>
            <w:tcBorders>
              <w:top w:val="single" w:sz="4" w:space="0" w:color="auto"/>
              <w:bottom w:val="single" w:sz="12" w:space="0" w:color="auto"/>
            </w:tcBorders>
          </w:tcPr>
          <w:p w14:paraId="1F3A7751" w14:textId="04B85D64" w:rsidR="009E6CB7" w:rsidRDefault="009E6CB7" w:rsidP="00B20551">
            <w:pPr>
              <w:spacing w:before="120"/>
            </w:pPr>
          </w:p>
        </w:tc>
        <w:tc>
          <w:tcPr>
            <w:tcW w:w="5528" w:type="dxa"/>
            <w:gridSpan w:val="2"/>
            <w:tcBorders>
              <w:top w:val="single" w:sz="4" w:space="0" w:color="auto"/>
              <w:bottom w:val="single" w:sz="12" w:space="0" w:color="auto"/>
            </w:tcBorders>
          </w:tcPr>
          <w:p w14:paraId="21001474" w14:textId="77777777"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44A49A4C" w14:textId="763B0F23" w:rsidR="009E6CB7" w:rsidRDefault="00995284" w:rsidP="0024421C">
            <w:pPr>
              <w:spacing w:before="240" w:line="240" w:lineRule="exact"/>
            </w:pPr>
            <w:r>
              <w:t>ECE/MP.EIA/</w:t>
            </w:r>
            <w:r w:rsidR="00CE01FA">
              <w:t>WG.2/202</w:t>
            </w:r>
            <w:r w:rsidR="00D66219">
              <w:t>2</w:t>
            </w:r>
            <w:r w:rsidR="00CE01FA">
              <w:t>/INF.</w:t>
            </w:r>
            <w:r w:rsidR="00D66219">
              <w:t>4</w:t>
            </w:r>
          </w:p>
          <w:p w14:paraId="4979F799" w14:textId="5A9E2CBA" w:rsidR="0024421C" w:rsidRDefault="005E454B" w:rsidP="0024421C">
            <w:pPr>
              <w:spacing w:line="240" w:lineRule="exact"/>
            </w:pPr>
            <w:r>
              <w:t xml:space="preserve">8 </w:t>
            </w:r>
            <w:r w:rsidR="001E16E3">
              <w:t>November</w:t>
            </w:r>
            <w:r w:rsidR="0024421C">
              <w:t xml:space="preserve"> 202</w:t>
            </w:r>
            <w:r w:rsidR="00D66219">
              <w:t>2</w:t>
            </w:r>
          </w:p>
          <w:p w14:paraId="1B1D5832" w14:textId="1399EFC7" w:rsidR="0024421C" w:rsidRDefault="0024421C" w:rsidP="0024421C">
            <w:pPr>
              <w:spacing w:line="240" w:lineRule="exact"/>
            </w:pPr>
            <w:r>
              <w:t>English</w:t>
            </w:r>
            <w:r w:rsidR="00995284">
              <w:t xml:space="preserve"> only</w:t>
            </w:r>
          </w:p>
        </w:tc>
      </w:tr>
    </w:tbl>
    <w:p w14:paraId="29C96FF7" w14:textId="77777777" w:rsidR="0024421C" w:rsidRPr="00136A88" w:rsidRDefault="0024421C" w:rsidP="0094684F">
      <w:pPr>
        <w:spacing w:before="120"/>
        <w:rPr>
          <w:b/>
          <w:sz w:val="28"/>
          <w:szCs w:val="28"/>
        </w:rPr>
      </w:pPr>
      <w:r w:rsidRPr="00136A88">
        <w:rPr>
          <w:b/>
          <w:sz w:val="28"/>
          <w:szCs w:val="28"/>
        </w:rPr>
        <w:t>Economic Commission for Europe</w:t>
      </w:r>
    </w:p>
    <w:p w14:paraId="2FD91393" w14:textId="77777777" w:rsidR="0024421C" w:rsidRPr="00136A88" w:rsidRDefault="0024421C"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35D0B4C3" w14:textId="77777777" w:rsidR="0024421C" w:rsidRPr="00136A88" w:rsidRDefault="0024421C"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22B365D2" w14:textId="77777777" w:rsidR="0024421C" w:rsidRPr="00136A88" w:rsidRDefault="0024421C"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6406AC9" w14:textId="0605D89C" w:rsidR="0024421C" w:rsidRPr="0024421C" w:rsidRDefault="00D66219" w:rsidP="0024421C">
      <w:pPr>
        <w:rPr>
          <w:b/>
        </w:rPr>
      </w:pPr>
      <w:r>
        <w:rPr>
          <w:b/>
        </w:rPr>
        <w:t>Eleventh</w:t>
      </w:r>
      <w:r w:rsidR="0024421C" w:rsidRPr="0024421C">
        <w:rPr>
          <w:b/>
        </w:rPr>
        <w:t xml:space="preserve"> meeting</w:t>
      </w:r>
    </w:p>
    <w:p w14:paraId="304D7B9C" w14:textId="5E14FE51" w:rsidR="0024421C" w:rsidRPr="00880C11" w:rsidRDefault="0024421C" w:rsidP="0024421C">
      <w:pPr>
        <w:rPr>
          <w:bCs/>
        </w:rPr>
      </w:pPr>
      <w:r w:rsidRPr="00880C11">
        <w:rPr>
          <w:bCs/>
        </w:rPr>
        <w:t xml:space="preserve">Geneva, </w:t>
      </w:r>
      <w:r w:rsidR="00D66219" w:rsidRPr="00880C11">
        <w:rPr>
          <w:bCs/>
        </w:rPr>
        <w:t>1</w:t>
      </w:r>
      <w:r w:rsidR="00A42BA3" w:rsidRPr="00880C11">
        <w:rPr>
          <w:bCs/>
        </w:rPr>
        <w:t>9</w:t>
      </w:r>
      <w:r w:rsidRPr="00880C11">
        <w:rPr>
          <w:bCs/>
        </w:rPr>
        <w:t>–</w:t>
      </w:r>
      <w:r w:rsidR="00D66219" w:rsidRPr="00880C11">
        <w:rPr>
          <w:bCs/>
        </w:rPr>
        <w:t>2</w:t>
      </w:r>
      <w:r w:rsidR="00A42BA3" w:rsidRPr="00880C11">
        <w:rPr>
          <w:bCs/>
        </w:rPr>
        <w:t>1</w:t>
      </w:r>
      <w:r w:rsidRPr="00880C11">
        <w:rPr>
          <w:bCs/>
        </w:rPr>
        <w:t xml:space="preserve"> December 202</w:t>
      </w:r>
      <w:r w:rsidR="00D66219" w:rsidRPr="00880C11">
        <w:rPr>
          <w:bCs/>
        </w:rPr>
        <w:t>2</w:t>
      </w:r>
    </w:p>
    <w:p w14:paraId="278BDA4D" w14:textId="470131B3" w:rsidR="0024421C" w:rsidRPr="0024421C" w:rsidRDefault="0024421C" w:rsidP="0024421C">
      <w:pPr>
        <w:rPr>
          <w:b/>
          <w:bCs/>
        </w:rPr>
      </w:pPr>
      <w:r w:rsidRPr="0024421C">
        <w:rPr>
          <w:b/>
        </w:rPr>
        <w:t xml:space="preserve">Item </w:t>
      </w:r>
      <w:r w:rsidR="00A42BA3">
        <w:rPr>
          <w:b/>
        </w:rPr>
        <w:t>3</w:t>
      </w:r>
      <w:r w:rsidRPr="0024421C">
        <w:rPr>
          <w:b/>
        </w:rPr>
        <w:t xml:space="preserve"> </w:t>
      </w:r>
      <w:r w:rsidR="00A42BA3">
        <w:rPr>
          <w:b/>
        </w:rPr>
        <w:t>o</w:t>
      </w:r>
      <w:r w:rsidRPr="0024421C">
        <w:rPr>
          <w:b/>
        </w:rPr>
        <w:t>f the provisional agenda</w:t>
      </w:r>
      <w:r w:rsidRPr="0024421C">
        <w:rPr>
          <w:b/>
        </w:rPr>
        <w:br/>
        <w:t>Financial arrangements</w:t>
      </w:r>
      <w:r w:rsidRPr="0024421C">
        <w:rPr>
          <w:b/>
          <w:bCs/>
        </w:rPr>
        <w:t xml:space="preserve"> </w:t>
      </w:r>
    </w:p>
    <w:p w14:paraId="3B429284" w14:textId="77777777" w:rsidR="0024421C" w:rsidRPr="0024421C" w:rsidRDefault="0024421C" w:rsidP="0024421C">
      <w:pPr>
        <w:pStyle w:val="HChG"/>
      </w:pPr>
      <w:r w:rsidRPr="0024421C">
        <w:tab/>
      </w:r>
      <w:r w:rsidRPr="0024421C">
        <w:tab/>
        <w:t>Bureau’s proposals on financial arrangements</w:t>
      </w:r>
    </w:p>
    <w:p w14:paraId="03FBA3EE" w14:textId="77777777" w:rsidR="0024421C" w:rsidRPr="0024421C" w:rsidRDefault="0024421C" w:rsidP="0024421C">
      <w:pPr>
        <w:pStyle w:val="H1G"/>
      </w:pPr>
      <w:r w:rsidRPr="0024421C">
        <w:tab/>
      </w:r>
      <w:r w:rsidRPr="0024421C">
        <w:tab/>
        <w:t>Note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4421C" w14:paraId="7BA5BB11" w14:textId="77777777" w:rsidTr="00BA4859">
        <w:trPr>
          <w:jc w:val="center"/>
        </w:trPr>
        <w:tc>
          <w:tcPr>
            <w:tcW w:w="9637" w:type="dxa"/>
            <w:shd w:val="clear" w:color="auto" w:fill="auto"/>
          </w:tcPr>
          <w:p w14:paraId="62268ABF" w14:textId="77777777" w:rsidR="0024421C" w:rsidRPr="00C6263E" w:rsidRDefault="0024421C" w:rsidP="00BA4859">
            <w:pPr>
              <w:spacing w:before="240" w:after="120"/>
              <w:ind w:left="255"/>
              <w:rPr>
                <w:i/>
                <w:sz w:val="24"/>
              </w:rPr>
            </w:pPr>
            <w:r w:rsidRPr="00C6263E">
              <w:rPr>
                <w:i/>
                <w:sz w:val="24"/>
              </w:rPr>
              <w:t>Summary</w:t>
            </w:r>
          </w:p>
        </w:tc>
      </w:tr>
      <w:tr w:rsidR="0024421C" w14:paraId="33A10B05" w14:textId="77777777" w:rsidTr="00BA4859">
        <w:trPr>
          <w:jc w:val="center"/>
        </w:trPr>
        <w:tc>
          <w:tcPr>
            <w:tcW w:w="9637" w:type="dxa"/>
            <w:shd w:val="clear" w:color="auto" w:fill="auto"/>
          </w:tcPr>
          <w:p w14:paraId="2941FD0D" w14:textId="70AA564E" w:rsidR="0024421C" w:rsidRPr="0024421C" w:rsidRDefault="0024421C" w:rsidP="0024421C">
            <w:pPr>
              <w:pStyle w:val="SingleTxtG"/>
              <w:ind w:firstLine="567"/>
            </w:pPr>
            <w:r w:rsidRPr="0024421C">
              <w:t xml:space="preserve">At their last sessions (Vilnius (online), 8–11 December 2020), the Meetings of the Parties to the Convention on Environmental Impact Assessment in a Transboundary Context (Espoo Convention) and its Protocol on Strategic Environmental Assessment requested the Bureau to again propose possible solutions to the issue of continued insufficiency, uneven distribution and unpredictability of contributions for the implementation of the workplans, considering also experiences of the other ECE multilateral environmental agreements in that regard. Possible revision proposals to the financial scheme adopted through decision VIII/1–IV/1 for 2021–2023, were to be presented to the Working Group on Environmental Impact Assessment and Strategic Environmental Assessment, at its eleventh meeting, </w:t>
            </w:r>
            <w:r w:rsidR="00394AC9">
              <w:t xml:space="preserve">in </w:t>
            </w:r>
            <w:r w:rsidRPr="0024421C">
              <w:t>December 2022, and ultimately to the Meetings of the Parties in December 2023.</w:t>
            </w:r>
          </w:p>
          <w:p w14:paraId="639599D6" w14:textId="163CB003" w:rsidR="0024421C" w:rsidRPr="00DF5474" w:rsidRDefault="0024421C" w:rsidP="0024421C">
            <w:pPr>
              <w:pStyle w:val="SingleTxtG"/>
              <w:ind w:firstLine="567"/>
            </w:pPr>
            <w:r w:rsidRPr="00DF5474">
              <w:t>This document presents the outcomes of the Bureau’s discussions at its meeting</w:t>
            </w:r>
            <w:r w:rsidR="002135B8" w:rsidRPr="00DF5474">
              <w:t>[s]</w:t>
            </w:r>
            <w:r w:rsidRPr="00DF5474">
              <w:t xml:space="preserve"> on </w:t>
            </w:r>
            <w:r w:rsidR="00117D6F" w:rsidRPr="00DF5474">
              <w:t>9 and 10 June 2022 and on 1</w:t>
            </w:r>
            <w:r w:rsidRPr="00DF5474">
              <w:t>6 and 17 June 2021</w:t>
            </w:r>
            <w:r w:rsidR="00DF5474" w:rsidRPr="00DF5474">
              <w:t>.</w:t>
            </w:r>
          </w:p>
          <w:p w14:paraId="20067AC8" w14:textId="5C3B076A" w:rsidR="0024421C" w:rsidRDefault="0024421C" w:rsidP="0024421C">
            <w:pPr>
              <w:pStyle w:val="SingleTxtG"/>
              <w:ind w:firstLine="567"/>
            </w:pPr>
            <w:r w:rsidRPr="006C008F">
              <w:t>The Working Group is invited to comment the information</w:t>
            </w:r>
            <w:r w:rsidR="00502B2E" w:rsidRPr="006C008F">
              <w:t xml:space="preserve"> and proposals</w:t>
            </w:r>
            <w:r w:rsidR="003E4B26" w:rsidRPr="006C008F">
              <w:t xml:space="preserve"> from the Bureau for addressing t</w:t>
            </w:r>
            <w:r w:rsidR="00F87F0E" w:rsidRPr="006C008F">
              <w:t>he</w:t>
            </w:r>
            <w:r w:rsidR="00641C22" w:rsidRPr="006C008F">
              <w:t xml:space="preserve"> protracted</w:t>
            </w:r>
            <w:r w:rsidR="00310131" w:rsidRPr="006C008F">
              <w:t xml:space="preserve"> resource constraints</w:t>
            </w:r>
            <w:r w:rsidR="008561D5" w:rsidRPr="006C008F">
              <w:t xml:space="preserve">, </w:t>
            </w:r>
            <w:r w:rsidR="009718E5" w:rsidRPr="006C008F">
              <w:t>asse</w:t>
            </w:r>
            <w:r w:rsidR="00B21B98" w:rsidRPr="006C008F">
              <w:t>ss the effectiveness thus far</w:t>
            </w:r>
            <w:r w:rsidR="00442647" w:rsidRPr="006C008F">
              <w:t xml:space="preserve"> of decision </w:t>
            </w:r>
            <w:r w:rsidR="0024393B" w:rsidRPr="006C008F">
              <w:t xml:space="preserve">VIII/1–IV/1 </w:t>
            </w:r>
            <w:r w:rsidR="00442647" w:rsidRPr="006C008F">
              <w:t>of the Meetings of the Parties</w:t>
            </w:r>
            <w:r w:rsidRPr="006C008F">
              <w:t xml:space="preserve"> </w:t>
            </w:r>
            <w:r w:rsidR="00961C0E" w:rsidRPr="006C008F">
              <w:t>and agree on actions to be taken to enfo</w:t>
            </w:r>
            <w:r w:rsidR="002F518F" w:rsidRPr="006C008F">
              <w:t xml:space="preserve">rce that decision. </w:t>
            </w:r>
          </w:p>
        </w:tc>
      </w:tr>
      <w:tr w:rsidR="0024421C" w14:paraId="178854C4" w14:textId="77777777" w:rsidTr="00BA4859">
        <w:trPr>
          <w:jc w:val="center"/>
        </w:trPr>
        <w:tc>
          <w:tcPr>
            <w:tcW w:w="9637" w:type="dxa"/>
            <w:shd w:val="clear" w:color="auto" w:fill="auto"/>
          </w:tcPr>
          <w:p w14:paraId="443099C8" w14:textId="77777777" w:rsidR="0024421C" w:rsidRDefault="0024421C" w:rsidP="00BA4859"/>
        </w:tc>
      </w:tr>
    </w:tbl>
    <w:p w14:paraId="3D625752" w14:textId="065429ED" w:rsidR="0024421C" w:rsidRDefault="0024421C" w:rsidP="0024421C">
      <w:r>
        <w:br w:type="page"/>
      </w:r>
    </w:p>
    <w:p w14:paraId="167F44B2" w14:textId="5CE36A2D" w:rsidR="0076035C" w:rsidRDefault="0024421C" w:rsidP="0024421C">
      <w:pPr>
        <w:pStyle w:val="HChG"/>
        <w:rPr>
          <w:lang w:eastAsia="en-US"/>
        </w:rPr>
      </w:pPr>
      <w:bookmarkStart w:id="0" w:name="_Hlk116660264"/>
      <w:r>
        <w:rPr>
          <w:lang w:eastAsia="en-US"/>
        </w:rPr>
        <w:lastRenderedPageBreak/>
        <w:tab/>
      </w:r>
      <w:r w:rsidR="0076035C">
        <w:rPr>
          <w:lang w:eastAsia="en-US"/>
        </w:rPr>
        <w:t>I</w:t>
      </w:r>
      <w:r w:rsidRPr="0024421C">
        <w:rPr>
          <w:lang w:eastAsia="en-US"/>
        </w:rPr>
        <w:t>.</w:t>
      </w:r>
      <w:r w:rsidRPr="0024421C">
        <w:rPr>
          <w:lang w:eastAsia="en-US"/>
        </w:rPr>
        <w:tab/>
      </w:r>
      <w:r w:rsidR="006E0E88">
        <w:rPr>
          <w:lang w:eastAsia="en-US"/>
        </w:rPr>
        <w:t>T</w:t>
      </w:r>
      <w:r w:rsidR="0076035C" w:rsidRPr="0076035C">
        <w:rPr>
          <w:lang w:eastAsia="en-US"/>
        </w:rPr>
        <w:t xml:space="preserve">he </w:t>
      </w:r>
      <w:r w:rsidR="00FD4E8A">
        <w:rPr>
          <w:lang w:eastAsia="en-US"/>
        </w:rPr>
        <w:t xml:space="preserve">mandate and the </w:t>
      </w:r>
      <w:r w:rsidR="0076035C" w:rsidRPr="0076035C">
        <w:rPr>
          <w:lang w:eastAsia="en-US"/>
        </w:rPr>
        <w:t xml:space="preserve">Bureau’s </w:t>
      </w:r>
      <w:r w:rsidR="00ED1878">
        <w:rPr>
          <w:lang w:eastAsia="en-US"/>
        </w:rPr>
        <w:t xml:space="preserve">earlier considerations </w:t>
      </w:r>
    </w:p>
    <w:bookmarkEnd w:id="0"/>
    <w:p w14:paraId="73C6AB67" w14:textId="5AAC629A" w:rsidR="0099137A" w:rsidRDefault="003F0CDA" w:rsidP="007C31AE">
      <w:pPr>
        <w:pStyle w:val="SingleTxtG"/>
      </w:pPr>
      <w:r>
        <w:rPr>
          <w:bCs/>
        </w:rPr>
        <w:t>1.</w:t>
      </w:r>
      <w:r>
        <w:rPr>
          <w:bCs/>
        </w:rPr>
        <w:tab/>
      </w:r>
      <w:r w:rsidR="0049418E">
        <w:t>T</w:t>
      </w:r>
      <w:r w:rsidR="004001A8" w:rsidRPr="004001A8">
        <w:t>he Meetings of the Parties</w:t>
      </w:r>
      <w:r w:rsidR="0049418E">
        <w:t xml:space="preserve"> to the Convention and the Protocol</w:t>
      </w:r>
      <w:r w:rsidR="004001A8" w:rsidRPr="004001A8">
        <w:t xml:space="preserve">, at their last sessions (Vilnius (online), 8–11 December 2020), </w:t>
      </w:r>
      <w:r w:rsidR="0099137A">
        <w:t xml:space="preserve">asked the </w:t>
      </w:r>
      <w:r w:rsidR="004001A8" w:rsidRPr="004001A8">
        <w:t>Bureau to continue to reflect on the previously presented possible solutions to the issue of the insufficiency, uneven distribution and unpredictability of contributions for the implementation of the workplan for 2021–2023, considering also experiences of the other ECE multilateral environmental agreements in that regard.</w:t>
      </w:r>
      <w:r w:rsidR="009F2129">
        <w:rPr>
          <w:rStyle w:val="FootnoteReference"/>
        </w:rPr>
        <w:footnoteReference w:id="2"/>
      </w:r>
      <w:r w:rsidR="004001A8" w:rsidRPr="004001A8">
        <w:t xml:space="preserve"> </w:t>
      </w:r>
      <w:r w:rsidR="00FC33BE" w:rsidRPr="00FC33BE">
        <w:t xml:space="preserve">The Bureau was to present the </w:t>
      </w:r>
      <w:r w:rsidR="00CC117B">
        <w:t xml:space="preserve">results </w:t>
      </w:r>
      <w:r w:rsidR="00B215A2">
        <w:t>of</w:t>
      </w:r>
      <w:r w:rsidR="00FC33BE" w:rsidRPr="00FC33BE">
        <w:t xml:space="preserve"> its reflections for consideration of the Working Group on Environmental Impact Assessment and Strategic Environmental Assessment at its </w:t>
      </w:r>
      <w:r w:rsidR="00CC235E">
        <w:t xml:space="preserve">eleventh </w:t>
      </w:r>
      <w:r w:rsidR="00FC33BE" w:rsidRPr="00FC33BE">
        <w:t>meeting in December 2022</w:t>
      </w:r>
      <w:r w:rsidR="00CC235E">
        <w:t xml:space="preserve"> (and, as needed, for further consideration at its twelfth meeting (13–15 June 2023)</w:t>
      </w:r>
      <w:r w:rsidR="00ED7621">
        <w:t xml:space="preserve">. </w:t>
      </w:r>
      <w:r w:rsidR="009F2129">
        <w:t xml:space="preserve">Subsequently, </w:t>
      </w:r>
      <w:r w:rsidR="00CC235E">
        <w:t xml:space="preserve">once </w:t>
      </w:r>
      <w:r w:rsidR="009F2129">
        <w:t>a</w:t>
      </w:r>
      <w:r w:rsidR="00ED7621">
        <w:t>greed</w:t>
      </w:r>
      <w:r w:rsidR="00CC235E">
        <w:t>, the</w:t>
      </w:r>
      <w:r w:rsidR="00ED7621">
        <w:t xml:space="preserve"> financial proposals would </w:t>
      </w:r>
      <w:r w:rsidR="009F2129">
        <w:t xml:space="preserve">be submitted to </w:t>
      </w:r>
      <w:r w:rsidR="00FC33BE" w:rsidRPr="00FC33BE">
        <w:t>the Meetings of the Parties</w:t>
      </w:r>
      <w:r w:rsidR="00CC235E">
        <w:t>’ next sessions</w:t>
      </w:r>
      <w:r w:rsidR="00FC33BE" w:rsidRPr="00FC33BE">
        <w:t xml:space="preserve"> </w:t>
      </w:r>
      <w:r w:rsidR="00CC235E">
        <w:t xml:space="preserve">(12–15 </w:t>
      </w:r>
      <w:r w:rsidR="00FC33BE" w:rsidRPr="00FC33BE">
        <w:t>December 2023</w:t>
      </w:r>
      <w:r w:rsidR="00CC235E">
        <w:t>)</w:t>
      </w:r>
      <w:r w:rsidR="00FC33BE" w:rsidRPr="00FC33BE">
        <w:t>.</w:t>
      </w:r>
    </w:p>
    <w:p w14:paraId="7B7AE517" w14:textId="50F9E22F" w:rsidR="0001096B" w:rsidRPr="0024421C" w:rsidRDefault="0001096B" w:rsidP="00D64758">
      <w:pPr>
        <w:pStyle w:val="SingleTxtG"/>
        <w:rPr>
          <w:lang w:eastAsia="en-US"/>
        </w:rPr>
      </w:pPr>
      <w:r>
        <w:t>2.</w:t>
      </w:r>
      <w:r>
        <w:tab/>
      </w:r>
      <w:r w:rsidR="00CC18CB" w:rsidRPr="00CC18CB">
        <w:t xml:space="preserve">At its meeting on 16 and 17 June 2021, </w:t>
      </w:r>
      <w:r w:rsidR="00CD746C">
        <w:t xml:space="preserve">the Bureau held </w:t>
      </w:r>
      <w:r w:rsidR="00CC18CB" w:rsidRPr="00CC18CB">
        <w:t xml:space="preserve">initial </w:t>
      </w:r>
      <w:r w:rsidR="00CD746C">
        <w:t xml:space="preserve">discussions on the </w:t>
      </w:r>
      <w:r w:rsidR="00E037C3">
        <w:t xml:space="preserve">matter, </w:t>
      </w:r>
      <w:r w:rsidR="002B046D">
        <w:t xml:space="preserve">reviewing its </w:t>
      </w:r>
      <w:r w:rsidR="00CC18CB" w:rsidRPr="00CC18CB">
        <w:t>previous proposals for improving the financial situation under the two treaties since 2011 and beyond</w:t>
      </w:r>
      <w:r w:rsidR="00AE6738">
        <w:t>.</w:t>
      </w:r>
      <w:r w:rsidR="00197575">
        <w:t xml:space="preserve"> It</w:t>
      </w:r>
      <w:r w:rsidRPr="0024421C">
        <w:rPr>
          <w:lang w:eastAsia="en-US"/>
        </w:rPr>
        <w:t xml:space="preserve"> concluded</w:t>
      </w:r>
      <w:r w:rsidR="00197575">
        <w:rPr>
          <w:lang w:eastAsia="en-US"/>
        </w:rPr>
        <w:t>, however,</w:t>
      </w:r>
      <w:r w:rsidRPr="0024421C">
        <w:rPr>
          <w:lang w:eastAsia="en-US"/>
        </w:rPr>
        <w:t xml:space="preserve"> that it was premature to </w:t>
      </w:r>
      <w:r w:rsidR="0002136F">
        <w:rPr>
          <w:lang w:eastAsia="en-US"/>
        </w:rPr>
        <w:t xml:space="preserve">consider </w:t>
      </w:r>
      <w:r w:rsidR="003937EB">
        <w:rPr>
          <w:lang w:eastAsia="en-US"/>
        </w:rPr>
        <w:t xml:space="preserve">revising </w:t>
      </w:r>
      <w:r w:rsidRPr="0024421C">
        <w:rPr>
          <w:lang w:eastAsia="en-US"/>
        </w:rPr>
        <w:t xml:space="preserve">the financial arrangements for 2021–2023 </w:t>
      </w:r>
      <w:r w:rsidR="0046332E">
        <w:rPr>
          <w:lang w:eastAsia="en-US"/>
        </w:rPr>
        <w:t xml:space="preserve">only </w:t>
      </w:r>
      <w:r w:rsidR="00EB25CA">
        <w:rPr>
          <w:lang w:eastAsia="en-US"/>
        </w:rPr>
        <w:t xml:space="preserve">six months </w:t>
      </w:r>
      <w:r w:rsidR="001E5420">
        <w:rPr>
          <w:lang w:eastAsia="en-US"/>
        </w:rPr>
        <w:t>after their adoption</w:t>
      </w:r>
      <w:r w:rsidRPr="0024421C">
        <w:rPr>
          <w:lang w:eastAsia="en-US"/>
        </w:rPr>
        <w:t>. It agreed that it would be necessary for the Bureau and the Working Group to first see:</w:t>
      </w:r>
    </w:p>
    <w:p w14:paraId="34B3A68E" w14:textId="4BA2EDD4" w:rsidR="0001096B" w:rsidRPr="0024421C" w:rsidRDefault="0001096B" w:rsidP="0001096B">
      <w:pPr>
        <w:spacing w:after="120"/>
        <w:ind w:left="1134" w:right="1134" w:firstLine="567"/>
        <w:jc w:val="both"/>
        <w:rPr>
          <w:lang w:eastAsia="en-US"/>
        </w:rPr>
      </w:pPr>
      <w:r w:rsidRPr="0024421C">
        <w:rPr>
          <w:lang w:eastAsia="en-US"/>
        </w:rPr>
        <w:t>(a)</w:t>
      </w:r>
      <w:r w:rsidRPr="0024421C">
        <w:rPr>
          <w:lang w:eastAsia="en-US"/>
        </w:rPr>
        <w:tab/>
        <w:t>To what extent the newly adopted financial scheme would be implemented, and in particular, whether all the Parties would fulfil their “duty to contribute to the sharing of the costs that are not covered by the United Nations regular budget”</w:t>
      </w:r>
      <w:r w:rsidR="003965B2">
        <w:rPr>
          <w:lang w:eastAsia="en-US"/>
        </w:rPr>
        <w:t>,</w:t>
      </w:r>
      <w:r w:rsidRPr="0024421C">
        <w:rPr>
          <w:sz w:val="18"/>
          <w:vertAlign w:val="superscript"/>
          <w:lang w:eastAsia="en-US"/>
        </w:rPr>
        <w:footnoteReference w:id="3"/>
      </w:r>
    </w:p>
    <w:p w14:paraId="6B097185" w14:textId="77777777" w:rsidR="0001096B" w:rsidRPr="0024421C" w:rsidRDefault="0001096B" w:rsidP="0001096B">
      <w:pPr>
        <w:spacing w:after="120"/>
        <w:ind w:left="1134" w:right="1134" w:firstLine="567"/>
        <w:jc w:val="both"/>
        <w:rPr>
          <w:lang w:eastAsia="en-US"/>
        </w:rPr>
      </w:pPr>
      <w:r w:rsidRPr="0024421C">
        <w:rPr>
          <w:lang w:eastAsia="en-US"/>
        </w:rPr>
        <w:t>(b)</w:t>
      </w:r>
      <w:r w:rsidRPr="0024421C">
        <w:rPr>
          <w:lang w:eastAsia="en-US"/>
        </w:rPr>
        <w:tab/>
        <w:t>To what extent the current financial scheme was sufficient in remedying the insufficiency of the funds to the trust fund.</w:t>
      </w:r>
    </w:p>
    <w:p w14:paraId="3B9DDB56" w14:textId="2BB983D0" w:rsidR="00CC18CB" w:rsidRDefault="00A92138" w:rsidP="00A92138">
      <w:pPr>
        <w:pStyle w:val="SingleTxtG"/>
      </w:pPr>
      <w:r>
        <w:t>3.</w:t>
      </w:r>
      <w:r>
        <w:tab/>
      </w:r>
      <w:r w:rsidR="004B1C0A">
        <w:t>A</w:t>
      </w:r>
      <w:r w:rsidR="009F0C43">
        <w:t>t its tenth meeting (</w:t>
      </w:r>
      <w:r w:rsidR="00091DB5">
        <w:t>Geneva, 1–3 December 2021)</w:t>
      </w:r>
      <w:r w:rsidR="007A7E25">
        <w:t>,</w:t>
      </w:r>
      <w:r w:rsidR="004B1C0A" w:rsidRPr="004B1C0A">
        <w:t xml:space="preserve"> </w:t>
      </w:r>
      <w:r w:rsidR="004B1C0A">
        <w:t>t</w:t>
      </w:r>
      <w:r w:rsidR="004B1C0A" w:rsidRPr="004B1C0A">
        <w:t>he Working Group</w:t>
      </w:r>
      <w:r w:rsidR="0020542C">
        <w:t xml:space="preserve"> took note of</w:t>
      </w:r>
      <w:r w:rsidR="009F0C43">
        <w:t xml:space="preserve"> the </w:t>
      </w:r>
      <w:r w:rsidR="00F91AD5">
        <w:t xml:space="preserve">Bureau’s </w:t>
      </w:r>
      <w:r w:rsidR="009F0C43">
        <w:t>above conclusion</w:t>
      </w:r>
      <w:r w:rsidR="00904310">
        <w:t>s</w:t>
      </w:r>
      <w:r w:rsidR="009F0C43">
        <w:t xml:space="preserve"> and asked </w:t>
      </w:r>
      <w:r w:rsidR="000C283D">
        <w:t>the Bureau</w:t>
      </w:r>
      <w:r w:rsidR="00E32666">
        <w:t>,</w:t>
      </w:r>
      <w:r w:rsidR="00E32666" w:rsidRPr="00E32666">
        <w:t xml:space="preserve"> </w:t>
      </w:r>
      <w:r w:rsidR="00E32666">
        <w:t>in advance of the Working Group’s present meeting,</w:t>
      </w:r>
      <w:r w:rsidR="006B77B6">
        <w:t xml:space="preserve"> </w:t>
      </w:r>
      <w:r w:rsidR="00FB2B27">
        <w:t>the</w:t>
      </w:r>
      <w:r w:rsidR="00CE0379">
        <w:t xml:space="preserve"> </w:t>
      </w:r>
      <w:r w:rsidR="00055E5F">
        <w:t xml:space="preserve">implementation and the effectiveness of the </w:t>
      </w:r>
      <w:r w:rsidR="00E32666">
        <w:t xml:space="preserve">present </w:t>
      </w:r>
      <w:r w:rsidR="00055E5F">
        <w:t xml:space="preserve">financial </w:t>
      </w:r>
      <w:r w:rsidR="00E32666">
        <w:t xml:space="preserve">scheme, and on its basis, </w:t>
      </w:r>
      <w:r w:rsidR="005B62AC">
        <w:t xml:space="preserve">if required, </w:t>
      </w:r>
      <w:r w:rsidR="00B969EC">
        <w:t>to present possible new proposals</w:t>
      </w:r>
      <w:r w:rsidR="00055E5F">
        <w:t>.</w:t>
      </w:r>
      <w:r w:rsidR="00EE4614">
        <w:rPr>
          <w:rStyle w:val="FootnoteReference"/>
        </w:rPr>
        <w:footnoteReference w:id="4"/>
      </w:r>
      <w:r w:rsidR="00D61979">
        <w:t xml:space="preserve"> </w:t>
      </w:r>
      <w:r w:rsidR="00CC235E">
        <w:t xml:space="preserve">The secretariat presented </w:t>
      </w:r>
      <w:r w:rsidR="00D61979">
        <w:t xml:space="preserve">information </w:t>
      </w:r>
      <w:r w:rsidR="00CC235E">
        <w:t xml:space="preserve">about </w:t>
      </w:r>
      <w:r w:rsidR="000D20A5">
        <w:t>t</w:t>
      </w:r>
      <w:r w:rsidR="00D61979">
        <w:t>he recently adopted financial arrangements and approaches under the other</w:t>
      </w:r>
      <w:r w:rsidR="00A36C12">
        <w:t xml:space="preserve"> ECE Multilateral Environmental Agreements</w:t>
      </w:r>
      <w:r w:rsidR="008B6CD1">
        <w:t xml:space="preserve"> (MEAs)</w:t>
      </w:r>
      <w:r w:rsidR="002F63D3">
        <w:t xml:space="preserve"> to both bodies</w:t>
      </w:r>
      <w:r w:rsidR="00CC235E">
        <w:t xml:space="preserve">. The Bureau noted that those arrangements and approaches </w:t>
      </w:r>
      <w:r w:rsidR="00830059">
        <w:t xml:space="preserve">were </w:t>
      </w:r>
      <w:r w:rsidR="003C51ED">
        <w:t xml:space="preserve">basically </w:t>
      </w:r>
      <w:r w:rsidR="00CC235E">
        <w:t xml:space="preserve">identical </w:t>
      </w:r>
      <w:r w:rsidR="00A36C12">
        <w:t>to t</w:t>
      </w:r>
      <w:r w:rsidR="00CC235E">
        <w:t xml:space="preserve">he ones </w:t>
      </w:r>
      <w:r w:rsidR="00EE4614">
        <w:t>under the Espoo Convention and its Protocol</w:t>
      </w:r>
      <w:r w:rsidR="000234B1">
        <w:t xml:space="preserve">, </w:t>
      </w:r>
      <w:r w:rsidR="00D913F9">
        <w:t xml:space="preserve">but </w:t>
      </w:r>
      <w:r w:rsidR="000D20A5">
        <w:t>that</w:t>
      </w:r>
      <w:r w:rsidR="002651E0">
        <w:t xml:space="preserve">, </w:t>
      </w:r>
      <w:r w:rsidR="00FF3C9E">
        <w:t>th</w:t>
      </w:r>
      <w:r w:rsidR="005A6DF6">
        <w:t>e respective budgets and the secretariat’s</w:t>
      </w:r>
      <w:r w:rsidR="00202E84">
        <w:t xml:space="preserve"> staff</w:t>
      </w:r>
      <w:r w:rsidR="005A6DF6">
        <w:t xml:space="preserve"> </w:t>
      </w:r>
      <w:r w:rsidR="000234B1">
        <w:t>resources</w:t>
      </w:r>
      <w:r w:rsidR="00FF3C9E">
        <w:t xml:space="preserve"> </w:t>
      </w:r>
      <w:r w:rsidR="00CC235E">
        <w:t xml:space="preserve">of the other MEAs </w:t>
      </w:r>
      <w:r w:rsidR="00F75D1A">
        <w:t xml:space="preserve">were </w:t>
      </w:r>
      <w:r w:rsidR="009A58CC">
        <w:t xml:space="preserve">nevertheless </w:t>
      </w:r>
      <w:r w:rsidR="00FF3C9E">
        <w:t>substantially</w:t>
      </w:r>
      <w:r w:rsidR="00F75D1A">
        <w:t xml:space="preserve"> </w:t>
      </w:r>
      <w:r w:rsidR="001817C4">
        <w:t>larger</w:t>
      </w:r>
      <w:r w:rsidR="00FF3C9E">
        <w:t>.</w:t>
      </w:r>
    </w:p>
    <w:p w14:paraId="4302BB93" w14:textId="224FA622" w:rsidR="00ED1878" w:rsidRDefault="00A92138" w:rsidP="00A92138">
      <w:pPr>
        <w:pStyle w:val="HChG"/>
        <w:rPr>
          <w:lang w:eastAsia="en-US"/>
        </w:rPr>
      </w:pPr>
      <w:r>
        <w:rPr>
          <w:lang w:eastAsia="en-US"/>
        </w:rPr>
        <w:tab/>
      </w:r>
      <w:r w:rsidRPr="00A92138">
        <w:rPr>
          <w:lang w:eastAsia="en-US"/>
        </w:rPr>
        <w:t>I</w:t>
      </w:r>
      <w:r>
        <w:rPr>
          <w:lang w:eastAsia="en-US"/>
        </w:rPr>
        <w:t>I</w:t>
      </w:r>
      <w:r w:rsidRPr="00A92138">
        <w:rPr>
          <w:lang w:eastAsia="en-US"/>
        </w:rPr>
        <w:t>.</w:t>
      </w:r>
      <w:r w:rsidRPr="00A92138">
        <w:rPr>
          <w:lang w:eastAsia="en-US"/>
        </w:rPr>
        <w:tab/>
        <w:t xml:space="preserve">The Bureau’s </w:t>
      </w:r>
      <w:r>
        <w:rPr>
          <w:lang w:eastAsia="en-US"/>
        </w:rPr>
        <w:t>conclusions</w:t>
      </w:r>
    </w:p>
    <w:p w14:paraId="1DD46B2B" w14:textId="593F8C47" w:rsidR="005515B5" w:rsidRDefault="008D59B6" w:rsidP="00A92138">
      <w:pPr>
        <w:pStyle w:val="SingleTxtG"/>
      </w:pPr>
      <w:r>
        <w:t>4.</w:t>
      </w:r>
      <w:r>
        <w:tab/>
      </w:r>
      <w:r w:rsidR="00E51CF8">
        <w:t>At its last meeting (Geneva, 9 and 10 June 2022), t</w:t>
      </w:r>
      <w:r w:rsidR="005E661C" w:rsidRPr="00F9681C">
        <w:t>he Bureau</w:t>
      </w:r>
      <w:r w:rsidR="00E037C3">
        <w:t xml:space="preserve"> </w:t>
      </w:r>
      <w:r w:rsidR="003F396D">
        <w:t xml:space="preserve">continued its consideration </w:t>
      </w:r>
      <w:r w:rsidR="002A5A77">
        <w:t xml:space="preserve">of the </w:t>
      </w:r>
      <w:r w:rsidR="00CC235E">
        <w:t xml:space="preserve">financial </w:t>
      </w:r>
      <w:r w:rsidR="002A5A77">
        <w:t>matter</w:t>
      </w:r>
      <w:r w:rsidR="00CC235E">
        <w:t>s</w:t>
      </w:r>
      <w:r w:rsidR="002A5A77">
        <w:t xml:space="preserve">. </w:t>
      </w:r>
    </w:p>
    <w:p w14:paraId="3E5D79F8" w14:textId="00F0A830" w:rsidR="00F975C7" w:rsidRDefault="006A4F72" w:rsidP="00FD2CC4">
      <w:pPr>
        <w:pStyle w:val="H1G"/>
        <w:rPr>
          <w:b w:val="0"/>
          <w:bCs/>
          <w:szCs w:val="24"/>
        </w:rPr>
      </w:pPr>
      <w:r>
        <w:tab/>
      </w:r>
      <w:r w:rsidR="00BB5839" w:rsidRPr="00CB3EDF">
        <w:t>A.</w:t>
      </w:r>
      <w:r w:rsidR="00BB5839" w:rsidRPr="00CB3EDF">
        <w:tab/>
      </w:r>
      <w:r w:rsidR="000D0597">
        <w:t>I</w:t>
      </w:r>
      <w:r w:rsidR="006334C3">
        <w:rPr>
          <w:szCs w:val="24"/>
        </w:rPr>
        <w:t xml:space="preserve">mplementation and </w:t>
      </w:r>
      <w:r w:rsidR="00F80B2E" w:rsidRPr="004924CA">
        <w:rPr>
          <w:szCs w:val="24"/>
        </w:rPr>
        <w:t>effectiveness of the</w:t>
      </w:r>
      <w:r w:rsidR="00CB3EDF" w:rsidRPr="004924CA">
        <w:rPr>
          <w:szCs w:val="24"/>
        </w:rPr>
        <w:t xml:space="preserve"> present financial scheme</w:t>
      </w:r>
      <w:r w:rsidR="00E609EF">
        <w:rPr>
          <w:b w:val="0"/>
          <w:bCs/>
          <w:szCs w:val="24"/>
        </w:rPr>
        <w:t xml:space="preserve"> </w:t>
      </w:r>
    </w:p>
    <w:p w14:paraId="21AD47E8" w14:textId="70D24674" w:rsidR="003B6782" w:rsidRDefault="00595D69" w:rsidP="00FC00BC">
      <w:pPr>
        <w:pStyle w:val="SingleTxtG"/>
      </w:pPr>
      <w:bookmarkStart w:id="2" w:name="_Hlk116660712"/>
      <w:r>
        <w:t>5.</w:t>
      </w:r>
      <w:r>
        <w:tab/>
      </w:r>
      <w:r w:rsidR="00B40203">
        <w:t xml:space="preserve">The Bureau </w:t>
      </w:r>
      <w:r w:rsidR="000A64E0">
        <w:t xml:space="preserve">reviewed </w:t>
      </w:r>
      <w:r w:rsidR="00B40203">
        <w:t xml:space="preserve">the </w:t>
      </w:r>
      <w:r w:rsidR="00BB3CD0" w:rsidRPr="00F9681C">
        <w:t>draft financial report covering the year 202</w:t>
      </w:r>
      <w:r w:rsidR="00A64F4C">
        <w:t>1</w:t>
      </w:r>
      <w:r w:rsidR="00B40203">
        <w:t xml:space="preserve"> </w:t>
      </w:r>
      <w:r w:rsidR="006F2FEC">
        <w:t>together with</w:t>
      </w:r>
      <w:r w:rsidR="000A64E0">
        <w:t xml:space="preserve"> u</w:t>
      </w:r>
      <w:r w:rsidR="00BB3CD0" w:rsidRPr="00F9681C">
        <w:t xml:space="preserve">pdated information on the contributions received to the trust fund or pledged by Parties </w:t>
      </w:r>
      <w:r w:rsidR="00455385">
        <w:t xml:space="preserve">until the </w:t>
      </w:r>
      <w:r w:rsidR="00BB3CD0" w:rsidRPr="00F9681C">
        <w:t xml:space="preserve">end of May 2022. </w:t>
      </w:r>
      <w:r w:rsidR="00F80B2E">
        <w:t>On that basis,</w:t>
      </w:r>
      <w:r w:rsidR="00604C80" w:rsidRPr="00604C80">
        <w:t xml:space="preserve"> </w:t>
      </w:r>
      <w:r w:rsidR="00427E00">
        <w:t xml:space="preserve">it </w:t>
      </w:r>
      <w:r w:rsidR="00604C80">
        <w:t>assessed</w:t>
      </w:r>
      <w:r w:rsidR="00FC00BC">
        <w:t xml:space="preserve"> </w:t>
      </w:r>
      <w:r w:rsidR="00767335" w:rsidRPr="00767335">
        <w:t>the implementation and the effectiveness of the present financial scheme</w:t>
      </w:r>
      <w:r w:rsidR="00805AE4">
        <w:t xml:space="preserve">, </w:t>
      </w:r>
      <w:r w:rsidR="00DA2A23">
        <w:t xml:space="preserve">as </w:t>
      </w:r>
      <w:r w:rsidR="00805AE4">
        <w:t xml:space="preserve">set out in decision </w:t>
      </w:r>
      <w:r w:rsidR="00DA2A23">
        <w:t>VIII/1–IV/1</w:t>
      </w:r>
      <w:r w:rsidR="007A3295">
        <w:t>.</w:t>
      </w:r>
    </w:p>
    <w:p w14:paraId="72A79760" w14:textId="04948E03" w:rsidR="003B6782" w:rsidRDefault="00C412EE" w:rsidP="00C412EE">
      <w:pPr>
        <w:pStyle w:val="SingleTxtG"/>
      </w:pPr>
      <w:r>
        <w:t>6.</w:t>
      </w:r>
      <w:r>
        <w:tab/>
        <w:t xml:space="preserve"> </w:t>
      </w:r>
      <w:r w:rsidR="00887F4D">
        <w:t>T</w:t>
      </w:r>
      <w:r>
        <w:t xml:space="preserve">he Bureau </w:t>
      </w:r>
      <w:r w:rsidR="00BB3CD0" w:rsidRPr="00F9681C">
        <w:t>welcomed the contributions received thus far</w:t>
      </w:r>
      <w:r w:rsidR="006E773F">
        <w:t xml:space="preserve"> </w:t>
      </w:r>
      <w:r w:rsidR="00CC235E">
        <w:t>(</w:t>
      </w:r>
      <w:r w:rsidR="006E773F">
        <w:t>in 2021 and 2022</w:t>
      </w:r>
      <w:r w:rsidR="00CC235E">
        <w:t>)</w:t>
      </w:r>
      <w:r w:rsidR="00BB3CD0" w:rsidRPr="00F9681C">
        <w:t>, appreciating</w:t>
      </w:r>
      <w:r w:rsidR="00887F4D">
        <w:t>,</w:t>
      </w:r>
      <w:r w:rsidR="00BB3CD0" w:rsidRPr="00F9681C">
        <w:t xml:space="preserve"> in particular</w:t>
      </w:r>
      <w:r w:rsidR="00887F4D">
        <w:t>,</w:t>
      </w:r>
      <w:r w:rsidR="00BB3CD0" w:rsidRPr="00F9681C">
        <w:t xml:space="preserve"> that</w:t>
      </w:r>
      <w:r w:rsidR="007B6D83">
        <w:t>,</w:t>
      </w:r>
      <w:r w:rsidR="007B6D83" w:rsidRPr="007B6D83">
        <w:t xml:space="preserve"> </w:t>
      </w:r>
      <w:r w:rsidR="00BB3CD0" w:rsidRPr="00F9681C">
        <w:t>some Parties had substantially increased their contributions</w:t>
      </w:r>
      <w:r w:rsidR="00615C06">
        <w:t xml:space="preserve"> </w:t>
      </w:r>
      <w:r w:rsidR="00BB3CD0" w:rsidRPr="00F9681C">
        <w:t>(in particular, Italy but also France and Luxembourg) and that a few Parties that had not previously contributed to the treaties’ trust fund had done so (e.g. Portugal and Spain)</w:t>
      </w:r>
      <w:r w:rsidR="00842A30">
        <w:t xml:space="preserve">. It </w:t>
      </w:r>
      <w:r w:rsidR="00223686">
        <w:t xml:space="preserve">also </w:t>
      </w:r>
      <w:r w:rsidR="00842A30">
        <w:t xml:space="preserve">observed that the total number of Parties that contributed or that had </w:t>
      </w:r>
      <w:r w:rsidR="009F0A90">
        <w:t xml:space="preserve">pledged funding had increased. </w:t>
      </w:r>
    </w:p>
    <w:p w14:paraId="047EAFA2" w14:textId="10CEF249" w:rsidR="00903445" w:rsidRDefault="009F0A90" w:rsidP="009F0A90">
      <w:pPr>
        <w:pStyle w:val="SingleTxtG"/>
        <w:rPr>
          <w:lang w:val="en-US"/>
        </w:rPr>
      </w:pPr>
      <w:r>
        <w:lastRenderedPageBreak/>
        <w:t>7.</w:t>
      </w:r>
      <w:r>
        <w:tab/>
      </w:r>
      <w:r w:rsidR="00BB3CD0" w:rsidRPr="00F9681C">
        <w:rPr>
          <w:lang w:val="en-US"/>
        </w:rPr>
        <w:t>In contrast</w:t>
      </w:r>
      <w:r w:rsidR="00CC235E">
        <w:rPr>
          <w:lang w:val="en-US"/>
        </w:rPr>
        <w:t>,</w:t>
      </w:r>
      <w:r w:rsidR="00903445">
        <w:rPr>
          <w:lang w:val="en-US"/>
        </w:rPr>
        <w:t xml:space="preserve"> the Bureau:</w:t>
      </w:r>
    </w:p>
    <w:p w14:paraId="2E1A2FCD" w14:textId="7568B883" w:rsidR="00BB3CD0" w:rsidRDefault="00903445" w:rsidP="00903445">
      <w:pPr>
        <w:pStyle w:val="SingleTxtG"/>
        <w:ind w:firstLine="567"/>
        <w:rPr>
          <w:lang w:val="en-US"/>
        </w:rPr>
      </w:pPr>
      <w:r>
        <w:rPr>
          <w:lang w:val="en-US"/>
        </w:rPr>
        <w:t>(a)</w:t>
      </w:r>
      <w:r>
        <w:rPr>
          <w:lang w:val="en-US"/>
        </w:rPr>
        <w:tab/>
        <w:t>R</w:t>
      </w:r>
      <w:r w:rsidR="00BB3CD0" w:rsidRPr="00F9681C">
        <w:rPr>
          <w:lang w:val="en-US"/>
        </w:rPr>
        <w:t xml:space="preserve">egretted that, </w:t>
      </w:r>
      <w:r w:rsidR="007B69FF">
        <w:rPr>
          <w:lang w:val="en-US"/>
        </w:rPr>
        <w:t>halfway through</w:t>
      </w:r>
      <w:r w:rsidR="00BB3CD0" w:rsidRPr="00F9681C">
        <w:rPr>
          <w:lang w:val="en-US"/>
        </w:rPr>
        <w:t xml:space="preserve"> the present intersessional period, and despite reminders </w:t>
      </w:r>
      <w:r w:rsidR="004764D7">
        <w:rPr>
          <w:lang w:val="en-US"/>
        </w:rPr>
        <w:t>by</w:t>
      </w:r>
      <w:r w:rsidR="00BB3CD0" w:rsidRPr="00F9681C">
        <w:rPr>
          <w:lang w:val="en-US"/>
        </w:rPr>
        <w:t xml:space="preserve"> the secretariat, 14 (</w:t>
      </w:r>
      <w:r w:rsidR="0018383A">
        <w:rPr>
          <w:lang w:val="en-US"/>
        </w:rPr>
        <w:t xml:space="preserve">or </w:t>
      </w:r>
      <w:r w:rsidR="00BB3CD0" w:rsidRPr="00F9681C">
        <w:rPr>
          <w:lang w:val="en-US"/>
        </w:rPr>
        <w:t>3</w:t>
      </w:r>
      <w:r w:rsidR="0018383A">
        <w:rPr>
          <w:lang w:val="en-US"/>
        </w:rPr>
        <w:t>0</w:t>
      </w:r>
      <w:r w:rsidR="00BB3CD0" w:rsidRPr="00F9681C">
        <w:rPr>
          <w:lang w:val="en-US"/>
        </w:rPr>
        <w:t>%) of the 45 Parties</w:t>
      </w:r>
      <w:r w:rsidR="004764D7">
        <w:rPr>
          <w:lang w:val="en-US"/>
        </w:rPr>
        <w:t xml:space="preserve"> to the Convention</w:t>
      </w:r>
      <w:r w:rsidR="00BB3CD0" w:rsidRPr="00F9681C">
        <w:rPr>
          <w:lang w:val="en-US"/>
        </w:rPr>
        <w:t xml:space="preserve"> had not yet contributed any funds to the trust fund. Seven of those Parties had also not made any commitments for sharing of the workplan costs despite their duty to do so further to decision VIII/1–IV/1</w:t>
      </w:r>
      <w:r w:rsidR="00AF49FF">
        <w:rPr>
          <w:lang w:val="en-US"/>
        </w:rPr>
        <w:t>;</w:t>
      </w:r>
      <w:r w:rsidR="00BB3CD0" w:rsidRPr="00F9681C">
        <w:rPr>
          <w:lang w:val="en-US"/>
        </w:rPr>
        <w:t xml:space="preserve"> </w:t>
      </w:r>
    </w:p>
    <w:p w14:paraId="55B0F27B" w14:textId="09CE3A31" w:rsidR="004D01CE" w:rsidRDefault="00357508" w:rsidP="003B6782">
      <w:pPr>
        <w:pStyle w:val="SingleTxtG"/>
        <w:ind w:firstLine="567"/>
        <w:rPr>
          <w:lang w:val="en-US"/>
        </w:rPr>
      </w:pPr>
      <w:r>
        <w:rPr>
          <w:lang w:val="en-US"/>
        </w:rPr>
        <w:t>(</w:t>
      </w:r>
      <w:r w:rsidR="00EB4E9F">
        <w:rPr>
          <w:lang w:val="en-US"/>
        </w:rPr>
        <w:t>b</w:t>
      </w:r>
      <w:r>
        <w:rPr>
          <w:lang w:val="en-US"/>
        </w:rPr>
        <w:t>)</w:t>
      </w:r>
      <w:r>
        <w:rPr>
          <w:lang w:val="en-US"/>
        </w:rPr>
        <w:tab/>
      </w:r>
      <w:r w:rsidR="00903445">
        <w:rPr>
          <w:lang w:val="en-US"/>
        </w:rPr>
        <w:t>Noted that t</w:t>
      </w:r>
      <w:r w:rsidRPr="00357508">
        <w:rPr>
          <w:lang w:val="en-US"/>
        </w:rPr>
        <w:t xml:space="preserve">he majority of the </w:t>
      </w:r>
      <w:r w:rsidR="00CC235E">
        <w:rPr>
          <w:lang w:val="en-US"/>
        </w:rPr>
        <w:t xml:space="preserve">Parties’ </w:t>
      </w:r>
      <w:r>
        <w:rPr>
          <w:lang w:val="en-US"/>
        </w:rPr>
        <w:t>contributi</w:t>
      </w:r>
      <w:r w:rsidR="00CC235E">
        <w:rPr>
          <w:lang w:val="en-US"/>
        </w:rPr>
        <w:t>ons were</w:t>
      </w:r>
      <w:r w:rsidRPr="00357508">
        <w:rPr>
          <w:lang w:val="en-US"/>
        </w:rPr>
        <w:t xml:space="preserve"> relatively small</w:t>
      </w:r>
      <w:r w:rsidR="00A21121">
        <w:rPr>
          <w:lang w:val="en-US"/>
        </w:rPr>
        <w:t xml:space="preserve">, with </w:t>
      </w:r>
      <w:r w:rsidRPr="00357508">
        <w:rPr>
          <w:lang w:val="en-US"/>
        </w:rPr>
        <w:t>amounts ranging from</w:t>
      </w:r>
      <w:r w:rsidR="00D00EC0">
        <w:rPr>
          <w:lang w:val="en-US"/>
        </w:rPr>
        <w:t xml:space="preserve"> $</w:t>
      </w:r>
      <w:r w:rsidRPr="00357508">
        <w:rPr>
          <w:lang w:val="en-US"/>
        </w:rPr>
        <w:t>500 to</w:t>
      </w:r>
      <w:r w:rsidR="00D00EC0">
        <w:rPr>
          <w:lang w:val="en-US"/>
        </w:rPr>
        <w:t xml:space="preserve"> $</w:t>
      </w:r>
      <w:r w:rsidRPr="00357508">
        <w:rPr>
          <w:lang w:val="en-US"/>
        </w:rPr>
        <w:t>10,000</w:t>
      </w:r>
      <w:r w:rsidR="00F55B3B">
        <w:rPr>
          <w:lang w:val="en-US"/>
        </w:rPr>
        <w:t xml:space="preserve"> per </w:t>
      </w:r>
      <w:r w:rsidRPr="00357508">
        <w:rPr>
          <w:lang w:val="en-US"/>
        </w:rPr>
        <w:t>year</w:t>
      </w:r>
      <w:r w:rsidR="00EB4E9F">
        <w:rPr>
          <w:lang w:val="en-US"/>
        </w:rPr>
        <w:t>;</w:t>
      </w:r>
    </w:p>
    <w:p w14:paraId="5CB53770" w14:textId="2F610C41" w:rsidR="003102C5" w:rsidRDefault="003102C5" w:rsidP="003B6782">
      <w:pPr>
        <w:pStyle w:val="SingleTxtG"/>
        <w:ind w:firstLine="567"/>
        <w:rPr>
          <w:lang w:val="en-US"/>
        </w:rPr>
      </w:pPr>
      <w:r>
        <w:rPr>
          <w:lang w:val="en-US"/>
        </w:rPr>
        <w:t>(c)</w:t>
      </w:r>
      <w:r>
        <w:rPr>
          <w:lang w:val="en-US"/>
        </w:rPr>
        <w:tab/>
      </w:r>
      <w:r w:rsidR="004948C9">
        <w:rPr>
          <w:lang w:val="en-US"/>
        </w:rPr>
        <w:t>Observed that t</w:t>
      </w:r>
      <w:r>
        <w:rPr>
          <w:lang w:val="en-US"/>
        </w:rPr>
        <w:t>he share of earmarked funding had increased</w:t>
      </w:r>
      <w:r w:rsidR="00746976">
        <w:rPr>
          <w:lang w:val="en-US"/>
        </w:rPr>
        <w:t xml:space="preserve">, </w:t>
      </w:r>
      <w:r w:rsidR="00761C04">
        <w:rPr>
          <w:lang w:val="en-US"/>
        </w:rPr>
        <w:t xml:space="preserve">which </w:t>
      </w:r>
      <w:r w:rsidR="00203E71">
        <w:rPr>
          <w:lang w:val="en-US"/>
        </w:rPr>
        <w:t>limit</w:t>
      </w:r>
      <w:r w:rsidR="00761C04">
        <w:rPr>
          <w:lang w:val="en-US"/>
        </w:rPr>
        <w:t xml:space="preserve">ed the funding’s </w:t>
      </w:r>
      <w:r w:rsidR="00203E71">
        <w:rPr>
          <w:lang w:val="en-US"/>
        </w:rPr>
        <w:t xml:space="preserve">allocation for the </w:t>
      </w:r>
      <w:r w:rsidR="00746976">
        <w:rPr>
          <w:lang w:val="en-US"/>
        </w:rPr>
        <w:t>priority</w:t>
      </w:r>
      <w:r w:rsidR="005203DA">
        <w:rPr>
          <w:lang w:val="en-US"/>
        </w:rPr>
        <w:t xml:space="preserve"> </w:t>
      </w:r>
      <w:r w:rsidR="00203E71">
        <w:rPr>
          <w:lang w:val="en-US"/>
        </w:rPr>
        <w:t>costs,</w:t>
      </w:r>
      <w:r w:rsidR="00A21121">
        <w:rPr>
          <w:lang w:val="en-US"/>
        </w:rPr>
        <w:t xml:space="preserve"> that is,</w:t>
      </w:r>
      <w:r w:rsidR="009C391C">
        <w:rPr>
          <w:lang w:val="en-US"/>
        </w:rPr>
        <w:t xml:space="preserve"> the extrabudgetary secretariat staff</w:t>
      </w:r>
      <w:r w:rsidR="00A21121">
        <w:rPr>
          <w:lang w:val="en-US"/>
        </w:rPr>
        <w:t>ing</w:t>
      </w:r>
      <w:r w:rsidR="005031BB">
        <w:rPr>
          <w:lang w:val="en-US"/>
        </w:rPr>
        <w:t>;</w:t>
      </w:r>
      <w:r>
        <w:rPr>
          <w:lang w:val="en-US"/>
        </w:rPr>
        <w:t xml:space="preserve"> </w:t>
      </w:r>
    </w:p>
    <w:p w14:paraId="34393943" w14:textId="2A6825D6" w:rsidR="006B5E91" w:rsidRDefault="006B5E91" w:rsidP="006B5E91">
      <w:pPr>
        <w:pStyle w:val="SingleTxtG"/>
        <w:ind w:firstLine="567"/>
      </w:pPr>
      <w:r>
        <w:rPr>
          <w:lang w:val="en-US"/>
        </w:rPr>
        <w:t>(</w:t>
      </w:r>
      <w:r w:rsidR="000F5F42">
        <w:rPr>
          <w:lang w:val="en-US"/>
        </w:rPr>
        <w:t>d</w:t>
      </w:r>
      <w:r>
        <w:rPr>
          <w:lang w:val="en-US"/>
        </w:rPr>
        <w:t>)</w:t>
      </w:r>
      <w:r>
        <w:rPr>
          <w:lang w:val="en-US"/>
        </w:rPr>
        <w:tab/>
      </w:r>
      <w:r w:rsidR="00BB3CD0" w:rsidRPr="008252FD">
        <w:t xml:space="preserve">As in the past, witnessed a substantial shortfall between the agreed budgetary requirements and the Parties’ pledges and contributions this far, as well as an important unpredictability of </w:t>
      </w:r>
      <w:r w:rsidR="00A44203">
        <w:t xml:space="preserve">the </w:t>
      </w:r>
      <w:r w:rsidR="00BB3CD0" w:rsidRPr="008252FD">
        <w:t>funding</w:t>
      </w:r>
      <w:r w:rsidR="00360320">
        <w:t>;</w:t>
      </w:r>
      <w:r w:rsidR="00BB3CD0" w:rsidRPr="008252FD">
        <w:t xml:space="preserve"> </w:t>
      </w:r>
    </w:p>
    <w:p w14:paraId="05C6EEE5" w14:textId="41B5E0EF" w:rsidR="00321DA6" w:rsidRDefault="00194C3D" w:rsidP="00620D53">
      <w:pPr>
        <w:pStyle w:val="SingleTxtG"/>
      </w:pPr>
      <w:r>
        <w:t>8</w:t>
      </w:r>
      <w:r w:rsidR="00620D53">
        <w:t>.</w:t>
      </w:r>
      <w:r w:rsidR="00620D53">
        <w:tab/>
      </w:r>
      <w:r w:rsidR="00BB3CD0" w:rsidRPr="008252FD">
        <w:t xml:space="preserve">From the side of the </w:t>
      </w:r>
      <w:r w:rsidR="00BB3CD0" w:rsidRPr="00F9681C">
        <w:t>expenditures, the Bureau noted savings</w:t>
      </w:r>
      <w:r w:rsidR="003E727A">
        <w:t xml:space="preserve"> thus far</w:t>
      </w:r>
      <w:r w:rsidR="00BB3CD0" w:rsidRPr="00F9681C">
        <w:t xml:space="preserve">, </w:t>
      </w:r>
      <w:r w:rsidR="004C5BD3">
        <w:t xml:space="preserve">in particular in </w:t>
      </w:r>
      <w:r w:rsidR="00BB3CD0" w:rsidRPr="00F9681C">
        <w:t>travel support to meetings that were held with remote participation</w:t>
      </w:r>
      <w:r w:rsidR="00A86A6A">
        <w:t>, and the travel of secretariat</w:t>
      </w:r>
      <w:r w:rsidR="00BB3CD0" w:rsidRPr="00F9681C">
        <w:t xml:space="preserve">. </w:t>
      </w:r>
    </w:p>
    <w:p w14:paraId="58B1792F" w14:textId="6D3A8A99" w:rsidR="00CB3EDF" w:rsidRDefault="00194C3D" w:rsidP="00321DA6">
      <w:pPr>
        <w:pStyle w:val="SingleTxtG"/>
      </w:pPr>
      <w:r>
        <w:t>9</w:t>
      </w:r>
      <w:r w:rsidR="00321DA6">
        <w:t>.</w:t>
      </w:r>
      <w:r w:rsidR="00321DA6">
        <w:tab/>
      </w:r>
      <w:bookmarkStart w:id="3" w:name="_Hlk118703953"/>
      <w:r w:rsidR="00DF049A">
        <w:t>As a result of its “mid-term review” of the financial situation, t</w:t>
      </w:r>
      <w:r w:rsidR="00BB3CD0" w:rsidRPr="00F9681C">
        <w:t xml:space="preserve">he Bureau concluded that, </w:t>
      </w:r>
      <w:r w:rsidR="00050635">
        <w:t xml:space="preserve">in June 2022, </w:t>
      </w:r>
      <w:bookmarkStart w:id="4" w:name="_Hlk116662409"/>
      <w:r w:rsidR="00BF3E4F">
        <w:t>half-way through</w:t>
      </w:r>
      <w:r w:rsidR="00BB3CD0" w:rsidRPr="00F9681C">
        <w:t xml:space="preserve"> the intersessional period</w:t>
      </w:r>
      <w:bookmarkEnd w:id="4"/>
      <w:r w:rsidR="00BB3CD0" w:rsidRPr="00F9681C">
        <w:t xml:space="preserve">, </w:t>
      </w:r>
      <w:r w:rsidR="00874BEB">
        <w:t xml:space="preserve">and </w:t>
      </w:r>
      <w:r w:rsidR="00BB3CD0" w:rsidRPr="00F9681C">
        <w:t xml:space="preserve">despite the </w:t>
      </w:r>
      <w:r w:rsidR="000E0755">
        <w:t xml:space="preserve">higher </w:t>
      </w:r>
      <w:r w:rsidR="00BB3CD0" w:rsidRPr="00F9681C">
        <w:t xml:space="preserve">number of Parties that had pledged funding, the number of Parties </w:t>
      </w:r>
      <w:r w:rsidR="008C6FA6">
        <w:t xml:space="preserve">(21) </w:t>
      </w:r>
      <w:r w:rsidR="00BB3CD0" w:rsidRPr="00F9681C">
        <w:t xml:space="preserve">that </w:t>
      </w:r>
      <w:r w:rsidR="00DF049A">
        <w:t xml:space="preserve">had </w:t>
      </w:r>
      <w:r w:rsidR="00BB3CD0" w:rsidRPr="00F9681C">
        <w:t xml:space="preserve">actually contributed to the trust fund </w:t>
      </w:r>
      <w:r w:rsidR="00DF049A">
        <w:t xml:space="preserve">by then </w:t>
      </w:r>
      <w:r w:rsidR="00BB3CD0" w:rsidRPr="00F9681C">
        <w:t>had not increased</w:t>
      </w:r>
      <w:bookmarkEnd w:id="2"/>
      <w:r w:rsidR="00FC6DC5">
        <w:t xml:space="preserve"> </w:t>
      </w:r>
      <w:bookmarkEnd w:id="3"/>
      <w:r w:rsidR="00DF049A">
        <w:t xml:space="preserve">from the previous period. Moreover, </w:t>
      </w:r>
      <w:r w:rsidR="00D84770">
        <w:t xml:space="preserve">the amounts of </w:t>
      </w:r>
      <w:r w:rsidR="007C3500">
        <w:t xml:space="preserve">most of </w:t>
      </w:r>
      <w:r w:rsidR="00D84770">
        <w:t>the contributions remained small</w:t>
      </w:r>
      <w:r w:rsidR="00215780">
        <w:t>.</w:t>
      </w:r>
      <w:r w:rsidR="00DF049A">
        <w:t xml:space="preserve"> Consequently</w:t>
      </w:r>
      <w:r w:rsidR="00C82C9B">
        <w:t>,</w:t>
      </w:r>
      <w:r w:rsidR="00E914C4">
        <w:t xml:space="preserve"> </w:t>
      </w:r>
      <w:r w:rsidR="003B662C">
        <w:t xml:space="preserve">judging from </w:t>
      </w:r>
      <w:r w:rsidR="00BF3E4F">
        <w:t xml:space="preserve">the funding provided </w:t>
      </w:r>
      <w:r w:rsidR="00C82A31">
        <w:t>by</w:t>
      </w:r>
      <w:r w:rsidR="0034399E">
        <w:t xml:space="preserve"> </w:t>
      </w:r>
      <w:r w:rsidR="00C82A31">
        <w:t xml:space="preserve">Parties </w:t>
      </w:r>
      <w:r w:rsidR="003B662C">
        <w:t xml:space="preserve">thus far </w:t>
      </w:r>
      <w:r w:rsidR="003470CA">
        <w:t>–</w:t>
      </w:r>
      <w:r w:rsidR="003B662C">
        <w:t xml:space="preserve"> </w:t>
      </w:r>
      <w:r w:rsidR="003470CA">
        <w:t xml:space="preserve">the funding was likely not be </w:t>
      </w:r>
      <w:r w:rsidR="00BF3E4F">
        <w:t xml:space="preserve">sufficient to cover </w:t>
      </w:r>
      <w:r w:rsidR="003E727A">
        <w:t xml:space="preserve">all </w:t>
      </w:r>
      <w:r w:rsidR="00BF3E4F">
        <w:t>the budgetary requirements</w:t>
      </w:r>
      <w:r w:rsidR="005F4E92">
        <w:t xml:space="preserve"> agreed </w:t>
      </w:r>
      <w:r w:rsidR="00C82A31">
        <w:t xml:space="preserve">by </w:t>
      </w:r>
      <w:r w:rsidR="0034399E">
        <w:t xml:space="preserve">the Meetings of the </w:t>
      </w:r>
      <w:r w:rsidR="00C82A31">
        <w:t xml:space="preserve">Parties </w:t>
      </w:r>
      <w:r w:rsidR="005F4E92">
        <w:t xml:space="preserve">in </w:t>
      </w:r>
      <w:r w:rsidR="00C82A31">
        <w:t>December 2020</w:t>
      </w:r>
      <w:r w:rsidR="00050635">
        <w:t>.</w:t>
      </w:r>
      <w:r w:rsidR="006D3699">
        <w:rPr>
          <w:rStyle w:val="FootnoteReference"/>
        </w:rPr>
        <w:footnoteReference w:id="5"/>
      </w:r>
    </w:p>
    <w:p w14:paraId="20260B36" w14:textId="30A0AA8A" w:rsidR="002C3F1B" w:rsidRPr="009E69B6" w:rsidRDefault="00D64758" w:rsidP="00D64758">
      <w:pPr>
        <w:pStyle w:val="H1G"/>
        <w:rPr>
          <w:b w:val="0"/>
          <w:bCs/>
          <w:szCs w:val="24"/>
        </w:rPr>
      </w:pPr>
      <w:r>
        <w:tab/>
      </w:r>
      <w:r w:rsidR="009E69B6">
        <w:t>B.</w:t>
      </w:r>
      <w:r w:rsidR="009E69B6">
        <w:tab/>
      </w:r>
      <w:r w:rsidR="002C3F1B" w:rsidRPr="006334C3">
        <w:rPr>
          <w:szCs w:val="24"/>
        </w:rPr>
        <w:t>The secretariat</w:t>
      </w:r>
      <w:r w:rsidR="009E69B6" w:rsidRPr="006334C3">
        <w:rPr>
          <w:szCs w:val="24"/>
        </w:rPr>
        <w:t xml:space="preserve">’s staffing </w:t>
      </w:r>
      <w:r w:rsidR="007609CC" w:rsidRPr="006334C3">
        <w:rPr>
          <w:szCs w:val="24"/>
        </w:rPr>
        <w:t>gaps</w:t>
      </w:r>
    </w:p>
    <w:p w14:paraId="239ED1B6" w14:textId="35EBC85D" w:rsidR="00E0793B" w:rsidRDefault="00194C3D" w:rsidP="00003C6B">
      <w:pPr>
        <w:pStyle w:val="SingleTxtG"/>
      </w:pPr>
      <w:r>
        <w:t>10</w:t>
      </w:r>
      <w:r w:rsidR="00993C2A" w:rsidRPr="00993C2A">
        <w:t>.</w:t>
      </w:r>
      <w:r w:rsidR="00993C2A" w:rsidRPr="00993C2A">
        <w:tab/>
      </w:r>
      <w:r w:rsidR="009E69B6">
        <w:t>T</w:t>
      </w:r>
      <w:r w:rsidR="00993C2A" w:rsidRPr="00993C2A">
        <w:t xml:space="preserve">he Bureau underscored that the secretariat remained acutely understaffed </w:t>
      </w:r>
      <w:r w:rsidR="00AC41DE">
        <w:t xml:space="preserve">for </w:t>
      </w:r>
      <w:r w:rsidR="00993C2A" w:rsidRPr="00993C2A">
        <w:t>servic</w:t>
      </w:r>
      <w:r w:rsidR="00AC41DE">
        <w:t>ing</w:t>
      </w:r>
      <w:r w:rsidR="00993C2A" w:rsidRPr="00993C2A">
        <w:t xml:space="preserve"> two legal instruments</w:t>
      </w:r>
      <w:r w:rsidR="00AF6E26">
        <w:t xml:space="preserve">. </w:t>
      </w:r>
      <w:r w:rsidR="00003C6B">
        <w:t xml:space="preserve">For executing the </w:t>
      </w:r>
      <w:r w:rsidR="00003C6B" w:rsidRPr="00622545">
        <w:t xml:space="preserve">core </w:t>
      </w:r>
      <w:r w:rsidR="00123BD8">
        <w:t xml:space="preserve">secretariat </w:t>
      </w:r>
      <w:r w:rsidR="00003C6B" w:rsidRPr="00622545">
        <w:t>functions</w:t>
      </w:r>
      <w:r w:rsidR="00BF0F76">
        <w:t xml:space="preserve"> for </w:t>
      </w:r>
      <w:r w:rsidR="00003C6B">
        <w:t>the two legal instruments, the secretariat h</w:t>
      </w:r>
      <w:r w:rsidR="00003C6B" w:rsidRPr="00622545">
        <w:t>ad</w:t>
      </w:r>
      <w:r w:rsidR="00003C6B">
        <w:t xml:space="preserve"> only</w:t>
      </w:r>
      <w:r w:rsidR="00003C6B" w:rsidRPr="00622545">
        <w:t xml:space="preserve"> two professional staff members</w:t>
      </w:r>
      <w:r w:rsidR="00003C6B">
        <w:t>: t</w:t>
      </w:r>
      <w:r w:rsidR="00003C6B" w:rsidRPr="00622545">
        <w:t xml:space="preserve">he Secretary to </w:t>
      </w:r>
      <w:r w:rsidR="00BF0F76">
        <w:t>both</w:t>
      </w:r>
      <w:r w:rsidR="00003C6B" w:rsidRPr="00622545">
        <w:t xml:space="preserve"> treaties </w:t>
      </w:r>
      <w:r w:rsidR="00003C6B">
        <w:t>(</w:t>
      </w:r>
      <w:r w:rsidR="00003C6B" w:rsidRPr="00622545">
        <w:t>funded</w:t>
      </w:r>
      <w:r w:rsidR="003E727A">
        <w:t xml:space="preserve"> through the </w:t>
      </w:r>
      <w:r w:rsidR="00003C6B" w:rsidRPr="00622545">
        <w:t>regular budget of the United Nations</w:t>
      </w:r>
      <w:r w:rsidR="00003C6B">
        <w:t>)</w:t>
      </w:r>
      <w:r w:rsidR="00003C6B" w:rsidRPr="00622545">
        <w:t xml:space="preserve"> and one staff member funded </w:t>
      </w:r>
      <w:r w:rsidR="00003C6B">
        <w:t>by</w:t>
      </w:r>
      <w:r w:rsidR="00003C6B" w:rsidRPr="00622545">
        <w:t xml:space="preserve"> Partie</w:t>
      </w:r>
      <w:r w:rsidR="00003C6B">
        <w:t>s</w:t>
      </w:r>
      <w:r w:rsidR="003E727A">
        <w:t>’ voluntary contributions to the trust fund</w:t>
      </w:r>
      <w:r w:rsidR="004E679D">
        <w:t xml:space="preserve"> since 200</w:t>
      </w:r>
      <w:r w:rsidR="004331AB">
        <w:t>1</w:t>
      </w:r>
      <w:r w:rsidR="00003C6B">
        <w:t xml:space="preserve">. </w:t>
      </w:r>
      <w:r w:rsidR="001A3F5A">
        <w:t xml:space="preserve">Their work was supported </w:t>
      </w:r>
      <w:r w:rsidR="00CD0CB7">
        <w:t xml:space="preserve">on a part-time (60 per-cent) basis </w:t>
      </w:r>
      <w:r w:rsidR="001A3F5A">
        <w:t>by a</w:t>
      </w:r>
      <w:r w:rsidR="004331AB">
        <w:t xml:space="preserve"> regular-budget funded</w:t>
      </w:r>
      <w:r w:rsidR="001A3F5A">
        <w:t xml:space="preserve"> administrative staff-member.</w:t>
      </w:r>
    </w:p>
    <w:p w14:paraId="14DF6B9A" w14:textId="4BF0878E" w:rsidR="00A73577" w:rsidRDefault="00C46439" w:rsidP="00003C6B">
      <w:pPr>
        <w:pStyle w:val="SingleTxtG"/>
      </w:pPr>
      <w:r>
        <w:t>11</w:t>
      </w:r>
      <w:r w:rsidR="00E0793B">
        <w:t>.</w:t>
      </w:r>
      <w:r w:rsidR="00E0793B">
        <w:tab/>
        <w:t xml:space="preserve">The </w:t>
      </w:r>
      <w:r w:rsidR="00CD0CB7">
        <w:t xml:space="preserve">Bureau observed that the </w:t>
      </w:r>
      <w:r w:rsidR="00E0793B">
        <w:t xml:space="preserve">secretariat’s </w:t>
      </w:r>
      <w:r w:rsidR="00773FF2">
        <w:t>staffing ha</w:t>
      </w:r>
      <w:r w:rsidR="00503703">
        <w:t>d</w:t>
      </w:r>
      <w:r w:rsidR="00773FF2">
        <w:t xml:space="preserve"> not </w:t>
      </w:r>
      <w:r w:rsidR="00693F6C">
        <w:t xml:space="preserve">been </w:t>
      </w:r>
      <w:r w:rsidR="00773FF2">
        <w:t xml:space="preserve">increased in over </w:t>
      </w:r>
      <w:r w:rsidR="00993C2A" w:rsidRPr="00993C2A">
        <w:t xml:space="preserve">20 years, despite </w:t>
      </w:r>
      <w:r w:rsidR="00E1270E" w:rsidRPr="00E1270E">
        <w:t>the considerable</w:t>
      </w:r>
      <w:r w:rsidR="00770A62">
        <w:t xml:space="preserve"> </w:t>
      </w:r>
      <w:r w:rsidR="007405D7">
        <w:t xml:space="preserve">and </w:t>
      </w:r>
      <w:r w:rsidR="00770A62">
        <w:t>steady</w:t>
      </w:r>
      <w:r w:rsidR="00E1270E" w:rsidRPr="00E1270E">
        <w:t xml:space="preserve"> increase in demands on the secretariat</w:t>
      </w:r>
      <w:r w:rsidR="00E1270E">
        <w:t xml:space="preserve"> </w:t>
      </w:r>
      <w:r w:rsidR="00E060E4">
        <w:t xml:space="preserve">after </w:t>
      </w:r>
      <w:r w:rsidR="00993C2A" w:rsidRPr="00993C2A">
        <w:t xml:space="preserve">the adoption and the entry into force of a Protocol to the Convention and the multiplication of the Parties, </w:t>
      </w:r>
      <w:r w:rsidR="00FB7E0E">
        <w:t xml:space="preserve">treaty bodies, </w:t>
      </w:r>
      <w:r w:rsidR="009E0991">
        <w:t xml:space="preserve">meetings and </w:t>
      </w:r>
      <w:r w:rsidR="00993C2A" w:rsidRPr="00993C2A">
        <w:t>activities</w:t>
      </w:r>
      <w:r w:rsidR="002E093E">
        <w:t xml:space="preserve"> </w:t>
      </w:r>
      <w:r w:rsidR="009D3D5E">
        <w:t xml:space="preserve">over </w:t>
      </w:r>
      <w:r w:rsidR="005E1B4E">
        <w:t>the</w:t>
      </w:r>
      <w:r w:rsidR="00912010">
        <w:t>se</w:t>
      </w:r>
      <w:r w:rsidR="005E1B4E">
        <w:t xml:space="preserve"> </w:t>
      </w:r>
      <w:r w:rsidR="00993C2A" w:rsidRPr="00993C2A">
        <w:t>two decades.</w:t>
      </w:r>
      <w:r w:rsidR="008F00D3">
        <w:t xml:space="preserve"> </w:t>
      </w:r>
      <w:r w:rsidR="00C05CDB">
        <w:t xml:space="preserve">The </w:t>
      </w:r>
      <w:r w:rsidR="00C05CDB" w:rsidRPr="00C05CDB">
        <w:t xml:space="preserve">number and </w:t>
      </w:r>
      <w:r w:rsidR="007D5912">
        <w:t xml:space="preserve">the </w:t>
      </w:r>
      <w:r w:rsidR="00C05CDB" w:rsidRPr="00C05CDB">
        <w:t xml:space="preserve">complexity of </w:t>
      </w:r>
      <w:r w:rsidR="007D5912">
        <w:t xml:space="preserve">the </w:t>
      </w:r>
      <w:r w:rsidR="00C05CDB" w:rsidRPr="00C05CDB">
        <w:t>compliance matters</w:t>
      </w:r>
      <w:r w:rsidR="00E91750">
        <w:t xml:space="preserve"> alone ha</w:t>
      </w:r>
      <w:r w:rsidR="00912010">
        <w:t>d</w:t>
      </w:r>
      <w:r w:rsidR="00E91750">
        <w:t xml:space="preserve"> increased exponentially</w:t>
      </w:r>
      <w:r w:rsidR="00397079">
        <w:t xml:space="preserve"> in the past </w:t>
      </w:r>
      <w:r w:rsidR="00112B8B">
        <w:t>ten</w:t>
      </w:r>
      <w:r w:rsidR="00397079">
        <w:t xml:space="preserve"> years</w:t>
      </w:r>
      <w:r w:rsidR="00E91750">
        <w:t xml:space="preserve">, </w:t>
      </w:r>
      <w:r w:rsidR="00C325F0">
        <w:t xml:space="preserve">and </w:t>
      </w:r>
      <w:r w:rsidR="00E91750">
        <w:t>resul</w:t>
      </w:r>
      <w:r w:rsidR="00E875C0">
        <w:t>t</w:t>
      </w:r>
      <w:r w:rsidR="00C325F0">
        <w:t>ed</w:t>
      </w:r>
      <w:r w:rsidR="00E91750">
        <w:t xml:space="preserve"> </w:t>
      </w:r>
      <w:r w:rsidR="004223C5">
        <w:t>on three occasions</w:t>
      </w:r>
      <w:r w:rsidR="00CD1219">
        <w:t xml:space="preserve"> (in 2014, 2017 and 2019)</w:t>
      </w:r>
      <w:r w:rsidR="004223C5">
        <w:t xml:space="preserve"> to </w:t>
      </w:r>
      <w:r w:rsidR="00F22A75">
        <w:t xml:space="preserve">complicated negotiations and </w:t>
      </w:r>
      <w:r w:rsidR="004223C5">
        <w:t>a lack of consensus</w:t>
      </w:r>
      <w:r w:rsidR="00CD1219">
        <w:t xml:space="preserve"> by the Meeting of the Parties</w:t>
      </w:r>
      <w:r w:rsidR="00BF6664">
        <w:t xml:space="preserve"> to the Convention</w:t>
      </w:r>
      <w:r w:rsidR="00CD1219">
        <w:t>.</w:t>
      </w:r>
      <w:r w:rsidR="004223C5">
        <w:t xml:space="preserve"> </w:t>
      </w:r>
      <w:r w:rsidR="00DE6557">
        <w:t>T</w:t>
      </w:r>
      <w:r w:rsidR="004325CD" w:rsidRPr="004325CD">
        <w:t xml:space="preserve">he coordination </w:t>
      </w:r>
      <w:r w:rsidR="006B69A7">
        <w:t xml:space="preserve">efforts </w:t>
      </w:r>
      <w:r w:rsidR="004325CD" w:rsidRPr="004325CD">
        <w:t xml:space="preserve">and </w:t>
      </w:r>
      <w:r w:rsidR="00FB2286">
        <w:t xml:space="preserve">partnerships </w:t>
      </w:r>
      <w:r w:rsidR="00BE766C">
        <w:t>with other relevant treaties and processes</w:t>
      </w:r>
      <w:r w:rsidR="00680878">
        <w:t>, and outreach activities</w:t>
      </w:r>
      <w:r w:rsidR="00BE766C">
        <w:t xml:space="preserve"> </w:t>
      </w:r>
      <w:r w:rsidR="00FB2286">
        <w:t>ha</w:t>
      </w:r>
      <w:r w:rsidR="008C097E">
        <w:t>d</w:t>
      </w:r>
      <w:r w:rsidR="00FB2286">
        <w:t xml:space="preserve"> </w:t>
      </w:r>
      <w:r w:rsidR="00DE6557">
        <w:t xml:space="preserve">also </w:t>
      </w:r>
      <w:r w:rsidR="00FB2286">
        <w:t xml:space="preserve">expanded, </w:t>
      </w:r>
      <w:r w:rsidR="004325CD" w:rsidRPr="004325CD">
        <w:t>together with the burden from the UN administrative procedures</w:t>
      </w:r>
      <w:r w:rsidR="00E35674">
        <w:t>.</w:t>
      </w:r>
      <w:r w:rsidR="00DE6557" w:rsidRPr="00DE6557">
        <w:t xml:space="preserve"> </w:t>
      </w:r>
      <w:r w:rsidR="00065D5C">
        <w:t xml:space="preserve">In the future, </w:t>
      </w:r>
      <w:r w:rsidR="008C1A4F">
        <w:t xml:space="preserve">the </w:t>
      </w:r>
      <w:r w:rsidR="008C1A4F" w:rsidRPr="008C1A4F">
        <w:t>workload</w:t>
      </w:r>
      <w:r w:rsidR="009739D3">
        <w:t xml:space="preserve"> </w:t>
      </w:r>
      <w:r w:rsidR="004D42BD">
        <w:t>is</w:t>
      </w:r>
      <w:r w:rsidR="009739D3">
        <w:t xml:space="preserve"> </w:t>
      </w:r>
      <w:r w:rsidR="008C1A4F" w:rsidRPr="008C1A4F">
        <w:t>expected to further increase, with the</w:t>
      </w:r>
      <w:r w:rsidR="00A337ED">
        <w:t xml:space="preserve"> Convention’s expected opening to </w:t>
      </w:r>
      <w:r w:rsidR="007A28F9">
        <w:t xml:space="preserve">all the States Members of the United Nations and </w:t>
      </w:r>
      <w:r w:rsidR="002E7426">
        <w:t xml:space="preserve">both </w:t>
      </w:r>
      <w:r w:rsidR="008C1A4F" w:rsidRPr="008C1A4F">
        <w:t>treaties</w:t>
      </w:r>
      <w:r w:rsidR="009756D6">
        <w:t>’</w:t>
      </w:r>
      <w:r w:rsidR="008C1A4F" w:rsidRPr="008C1A4F">
        <w:t xml:space="preserve"> application beyond the UNECE region</w:t>
      </w:r>
      <w:r w:rsidR="009756D6">
        <w:t xml:space="preserve">. </w:t>
      </w:r>
    </w:p>
    <w:p w14:paraId="5AEBBD64" w14:textId="3C593015" w:rsidR="003E727A" w:rsidRDefault="00397079" w:rsidP="00397079">
      <w:pPr>
        <w:pStyle w:val="SingleTxtG"/>
      </w:pPr>
      <w:r>
        <w:t>12.</w:t>
      </w:r>
      <w:r>
        <w:tab/>
        <w:t>In addition, over the past decade, t</w:t>
      </w:r>
      <w:r w:rsidR="003E727A">
        <w:t>o meet the important</w:t>
      </w:r>
      <w:r w:rsidR="003E727A" w:rsidRPr="003E727A">
        <w:t xml:space="preserve"> demands for technical assistance and capacity building in Eastern Europe, the Caucasus and Central Asia</w:t>
      </w:r>
      <w:r w:rsidR="002043A2">
        <w:t>,</w:t>
      </w:r>
      <w:r w:rsidR="003E727A" w:rsidRPr="003E727A">
        <w:t xml:space="preserve"> </w:t>
      </w:r>
      <w:r w:rsidR="003E727A">
        <w:t xml:space="preserve">the secretariat </w:t>
      </w:r>
      <w:r w:rsidR="00ED4845">
        <w:t xml:space="preserve">has </w:t>
      </w:r>
      <w:r w:rsidR="003E727A">
        <w:t xml:space="preserve">raised </w:t>
      </w:r>
      <w:r w:rsidR="002043A2">
        <w:t xml:space="preserve">extensive </w:t>
      </w:r>
      <w:r w:rsidR="003E727A">
        <w:t>project funding, in particular from the European Union (</w:t>
      </w:r>
      <w:proofErr w:type="spellStart"/>
      <w:r w:rsidR="003E727A">
        <w:t>EaP</w:t>
      </w:r>
      <w:proofErr w:type="spellEnd"/>
      <w:r w:rsidR="00ED4845">
        <w:t xml:space="preserve"> </w:t>
      </w:r>
      <w:r w:rsidR="003E727A">
        <w:t>GREEN in 2013–2018 and EU4Environment in 2019–2023; “Supporting Kazakhstan’s Transition to a Green Economy Model”</w:t>
      </w:r>
      <w:r w:rsidR="007F1A63">
        <w:t xml:space="preserve"> in 2016–2018), to which </w:t>
      </w:r>
      <w:r>
        <w:t xml:space="preserve">have </w:t>
      </w:r>
      <w:r w:rsidR="007F1A63">
        <w:t>add</w:t>
      </w:r>
      <w:r>
        <w:t>ed</w:t>
      </w:r>
      <w:r w:rsidR="007F1A63">
        <w:t xml:space="preserve"> </w:t>
      </w:r>
      <w:r>
        <w:t xml:space="preserve">the </w:t>
      </w:r>
      <w:r w:rsidR="007F1A63">
        <w:t xml:space="preserve">generous earmarked contributions from </w:t>
      </w:r>
      <w:r w:rsidR="003E727A">
        <w:t xml:space="preserve">Germany and </w:t>
      </w:r>
      <w:r w:rsidR="007F1A63">
        <w:t>Switzerland</w:t>
      </w:r>
      <w:r>
        <w:t xml:space="preserve"> for the secretariat</w:t>
      </w:r>
      <w:r w:rsidR="00ED4845">
        <w:t xml:space="preserve"> to</w:t>
      </w:r>
      <w:r>
        <w:t xml:space="preserve"> assist</w:t>
      </w:r>
      <w:r w:rsidR="00ED4845">
        <w:t xml:space="preserve"> </w:t>
      </w:r>
      <w:r>
        <w:t xml:space="preserve">Central </w:t>
      </w:r>
      <w:r>
        <w:lastRenderedPageBreak/>
        <w:t>Asia</w:t>
      </w:r>
      <w:r w:rsidR="007F1A63">
        <w:t xml:space="preserve">. </w:t>
      </w:r>
      <w:r w:rsidR="0071619D">
        <w:t>With t</w:t>
      </w:r>
      <w:r w:rsidR="007F1A63">
        <w:t>h</w:t>
      </w:r>
      <w:r>
        <w:t>is funding</w:t>
      </w:r>
      <w:r w:rsidR="007F1A63">
        <w:t xml:space="preserve"> </w:t>
      </w:r>
      <w:r w:rsidR="0071619D">
        <w:t xml:space="preserve">the secretariat could </w:t>
      </w:r>
      <w:r>
        <w:t>greatly</w:t>
      </w:r>
      <w:r w:rsidR="007F1A63">
        <w:t xml:space="preserve"> </w:t>
      </w:r>
      <w:r w:rsidR="0071619D">
        <w:t xml:space="preserve">facilitate </w:t>
      </w:r>
      <w:r w:rsidR="007F1A63">
        <w:t xml:space="preserve">legal reforms and </w:t>
      </w:r>
      <w:r w:rsidR="003E727A" w:rsidRPr="003E727A">
        <w:t>enhanc</w:t>
      </w:r>
      <w:r w:rsidR="00C54D32">
        <w:t>e</w:t>
      </w:r>
      <w:r w:rsidR="003E727A" w:rsidRPr="003E727A">
        <w:t xml:space="preserve"> the implementation of the </w:t>
      </w:r>
      <w:r w:rsidR="007F1A63">
        <w:t>C</w:t>
      </w:r>
      <w:r w:rsidR="003E727A" w:rsidRPr="003E727A">
        <w:t xml:space="preserve">onvention </w:t>
      </w:r>
      <w:r w:rsidR="007F1A63">
        <w:t xml:space="preserve">and the Protocol </w:t>
      </w:r>
      <w:r w:rsidR="003E727A" w:rsidRPr="003E727A">
        <w:t xml:space="preserve">in </w:t>
      </w:r>
      <w:r w:rsidR="007F1A63">
        <w:t xml:space="preserve">the </w:t>
      </w:r>
      <w:r w:rsidR="003E727A" w:rsidRPr="003E727A">
        <w:t>countries</w:t>
      </w:r>
      <w:r w:rsidR="007F1A63">
        <w:t>.</w:t>
      </w:r>
      <w:r w:rsidR="003E727A" w:rsidRPr="003E727A">
        <w:t xml:space="preserve"> However, </w:t>
      </w:r>
      <w:r w:rsidR="00ED4845">
        <w:t>the funding for capacity building</w:t>
      </w:r>
      <w:r>
        <w:t xml:space="preserve"> has </w:t>
      </w:r>
      <w:r w:rsidR="003E727A" w:rsidRPr="003E727A">
        <w:t xml:space="preserve">not </w:t>
      </w:r>
      <w:r w:rsidR="00223B5E">
        <w:t xml:space="preserve">increased the resources for </w:t>
      </w:r>
      <w:r w:rsidR="003E727A" w:rsidRPr="003E727A">
        <w:t>the core functioning of the secretariat</w:t>
      </w:r>
      <w:r>
        <w:t>. On the contrary, the fund-raising, the preparation of project proposals, the recruitment</w:t>
      </w:r>
      <w:r w:rsidR="00ED4845">
        <w:t xml:space="preserve">, training and </w:t>
      </w:r>
      <w:r w:rsidR="00C54D32">
        <w:t xml:space="preserve">supervising </w:t>
      </w:r>
      <w:r>
        <w:t xml:space="preserve">of project staff </w:t>
      </w:r>
      <w:r w:rsidR="00ED4845">
        <w:t>and/</w:t>
      </w:r>
      <w:r>
        <w:t xml:space="preserve">or consultants, </w:t>
      </w:r>
      <w:r w:rsidR="00ED4845">
        <w:t xml:space="preserve">as well as </w:t>
      </w:r>
      <w:r>
        <w:t>the coordination, reporting</w:t>
      </w:r>
      <w:r w:rsidR="0025662D">
        <w:t xml:space="preserve">, </w:t>
      </w:r>
      <w:r w:rsidR="00ED4845">
        <w:t>audit and</w:t>
      </w:r>
      <w:r>
        <w:t xml:space="preserve"> evaluation requirements </w:t>
      </w:r>
      <w:r w:rsidR="00ED4845">
        <w:t xml:space="preserve">by the donors and the UN administration </w:t>
      </w:r>
      <w:r>
        <w:t xml:space="preserve">have </w:t>
      </w:r>
      <w:r w:rsidR="00ED4845">
        <w:t xml:space="preserve">considerably </w:t>
      </w:r>
      <w:r>
        <w:t xml:space="preserve">increased </w:t>
      </w:r>
      <w:r w:rsidR="00ED4845">
        <w:t>the workload of the two-person secretariat.</w:t>
      </w:r>
    </w:p>
    <w:p w14:paraId="2D11CFBA" w14:textId="389E8602" w:rsidR="00EF1711" w:rsidRDefault="00DA5E9C" w:rsidP="0064582C">
      <w:pPr>
        <w:pStyle w:val="SingleTxtG"/>
      </w:pPr>
      <w:r>
        <w:t>1</w:t>
      </w:r>
      <w:r w:rsidR="00ED4845">
        <w:t>3</w:t>
      </w:r>
      <w:r>
        <w:t>.</w:t>
      </w:r>
      <w:r>
        <w:tab/>
      </w:r>
      <w:r w:rsidR="00246EE0">
        <w:t>In 2021 and 2022, t</w:t>
      </w:r>
      <w:r w:rsidR="00993C2A" w:rsidRPr="00993C2A">
        <w:t xml:space="preserve">he </w:t>
      </w:r>
      <w:r w:rsidR="00925239">
        <w:t xml:space="preserve">extended </w:t>
      </w:r>
      <w:r w:rsidR="0023289D" w:rsidRPr="00993C2A">
        <w:t>sick leaves</w:t>
      </w:r>
      <w:r w:rsidR="00993C2A" w:rsidRPr="00993C2A">
        <w:t xml:space="preserve"> </w:t>
      </w:r>
      <w:r w:rsidR="00925239">
        <w:t>o</w:t>
      </w:r>
      <w:r w:rsidR="00993C2A" w:rsidRPr="00993C2A">
        <w:t>f</w:t>
      </w:r>
      <w:r w:rsidR="00EB14D1">
        <w:t xml:space="preserve"> </w:t>
      </w:r>
      <w:r w:rsidR="00925239">
        <w:t>one st</w:t>
      </w:r>
      <w:r w:rsidR="00993C2A" w:rsidRPr="00993C2A">
        <w:t>aff member</w:t>
      </w:r>
      <w:r w:rsidR="001F3C8E">
        <w:t xml:space="preserve">, </w:t>
      </w:r>
      <w:r w:rsidR="00EF1711">
        <w:t>the t</w:t>
      </w:r>
      <w:r w:rsidR="00AF21D6">
        <w:t>emporary</w:t>
      </w:r>
      <w:r w:rsidR="00EF1711">
        <w:t xml:space="preserve"> staffing</w:t>
      </w:r>
      <w:r w:rsidR="00AF21D6">
        <w:t xml:space="preserve"> arrangements </w:t>
      </w:r>
      <w:r w:rsidR="001F3C8E">
        <w:t>and the</w:t>
      </w:r>
      <w:r w:rsidR="00FE399E">
        <w:t xml:space="preserve"> </w:t>
      </w:r>
      <w:r w:rsidR="001F3C8E">
        <w:t>uncertainties</w:t>
      </w:r>
      <w:r w:rsidR="00591464">
        <w:t xml:space="preserve"> regarding their duration</w:t>
      </w:r>
      <w:r w:rsidR="001F3C8E">
        <w:t xml:space="preserve"> </w:t>
      </w:r>
      <w:r w:rsidR="00AF21D6">
        <w:t xml:space="preserve">have </w:t>
      </w:r>
      <w:r w:rsidR="00EF1711">
        <w:t xml:space="preserve">had a toll on the </w:t>
      </w:r>
      <w:r w:rsidR="008B7E77">
        <w:t>functioning</w:t>
      </w:r>
      <w:r w:rsidR="00715309">
        <w:t xml:space="preserve"> of the </w:t>
      </w:r>
      <w:r w:rsidR="00EF1711">
        <w:t>secretariat, f</w:t>
      </w:r>
      <w:r w:rsidR="00546DC6">
        <w:t>urther</w:t>
      </w:r>
      <w:r w:rsidR="00993C2A" w:rsidRPr="00993C2A">
        <w:t xml:space="preserve"> illustrat</w:t>
      </w:r>
      <w:r w:rsidR="00EF1711">
        <w:t>ing</w:t>
      </w:r>
      <w:r w:rsidR="00C34E10">
        <w:t xml:space="preserve"> </w:t>
      </w:r>
      <w:r w:rsidR="00993C2A" w:rsidRPr="00993C2A">
        <w:t xml:space="preserve">the critical </w:t>
      </w:r>
      <w:r w:rsidR="000A0C65">
        <w:t xml:space="preserve">nature of </w:t>
      </w:r>
      <w:r w:rsidR="00993C2A" w:rsidRPr="00993C2A">
        <w:t>the secretariat’s resource constraints</w:t>
      </w:r>
      <w:r w:rsidR="00A7614C">
        <w:t xml:space="preserve"> </w:t>
      </w:r>
      <w:r w:rsidR="00F11840">
        <w:t>and</w:t>
      </w:r>
      <w:r w:rsidR="004F3A63">
        <w:t xml:space="preserve"> its </w:t>
      </w:r>
      <w:r w:rsidR="005B16C4">
        <w:t>disproportionate work</w:t>
      </w:r>
      <w:r w:rsidR="004F3A63">
        <w:t>load</w:t>
      </w:r>
      <w:r w:rsidR="00ED4845">
        <w:t>. The Bureau observed that</w:t>
      </w:r>
      <w:r w:rsidR="009C7DA0">
        <w:t xml:space="preserve"> </w:t>
      </w:r>
      <w:r w:rsidR="00ED4845">
        <w:t>the secretariat</w:t>
      </w:r>
      <w:r w:rsidR="002B6F56">
        <w:t xml:space="preserve"> was</w:t>
      </w:r>
      <w:r w:rsidR="004D26DB">
        <w:t xml:space="preserve"> </w:t>
      </w:r>
      <w:r w:rsidR="002F6575">
        <w:t xml:space="preserve">too </w:t>
      </w:r>
      <w:r w:rsidR="002B6F56" w:rsidRPr="002B6F56">
        <w:t>thinly staffed</w:t>
      </w:r>
      <w:r w:rsidR="002F6575">
        <w:t xml:space="preserve"> to</w:t>
      </w:r>
      <w:r w:rsidR="002B6F56">
        <w:t xml:space="preserve"> </w:t>
      </w:r>
      <w:r w:rsidR="002B6F56" w:rsidRPr="002B6F56">
        <w:t>absorb</w:t>
      </w:r>
      <w:r w:rsidR="00AF21D6">
        <w:t xml:space="preserve"> </w:t>
      </w:r>
      <w:r w:rsidR="00E86F5E">
        <w:t xml:space="preserve">staff </w:t>
      </w:r>
      <w:r w:rsidR="002B6F56" w:rsidRPr="002B6F56">
        <w:t>absences</w:t>
      </w:r>
      <w:r w:rsidR="00E86F5E">
        <w:t xml:space="preserve">, </w:t>
      </w:r>
      <w:r w:rsidR="00AF21D6">
        <w:t>inefficiencies,</w:t>
      </w:r>
      <w:r w:rsidR="002B6F56" w:rsidRPr="002B6F56">
        <w:t xml:space="preserve"> </w:t>
      </w:r>
      <w:r w:rsidR="008D13F5" w:rsidRPr="002B6F56">
        <w:t>changes,</w:t>
      </w:r>
      <w:r w:rsidR="00FA5485" w:rsidRPr="00FA5485">
        <w:t xml:space="preserve"> </w:t>
      </w:r>
      <w:r w:rsidR="00FA5485">
        <w:t>and instability</w:t>
      </w:r>
      <w:r w:rsidR="00EF1711">
        <w:t xml:space="preserve"> - which </w:t>
      </w:r>
      <w:r w:rsidR="00FA5485">
        <w:t>were, at times, unavoidable</w:t>
      </w:r>
      <w:r w:rsidR="00EF1711">
        <w:t xml:space="preserve"> -</w:t>
      </w:r>
      <w:r w:rsidR="0016551C">
        <w:t xml:space="preserve"> without th</w:t>
      </w:r>
      <w:r w:rsidR="002F6575">
        <w:t>at</w:t>
      </w:r>
      <w:r w:rsidR="00CC73AA">
        <w:t xml:space="preserve"> leading to </w:t>
      </w:r>
      <w:r w:rsidR="007E50FF">
        <w:t xml:space="preserve">important </w:t>
      </w:r>
      <w:r w:rsidR="00811CDE">
        <w:t xml:space="preserve">backlogs, </w:t>
      </w:r>
      <w:r w:rsidR="007A0566" w:rsidRPr="007A0566">
        <w:t>delays and/or cancellations of the workplan</w:t>
      </w:r>
      <w:r w:rsidR="002F6575">
        <w:t xml:space="preserve"> deliverables</w:t>
      </w:r>
      <w:r w:rsidR="00AD2B82">
        <w:t xml:space="preserve"> </w:t>
      </w:r>
      <w:r w:rsidR="00E67650">
        <w:t xml:space="preserve">and </w:t>
      </w:r>
      <w:r w:rsidR="00B039DD">
        <w:t xml:space="preserve">adding </w:t>
      </w:r>
      <w:r w:rsidR="00E67650">
        <w:t xml:space="preserve">further </w:t>
      </w:r>
      <w:r w:rsidR="00F652E8">
        <w:t>strain on the</w:t>
      </w:r>
      <w:r w:rsidR="001542F1">
        <w:t xml:space="preserve"> remaining staff member</w:t>
      </w:r>
      <w:r w:rsidR="002F6575">
        <w:t>.</w:t>
      </w:r>
      <w:r w:rsidR="007A0566" w:rsidRPr="007A0566">
        <w:t xml:space="preserve"> </w:t>
      </w:r>
    </w:p>
    <w:p w14:paraId="6F5AA3AA" w14:textId="58FBE4C4" w:rsidR="000C3248" w:rsidRDefault="000C3248" w:rsidP="00BF2648">
      <w:pPr>
        <w:pStyle w:val="SingleTxtG"/>
      </w:pPr>
      <w:r>
        <w:t>14.</w:t>
      </w:r>
      <w:r>
        <w:tab/>
      </w:r>
      <w:r w:rsidR="0029031E">
        <w:t>The</w:t>
      </w:r>
      <w:r w:rsidR="00CA5694">
        <w:t xml:space="preserve"> above-described factors have </w:t>
      </w:r>
      <w:r w:rsidR="00893E60">
        <w:t xml:space="preserve">added </w:t>
      </w:r>
      <w:r w:rsidR="00CA5694">
        <w:t xml:space="preserve">further </w:t>
      </w:r>
      <w:r w:rsidR="00893E60">
        <w:t>challenge</w:t>
      </w:r>
      <w:r w:rsidR="009F0080">
        <w:t xml:space="preserve"> </w:t>
      </w:r>
      <w:r w:rsidR="00163CC2">
        <w:t>for</w:t>
      </w:r>
      <w:r w:rsidR="00CA5694">
        <w:t xml:space="preserve"> the secr</w:t>
      </w:r>
      <w:r w:rsidR="002506C2">
        <w:t>etariat</w:t>
      </w:r>
      <w:r w:rsidR="00163CC2">
        <w:t xml:space="preserve"> to </w:t>
      </w:r>
      <w:r w:rsidR="006F7DB1">
        <w:t>manage the</w:t>
      </w:r>
      <w:r w:rsidR="00B656E8">
        <w:t xml:space="preserve"> peak workload</w:t>
      </w:r>
      <w:r w:rsidR="00F77ED4">
        <w:t>s</w:t>
      </w:r>
      <w:r w:rsidR="00975043">
        <w:t xml:space="preserve">, including </w:t>
      </w:r>
      <w:r w:rsidR="00F32C54">
        <w:t xml:space="preserve">preparing and organizing the </w:t>
      </w:r>
      <w:r w:rsidR="00096BC6">
        <w:t xml:space="preserve">2023 </w:t>
      </w:r>
      <w:r w:rsidR="00CC0B95">
        <w:t xml:space="preserve">sessions of the </w:t>
      </w:r>
      <w:r w:rsidR="00F32C54">
        <w:t>Meetings</w:t>
      </w:r>
      <w:r w:rsidR="00CC0B95">
        <w:t xml:space="preserve"> of the Parties </w:t>
      </w:r>
      <w:r w:rsidR="00490B14">
        <w:t>and the preceding meetings of the Bureau, the Implementation Committee and the Working Group.</w:t>
      </w:r>
      <w:r w:rsidR="00157482">
        <w:t xml:space="preserve"> Th</w:t>
      </w:r>
      <w:r w:rsidR="00ED2ECA">
        <w:t>at</w:t>
      </w:r>
      <w:r w:rsidR="00157482">
        <w:t xml:space="preserve"> is likely to </w:t>
      </w:r>
      <w:r w:rsidR="00654EED">
        <w:t xml:space="preserve">affect to </w:t>
      </w:r>
      <w:r w:rsidR="0021561A">
        <w:t xml:space="preserve">a certain degree </w:t>
      </w:r>
      <w:r w:rsidR="009F5CA4">
        <w:t xml:space="preserve">the </w:t>
      </w:r>
      <w:r w:rsidR="002A7BE7">
        <w:t xml:space="preserve">preparatory process, and the </w:t>
      </w:r>
      <w:r w:rsidR="009F5CA4">
        <w:t>scope of the meetings and their documentation</w:t>
      </w:r>
      <w:r w:rsidR="005A1F9D">
        <w:t>.</w:t>
      </w:r>
      <w:r w:rsidR="00490B14">
        <w:t xml:space="preserve"> </w:t>
      </w:r>
      <w:r w:rsidR="00CA518C">
        <w:t>In the even</w:t>
      </w:r>
      <w:r w:rsidR="002B2836">
        <w:t>t</w:t>
      </w:r>
      <w:r w:rsidR="00CA518C">
        <w:t xml:space="preserve"> of any</w:t>
      </w:r>
      <w:r w:rsidR="002B2836">
        <w:t xml:space="preserve"> further </w:t>
      </w:r>
      <w:r w:rsidR="00CF769D">
        <w:t>resource</w:t>
      </w:r>
      <w:r w:rsidR="00F86A01">
        <w:t xml:space="preserve"> related </w:t>
      </w:r>
      <w:r w:rsidR="002B2836">
        <w:t>limit</w:t>
      </w:r>
      <w:r w:rsidR="00504F75">
        <w:t>ation</w:t>
      </w:r>
      <w:r w:rsidR="002A7BE7">
        <w:t>s</w:t>
      </w:r>
      <w:r w:rsidR="002B2836">
        <w:t xml:space="preserve">, </w:t>
      </w:r>
      <w:r w:rsidR="001F6AF1">
        <w:t xml:space="preserve">staff </w:t>
      </w:r>
      <w:r w:rsidR="002B2836">
        <w:t>absence</w:t>
      </w:r>
      <w:r w:rsidR="0021561A">
        <w:t>s</w:t>
      </w:r>
      <w:r w:rsidR="002B2836">
        <w:t xml:space="preserve"> </w:t>
      </w:r>
      <w:r w:rsidR="003D7D1A">
        <w:t>or change</w:t>
      </w:r>
      <w:r w:rsidR="0021561A">
        <w:t>s</w:t>
      </w:r>
      <w:r w:rsidR="00137D57">
        <w:t xml:space="preserve"> in 2023,</w:t>
      </w:r>
      <w:r w:rsidR="0075687B">
        <w:t xml:space="preserve"> the</w:t>
      </w:r>
      <w:r w:rsidR="00D60DBB">
        <w:t xml:space="preserve"> </w:t>
      </w:r>
      <w:r w:rsidR="007F1176">
        <w:t xml:space="preserve">UNECE </w:t>
      </w:r>
      <w:r w:rsidR="00D60DBB">
        <w:t xml:space="preserve">secretariat </w:t>
      </w:r>
      <w:r w:rsidR="00056EF0">
        <w:t>could no longer g</w:t>
      </w:r>
      <w:r w:rsidR="00D60DBB">
        <w:t>uarantee the</w:t>
      </w:r>
      <w:r w:rsidR="00433ABE">
        <w:t xml:space="preserve"> organization of the</w:t>
      </w:r>
      <w:r w:rsidR="00096BC6">
        <w:t>se</w:t>
      </w:r>
      <w:r w:rsidR="0075687B">
        <w:t xml:space="preserve"> meetings</w:t>
      </w:r>
      <w:r w:rsidR="0049467F">
        <w:t>.</w:t>
      </w:r>
      <w:r w:rsidR="0075687B">
        <w:t xml:space="preserve"> </w:t>
      </w:r>
    </w:p>
    <w:p w14:paraId="6F5B0D1F" w14:textId="020689A9" w:rsidR="00993C2A" w:rsidRDefault="00EF1711" w:rsidP="003A1574">
      <w:pPr>
        <w:pStyle w:val="SingleTxtG"/>
      </w:pPr>
      <w:r>
        <w:t>1</w:t>
      </w:r>
      <w:r w:rsidR="00923D23">
        <w:t>5</w:t>
      </w:r>
      <w:r>
        <w:t>.</w:t>
      </w:r>
      <w:r>
        <w:tab/>
      </w:r>
      <w:r w:rsidR="009C7DA0">
        <w:t>The Bureau</w:t>
      </w:r>
      <w:r w:rsidR="00ED7872">
        <w:t xml:space="preserve"> acknowledged that that th</w:t>
      </w:r>
      <w:r w:rsidR="00ED4845" w:rsidRPr="00ED4845">
        <w:t xml:space="preserve">e secretariat </w:t>
      </w:r>
      <w:r w:rsidR="00ED4845">
        <w:t>ha</w:t>
      </w:r>
      <w:r w:rsidR="00E41DC9">
        <w:t>d</w:t>
      </w:r>
      <w:r w:rsidR="00ED4845">
        <w:t xml:space="preserve"> been </w:t>
      </w:r>
      <w:r w:rsidR="00ED4845" w:rsidRPr="00ED4845">
        <w:t xml:space="preserve">permanently stretched and under pressure </w:t>
      </w:r>
      <w:r>
        <w:t xml:space="preserve">to </w:t>
      </w:r>
      <w:r w:rsidR="00A3637C">
        <w:t xml:space="preserve">handle excessive </w:t>
      </w:r>
      <w:r>
        <w:t>workload</w:t>
      </w:r>
      <w:r w:rsidR="00A3637C">
        <w:t>s</w:t>
      </w:r>
      <w:r>
        <w:t xml:space="preserve"> and demands</w:t>
      </w:r>
      <w:r w:rsidR="00ED7872">
        <w:t xml:space="preserve"> since a long time. </w:t>
      </w:r>
      <w:r w:rsidR="003A1574">
        <w:t xml:space="preserve">It appreciated </w:t>
      </w:r>
      <w:r w:rsidR="00E41DC9">
        <w:t>the secretariat’s</w:t>
      </w:r>
      <w:r w:rsidR="00ED7872">
        <w:t xml:space="preserve"> </w:t>
      </w:r>
      <w:r w:rsidR="00AC756E">
        <w:t>dedication and efforts</w:t>
      </w:r>
      <w:r w:rsidR="00E41DC9" w:rsidRPr="00E41DC9">
        <w:t xml:space="preserve"> </w:t>
      </w:r>
      <w:r w:rsidR="00E41DC9">
        <w:t xml:space="preserve">to </w:t>
      </w:r>
      <w:r w:rsidR="00E41DC9" w:rsidRPr="00E41DC9">
        <w:t>administ</w:t>
      </w:r>
      <w:r w:rsidR="00E41DC9">
        <w:t>er and support the operation and</w:t>
      </w:r>
      <w:r w:rsidR="00E41DC9" w:rsidRPr="00E41DC9">
        <w:t xml:space="preserve"> implementation of the two treaties and their workplans</w:t>
      </w:r>
      <w:r w:rsidR="003A1574">
        <w:t xml:space="preserve"> and to</w:t>
      </w:r>
      <w:r w:rsidR="00E41DC9" w:rsidRPr="00E41DC9">
        <w:t xml:space="preserve"> servic</w:t>
      </w:r>
      <w:r w:rsidR="00E41DC9">
        <w:t>e</w:t>
      </w:r>
      <w:r w:rsidR="00E41DC9" w:rsidRPr="00E41DC9">
        <w:t xml:space="preserve"> the </w:t>
      </w:r>
      <w:r w:rsidR="0063306E">
        <w:t xml:space="preserve">treaty </w:t>
      </w:r>
      <w:r w:rsidR="00E41DC9" w:rsidRPr="00E41DC9">
        <w:t>bodies</w:t>
      </w:r>
      <w:r w:rsidR="003A1574">
        <w:t>. However</w:t>
      </w:r>
      <w:r w:rsidR="00AC756E">
        <w:t xml:space="preserve">, </w:t>
      </w:r>
      <w:r w:rsidR="003A1574">
        <w:t>the secretariat</w:t>
      </w:r>
      <w:r w:rsidR="00E41DC9">
        <w:t xml:space="preserve"> could </w:t>
      </w:r>
      <w:r w:rsidR="00ED7872">
        <w:t>no</w:t>
      </w:r>
      <w:r w:rsidR="00E41DC9">
        <w:t xml:space="preserve"> longer </w:t>
      </w:r>
      <w:r w:rsidR="00ED7872">
        <w:t xml:space="preserve">be expected to </w:t>
      </w:r>
      <w:r w:rsidR="00AC756E">
        <w:t>deliver</w:t>
      </w:r>
      <w:r w:rsidR="00ED7872">
        <w:t xml:space="preserve"> considerably increased </w:t>
      </w:r>
      <w:r w:rsidR="003A1574">
        <w:t xml:space="preserve">demands </w:t>
      </w:r>
      <w:r w:rsidR="00ED7872">
        <w:t xml:space="preserve">with resources that had </w:t>
      </w:r>
      <w:r w:rsidR="00E41DC9">
        <w:t xml:space="preserve">remained unchanged for </w:t>
      </w:r>
      <w:r w:rsidR="00ED7872">
        <w:t>20 years</w:t>
      </w:r>
      <w:r w:rsidR="00D2469C">
        <w:t xml:space="preserve">. </w:t>
      </w:r>
      <w:r w:rsidR="0063306E">
        <w:t>The Bureau</w:t>
      </w:r>
      <w:r w:rsidR="00D2469C">
        <w:t xml:space="preserve"> agreed that </w:t>
      </w:r>
      <w:r w:rsidR="00347A96">
        <w:t>these</w:t>
      </w:r>
      <w:r w:rsidR="007523E7">
        <w:t xml:space="preserve"> resources</w:t>
      </w:r>
      <w:r w:rsidR="00347A96">
        <w:t xml:space="preserve"> </w:t>
      </w:r>
      <w:r w:rsidR="00867534">
        <w:t>had to be increased</w:t>
      </w:r>
      <w:r w:rsidR="007523E7">
        <w:t xml:space="preserve"> </w:t>
      </w:r>
      <w:r w:rsidR="00DB426A">
        <w:t xml:space="preserve">for the secretariat </w:t>
      </w:r>
      <w:r w:rsidR="007523E7">
        <w:t xml:space="preserve">to </w:t>
      </w:r>
      <w:r w:rsidR="00665DDF">
        <w:t xml:space="preserve">continue to </w:t>
      </w:r>
      <w:r w:rsidR="007523E7">
        <w:t xml:space="preserve">ensure the smooth functioning </w:t>
      </w:r>
      <w:r w:rsidR="00665DDF">
        <w:t xml:space="preserve">of and </w:t>
      </w:r>
      <w:r w:rsidR="00443187">
        <w:t xml:space="preserve">the core </w:t>
      </w:r>
      <w:r w:rsidR="00665DDF">
        <w:t xml:space="preserve">services to </w:t>
      </w:r>
      <w:r w:rsidR="007523E7">
        <w:t>the</w:t>
      </w:r>
      <w:r w:rsidR="00443187">
        <w:t xml:space="preserve"> two treatie</w:t>
      </w:r>
      <w:r w:rsidR="00151DCB">
        <w:t>s</w:t>
      </w:r>
      <w:r w:rsidR="00DB426A">
        <w:t>, or, alterna</w:t>
      </w:r>
      <w:r w:rsidR="002F4CA8">
        <w:t>tively, the secretariat’s tasks should be reduced</w:t>
      </w:r>
      <w:r w:rsidR="00214CE8">
        <w:t xml:space="preserve"> and readjusted</w:t>
      </w:r>
      <w:r w:rsidR="00ED7872">
        <w:t xml:space="preserve">. </w:t>
      </w:r>
    </w:p>
    <w:p w14:paraId="3CC23180" w14:textId="32C4F702" w:rsidR="001542F1" w:rsidRDefault="001542F1" w:rsidP="0064582C">
      <w:pPr>
        <w:pStyle w:val="SingleTxtG"/>
      </w:pPr>
      <w:r>
        <w:t>1</w:t>
      </w:r>
      <w:r w:rsidR="00923D23">
        <w:t>6</w:t>
      </w:r>
      <w:r>
        <w:t>.</w:t>
      </w:r>
      <w:r>
        <w:tab/>
      </w:r>
      <w:r w:rsidRPr="001542F1">
        <w:t xml:space="preserve">Based on the staffing figures of the </w:t>
      </w:r>
      <w:r w:rsidR="006778D4">
        <w:t>UN</w:t>
      </w:r>
      <w:r w:rsidRPr="001542F1">
        <w:t xml:space="preserve">ECE Environment Division presented by the secretariat, the Bureau observed that the other </w:t>
      </w:r>
      <w:r w:rsidR="006778D4">
        <w:t xml:space="preserve">Convention and Protocol </w:t>
      </w:r>
      <w:r w:rsidRPr="001542F1">
        <w:t xml:space="preserve">secretariats had significantly (three to seven times) more human resources for servicing their respective treaties. </w:t>
      </w:r>
      <w:r w:rsidR="0038127F">
        <w:t>T</w:t>
      </w:r>
      <w:r w:rsidRPr="001542F1">
        <w:t xml:space="preserve">he </w:t>
      </w:r>
      <w:r w:rsidR="0038127F">
        <w:t xml:space="preserve">other </w:t>
      </w:r>
      <w:r w:rsidRPr="001542F1">
        <w:t xml:space="preserve">UNECE MEAs </w:t>
      </w:r>
      <w:r w:rsidR="00D72080">
        <w:t>ha</w:t>
      </w:r>
      <w:r w:rsidR="00941630">
        <w:t>d</w:t>
      </w:r>
      <w:r w:rsidR="00A3637C">
        <w:t xml:space="preserve"> covered their increased staff resource needs </w:t>
      </w:r>
      <w:r w:rsidRPr="001542F1">
        <w:t xml:space="preserve">through extrabudgetary </w:t>
      </w:r>
      <w:r w:rsidR="003A1574">
        <w:t>funding, via</w:t>
      </w:r>
      <w:r w:rsidR="0038127F">
        <w:t xml:space="preserve"> increased</w:t>
      </w:r>
      <w:r w:rsidR="003A1574">
        <w:t xml:space="preserve"> v</w:t>
      </w:r>
      <w:r w:rsidRPr="001542F1">
        <w:t>oluntary contributions</w:t>
      </w:r>
      <w:r w:rsidR="00F566D1">
        <w:t xml:space="preserve"> from</w:t>
      </w:r>
      <w:r w:rsidRPr="001542F1">
        <w:t xml:space="preserve"> their respective Parties.</w:t>
      </w:r>
      <w:r w:rsidR="008C434F">
        <w:t xml:space="preserve"> Some of them also had some more regular budget</w:t>
      </w:r>
      <w:r w:rsidRPr="001542F1">
        <w:t xml:space="preserve"> </w:t>
      </w:r>
      <w:r w:rsidR="008C434F">
        <w:t xml:space="preserve">staff, due to historical reasons. </w:t>
      </w:r>
      <w:r w:rsidRPr="001542F1">
        <w:t xml:space="preserve">The secretariat to the Espoo Convention and the Protocol was by far the smallest of the UNECE treaty secretariats. </w:t>
      </w:r>
      <w:r w:rsidR="003A1574" w:rsidRPr="003A1574">
        <w:t>Ye</w:t>
      </w:r>
      <w:r w:rsidR="003A1574">
        <w:t xml:space="preserve">t, the secretariats of </w:t>
      </w:r>
      <w:r w:rsidRPr="001542F1">
        <w:t xml:space="preserve">all the other UNECE MEAs also still suffered from </w:t>
      </w:r>
      <w:r w:rsidR="00A3637C">
        <w:t xml:space="preserve">limited </w:t>
      </w:r>
      <w:r w:rsidRPr="001542F1">
        <w:t>resource</w:t>
      </w:r>
      <w:r w:rsidR="00A3637C">
        <w:t xml:space="preserve">s </w:t>
      </w:r>
      <w:r w:rsidRPr="001542F1">
        <w:t xml:space="preserve">and requested for </w:t>
      </w:r>
      <w:r w:rsidR="00A3637C">
        <w:t>further extrabudgetary funding</w:t>
      </w:r>
      <w:r w:rsidRPr="001542F1">
        <w:t>.</w:t>
      </w:r>
    </w:p>
    <w:p w14:paraId="1D92E24A" w14:textId="49E12B92" w:rsidR="00487CFB" w:rsidRDefault="004A51F8" w:rsidP="00487CFB">
      <w:pPr>
        <w:pStyle w:val="SingleTxtG"/>
      </w:pPr>
      <w:r>
        <w:t>1</w:t>
      </w:r>
      <w:r w:rsidR="00FC4373">
        <w:t>7</w:t>
      </w:r>
      <w:r>
        <w:t>.</w:t>
      </w:r>
      <w:r>
        <w:tab/>
      </w:r>
      <w:r w:rsidR="00A3637C">
        <w:t>The secretariat pointed out that, a</w:t>
      </w:r>
      <w:r w:rsidR="00A11134">
        <w:t xml:space="preserve">s a rule, </w:t>
      </w:r>
      <w:r w:rsidR="00487CFB">
        <w:t>multilateral environmental agreements</w:t>
      </w:r>
      <w:r w:rsidR="00A3637C">
        <w:t xml:space="preserve">, which </w:t>
      </w:r>
      <w:r w:rsidR="00A3637C" w:rsidRPr="00A3637C">
        <w:t>enjoyed legal autonomy and decision-making was under the purview of their Parties</w:t>
      </w:r>
      <w:r w:rsidR="00A3637C">
        <w:t xml:space="preserve">, </w:t>
      </w:r>
      <w:r w:rsidR="00A11134">
        <w:t>were</w:t>
      </w:r>
      <w:r w:rsidR="00487CFB">
        <w:t xml:space="preserve"> </w:t>
      </w:r>
      <w:r w:rsidR="00DD07DB">
        <w:t xml:space="preserve">entirely </w:t>
      </w:r>
      <w:r w:rsidR="00487CFB">
        <w:t xml:space="preserve">funded by their </w:t>
      </w:r>
      <w:r w:rsidR="00A11134">
        <w:t xml:space="preserve">contracting </w:t>
      </w:r>
      <w:r w:rsidR="00487CFB">
        <w:t xml:space="preserve">Parties. </w:t>
      </w:r>
      <w:r w:rsidR="00A3637C">
        <w:t>The c</w:t>
      </w:r>
      <w:r w:rsidR="00487CFB">
        <w:t>onventions and protocols serviced by UNECE</w:t>
      </w:r>
      <w:r w:rsidR="00B53E44">
        <w:t xml:space="preserve"> were</w:t>
      </w:r>
      <w:r w:rsidR="00487CFB">
        <w:t xml:space="preserve"> exceptions to this rule with funding coming from both the United Nations regular budget (targeted to </w:t>
      </w:r>
      <w:r w:rsidR="00A3637C">
        <w:t xml:space="preserve">some </w:t>
      </w:r>
      <w:r w:rsidR="00487CFB">
        <w:t xml:space="preserve">secretariat support and conference services) and from contributions (cash and in-kind) by Parties. </w:t>
      </w:r>
    </w:p>
    <w:p w14:paraId="1ED3A4D0" w14:textId="1A98CE6C" w:rsidR="00050635" w:rsidRPr="0062086C" w:rsidRDefault="0062086C" w:rsidP="0062086C">
      <w:pPr>
        <w:pStyle w:val="HChG"/>
        <w:rPr>
          <w:lang w:eastAsia="en-US"/>
        </w:rPr>
      </w:pPr>
      <w:r>
        <w:rPr>
          <w:lang w:eastAsia="en-US"/>
        </w:rPr>
        <w:tab/>
      </w:r>
      <w:bookmarkStart w:id="6" w:name="_Hlk118717849"/>
      <w:r>
        <w:rPr>
          <w:lang w:eastAsia="en-US"/>
        </w:rPr>
        <w:t>III</w:t>
      </w:r>
      <w:r w:rsidR="000037F4" w:rsidRPr="0062086C">
        <w:rPr>
          <w:lang w:eastAsia="en-US"/>
        </w:rPr>
        <w:t>.</w:t>
      </w:r>
      <w:r w:rsidR="000037F4" w:rsidRPr="0062086C">
        <w:rPr>
          <w:lang w:eastAsia="en-US"/>
        </w:rPr>
        <w:tab/>
      </w:r>
      <w:r>
        <w:rPr>
          <w:lang w:eastAsia="en-US"/>
        </w:rPr>
        <w:t xml:space="preserve">The Bureau’s </w:t>
      </w:r>
      <w:r w:rsidR="00707149" w:rsidRPr="0062086C">
        <w:rPr>
          <w:lang w:eastAsia="en-US"/>
        </w:rPr>
        <w:t xml:space="preserve">proposals </w:t>
      </w:r>
      <w:r w:rsidR="005C619A">
        <w:rPr>
          <w:lang w:eastAsia="en-US"/>
        </w:rPr>
        <w:t xml:space="preserve">for </w:t>
      </w:r>
      <w:r w:rsidR="000A35EC">
        <w:rPr>
          <w:lang w:eastAsia="en-US"/>
        </w:rPr>
        <w:t xml:space="preserve">increasing the funding in </w:t>
      </w:r>
      <w:r w:rsidR="005C619A">
        <w:rPr>
          <w:lang w:eastAsia="en-US"/>
        </w:rPr>
        <w:t>2024–2026 and beyond</w:t>
      </w:r>
      <w:bookmarkEnd w:id="6"/>
    </w:p>
    <w:p w14:paraId="5766B157" w14:textId="434CB343" w:rsidR="001A10FE" w:rsidRDefault="008971CA" w:rsidP="00A92138">
      <w:pPr>
        <w:pStyle w:val="SingleTxtG"/>
      </w:pPr>
      <w:r>
        <w:t>1</w:t>
      </w:r>
      <w:r w:rsidR="00FC4373">
        <w:t>8</w:t>
      </w:r>
      <w:r w:rsidR="00A253B4">
        <w:t>.</w:t>
      </w:r>
      <w:r w:rsidR="00A253B4">
        <w:tab/>
      </w:r>
      <w:r w:rsidR="00D7378D">
        <w:t>Having concluded on the in</w:t>
      </w:r>
      <w:r w:rsidR="00FA5485">
        <w:t xml:space="preserve">sufficiency </w:t>
      </w:r>
      <w:r w:rsidR="00D7378D">
        <w:t>of the present financial scheme</w:t>
      </w:r>
      <w:r w:rsidR="00A267C0">
        <w:t xml:space="preserve"> thus far in </w:t>
      </w:r>
      <w:r w:rsidR="00EB273C">
        <w:t>remedying the</w:t>
      </w:r>
      <w:r w:rsidR="00855B60">
        <w:t xml:space="preserve"> resource constraints for the Espoo Convention and the Protocol</w:t>
      </w:r>
      <w:r w:rsidR="006D52AE">
        <w:t>,</w:t>
      </w:r>
      <w:r w:rsidR="00675709">
        <w:t xml:space="preserve"> </w:t>
      </w:r>
      <w:r w:rsidR="0062086C">
        <w:t xml:space="preserve">and the acute staffing gaps of their secretariat, </w:t>
      </w:r>
      <w:r w:rsidR="006D52AE">
        <w:t xml:space="preserve">the Bureau </w:t>
      </w:r>
      <w:r w:rsidR="00C5502C">
        <w:t xml:space="preserve">explored </w:t>
      </w:r>
      <w:r w:rsidR="006D52AE">
        <w:t xml:space="preserve">possible </w:t>
      </w:r>
      <w:r w:rsidR="00C5502C">
        <w:t>solutions</w:t>
      </w:r>
      <w:r w:rsidR="005C619A">
        <w:t xml:space="preserve"> for improving the resource situation</w:t>
      </w:r>
      <w:r w:rsidR="00C5502C">
        <w:t>.</w:t>
      </w:r>
      <w:r w:rsidR="00D7378D">
        <w:t xml:space="preserve"> </w:t>
      </w:r>
    </w:p>
    <w:p w14:paraId="38C1FEDD" w14:textId="37C5FBB8" w:rsidR="008D5232" w:rsidRDefault="00FC4373" w:rsidP="00A92138">
      <w:pPr>
        <w:pStyle w:val="SingleTxtG"/>
      </w:pPr>
      <w:r>
        <w:lastRenderedPageBreak/>
        <w:t>19</w:t>
      </w:r>
      <w:r w:rsidR="001A10FE">
        <w:t>.</w:t>
      </w:r>
      <w:r w:rsidR="001A10FE">
        <w:tab/>
      </w:r>
      <w:r w:rsidR="002A5A77">
        <w:t xml:space="preserve">It </w:t>
      </w:r>
      <w:r w:rsidR="005E661C" w:rsidRPr="00F9681C">
        <w:t xml:space="preserve">recalled that, over the past decade, </w:t>
      </w:r>
      <w:r w:rsidR="00000D76" w:rsidRPr="00000D76">
        <w:t xml:space="preserve">the Meetings of the Parties to the Espoo Convention and its Protocol </w:t>
      </w:r>
      <w:r w:rsidR="00000D76">
        <w:t xml:space="preserve">had consistently </w:t>
      </w:r>
      <w:r w:rsidR="00000D76" w:rsidRPr="00000D76">
        <w:t>acknowledge the insufficiency, uneven distribution and unpredictability of Parties’ contributions and the severe staffing constraints of the secretariat. However, since 2001 Parties</w:t>
      </w:r>
      <w:r w:rsidR="00000D76">
        <w:t xml:space="preserve"> funding had not substantially increased and they</w:t>
      </w:r>
      <w:r w:rsidR="00000D76" w:rsidRPr="00000D76">
        <w:t xml:space="preserve"> continue</w:t>
      </w:r>
      <w:r w:rsidR="00000D76">
        <w:t>d</w:t>
      </w:r>
      <w:r w:rsidR="00000D76" w:rsidRPr="00000D76">
        <w:t xml:space="preserve"> to fund only one professional post - and no</w:t>
      </w:r>
      <w:r w:rsidR="008D5232">
        <w:t>/or limited</w:t>
      </w:r>
      <w:r w:rsidR="00000D76" w:rsidRPr="00000D76">
        <w:t xml:space="preserve"> admin. support - to the secretariat</w:t>
      </w:r>
      <w:r w:rsidR="008D5232">
        <w:t xml:space="preserve">. </w:t>
      </w:r>
    </w:p>
    <w:p w14:paraId="0CD57E2C" w14:textId="05AB2C2E" w:rsidR="005E661C" w:rsidRPr="00F9681C" w:rsidRDefault="008D5232" w:rsidP="00A92138">
      <w:pPr>
        <w:pStyle w:val="SingleTxtG"/>
      </w:pPr>
      <w:r>
        <w:t>2</w:t>
      </w:r>
      <w:r w:rsidR="00FC4373">
        <w:t>0</w:t>
      </w:r>
      <w:r>
        <w:t>.</w:t>
      </w:r>
      <w:r>
        <w:tab/>
        <w:t xml:space="preserve">The Bureau further recalled that </w:t>
      </w:r>
      <w:r w:rsidR="0045692B">
        <w:t xml:space="preserve">several </w:t>
      </w:r>
      <w:r w:rsidR="005E661C" w:rsidRPr="00F9681C">
        <w:t xml:space="preserve">Parties had not </w:t>
      </w:r>
      <w:r>
        <w:t xml:space="preserve">supported </w:t>
      </w:r>
      <w:r w:rsidR="00F715C8">
        <w:t>the Bureau’s</w:t>
      </w:r>
      <w:r w:rsidR="005C619A">
        <w:t xml:space="preserve"> previous</w:t>
      </w:r>
      <w:r w:rsidR="006C7490">
        <w:t xml:space="preserve"> </w:t>
      </w:r>
      <w:r w:rsidR="005E661C" w:rsidRPr="00F9681C">
        <w:t>proposals for improving the financial situation</w:t>
      </w:r>
      <w:r w:rsidR="006C7490">
        <w:t xml:space="preserve">, </w:t>
      </w:r>
      <w:r w:rsidR="002C2CB7">
        <w:t xml:space="preserve">involving, </w:t>
      </w:r>
      <w:r w:rsidR="006C7490">
        <w:t>namely</w:t>
      </w:r>
      <w:r w:rsidR="002C2CB7">
        <w:t xml:space="preserve">, </w:t>
      </w:r>
      <w:r w:rsidR="005E661C" w:rsidRPr="00F9681C">
        <w:t>a mandatory scheme of contributions and the use of the adjusted U</w:t>
      </w:r>
      <w:r w:rsidR="001D508C">
        <w:t xml:space="preserve">nited </w:t>
      </w:r>
      <w:r w:rsidR="005E661C" w:rsidRPr="00F9681C">
        <w:t>N</w:t>
      </w:r>
      <w:r w:rsidR="001D508C">
        <w:t>ations</w:t>
      </w:r>
      <w:r w:rsidR="005E661C" w:rsidRPr="00F9681C">
        <w:t xml:space="preserve"> scale of assessment. </w:t>
      </w:r>
      <w:r w:rsidR="00330E25">
        <w:t xml:space="preserve">The Bureau </w:t>
      </w:r>
      <w:r w:rsidR="005C619A">
        <w:t xml:space="preserve">considered that while those past proposals remained relevant, it </w:t>
      </w:r>
      <w:r w:rsidR="005E661C" w:rsidRPr="00F9681C">
        <w:t>estimated it unlikely that the Meetings of the Parties would reach a consensus on th</w:t>
      </w:r>
      <w:r w:rsidR="005C619A">
        <w:t>em</w:t>
      </w:r>
      <w:r w:rsidR="005E661C" w:rsidRPr="00F9681C">
        <w:t xml:space="preserve"> at their sessions next year.</w:t>
      </w:r>
    </w:p>
    <w:p w14:paraId="75561D85" w14:textId="7F1558C8" w:rsidR="005E661C" w:rsidRPr="00F9681C" w:rsidRDefault="00FA5485" w:rsidP="008D59B6">
      <w:pPr>
        <w:pStyle w:val="SingleTxtG"/>
      </w:pPr>
      <w:r>
        <w:t>2</w:t>
      </w:r>
      <w:r w:rsidR="00FC4373">
        <w:t>1</w:t>
      </w:r>
      <w:r w:rsidR="008D59B6">
        <w:t>.</w:t>
      </w:r>
      <w:r w:rsidR="008D59B6">
        <w:tab/>
      </w:r>
      <w:r w:rsidR="00B83475">
        <w:t>T</w:t>
      </w:r>
      <w:r w:rsidR="005E661C" w:rsidRPr="00F9681C">
        <w:t xml:space="preserve">he Bureau </w:t>
      </w:r>
      <w:r w:rsidR="00CA59C5">
        <w:t>observed</w:t>
      </w:r>
      <w:r w:rsidR="008E04C0">
        <w:t xml:space="preserve"> </w:t>
      </w:r>
      <w:r w:rsidR="005E661C" w:rsidRPr="00F9681C">
        <w:t>that according to the available documentation and consultations</w:t>
      </w:r>
      <w:r w:rsidR="008E04C0">
        <w:t xml:space="preserve"> by the secretariat</w:t>
      </w:r>
      <w:r w:rsidR="005E661C" w:rsidRPr="00F9681C">
        <w:t xml:space="preserve"> with the other treaty secretariats, the financial arrangements under the other </w:t>
      </w:r>
      <w:r w:rsidR="00A16111">
        <w:t>UN</w:t>
      </w:r>
      <w:r w:rsidR="005E661C" w:rsidRPr="00F9681C">
        <w:t xml:space="preserve">ECE environmental treaties were </w:t>
      </w:r>
      <w:r w:rsidR="001B75B5">
        <w:t>nearly identical</w:t>
      </w:r>
      <w:r w:rsidR="00A16111">
        <w:t>/very similar</w:t>
      </w:r>
      <w:r w:rsidR="001B75B5">
        <w:t xml:space="preserve"> </w:t>
      </w:r>
      <w:r w:rsidR="005E661C" w:rsidRPr="00F9681C">
        <w:t>to those adopted under the Espoo Convention and its Protocol.</w:t>
      </w:r>
      <w:r w:rsidR="005E661C" w:rsidRPr="00F9681C">
        <w:rPr>
          <w:rStyle w:val="FootnoteReference"/>
        </w:rPr>
        <w:footnoteReference w:id="6"/>
      </w:r>
      <w:r w:rsidR="005E661C" w:rsidRPr="00F9681C">
        <w:t xml:space="preserve"> </w:t>
      </w:r>
      <w:r w:rsidR="00CA59C5">
        <w:t xml:space="preserve">It </w:t>
      </w:r>
      <w:r w:rsidR="001B75B5">
        <w:t xml:space="preserve">also </w:t>
      </w:r>
      <w:r w:rsidR="00CA59C5">
        <w:t>observed that a</w:t>
      </w:r>
      <w:r w:rsidR="005E661C" w:rsidRPr="00F9681C">
        <w:t>ll the</w:t>
      </w:r>
      <w:r w:rsidR="00A16111">
        <w:t xml:space="preserve"> other UNECE</w:t>
      </w:r>
      <w:r w:rsidR="005E661C" w:rsidRPr="00F9681C">
        <w:t xml:space="preserve"> </w:t>
      </w:r>
      <w:r w:rsidR="00A16111">
        <w:t xml:space="preserve">Convention and Protocol </w:t>
      </w:r>
      <w:r w:rsidR="005E661C" w:rsidRPr="00F9681C">
        <w:t>secretariats</w:t>
      </w:r>
      <w:r w:rsidR="009C7DA0">
        <w:t xml:space="preserve"> were considerably larger </w:t>
      </w:r>
      <w:r w:rsidR="00A16111">
        <w:t xml:space="preserve">than the Espoo Convention secretariat </w:t>
      </w:r>
      <w:r w:rsidR="009C7DA0">
        <w:t>thanks to the extrabudgetary funding provided by the respective Parties</w:t>
      </w:r>
      <w:r w:rsidR="00A16111">
        <w:t xml:space="preserve">. It further observed </w:t>
      </w:r>
      <w:r w:rsidR="001B75B5">
        <w:t xml:space="preserve">that all </w:t>
      </w:r>
      <w:r w:rsidR="009C7DA0">
        <w:t>of the</w:t>
      </w:r>
      <w:r w:rsidR="00A16111">
        <w:t xml:space="preserve"> other UNECE environmental treaties </w:t>
      </w:r>
      <w:r w:rsidR="001B75B5">
        <w:t>nevertheless</w:t>
      </w:r>
      <w:r w:rsidR="009C7DA0">
        <w:t xml:space="preserve"> </w:t>
      </w:r>
      <w:r w:rsidR="00AF21D6">
        <w:t xml:space="preserve">faced </w:t>
      </w:r>
      <w:r w:rsidR="005E661C" w:rsidRPr="00F9681C">
        <w:t xml:space="preserve">difficulties in securing stable and sufficient funding. </w:t>
      </w:r>
    </w:p>
    <w:p w14:paraId="27D4044F" w14:textId="098B30AC" w:rsidR="007E68D8" w:rsidRDefault="00FA5485" w:rsidP="008D59B6">
      <w:pPr>
        <w:pStyle w:val="SingleTxtG"/>
      </w:pPr>
      <w:r>
        <w:t>2</w:t>
      </w:r>
      <w:r w:rsidR="00FC4373">
        <w:t>2</w:t>
      </w:r>
      <w:r w:rsidR="008D59B6">
        <w:t>.</w:t>
      </w:r>
      <w:r w:rsidR="008D59B6">
        <w:tab/>
      </w:r>
      <w:r w:rsidR="005C619A">
        <w:t>In the light of the above, t</w:t>
      </w:r>
      <w:r w:rsidR="005E661C" w:rsidRPr="00F9681C">
        <w:t>he Bureau concluded that</w:t>
      </w:r>
      <w:r w:rsidR="009C7DA0">
        <w:t xml:space="preserve"> the magnitude of the</w:t>
      </w:r>
      <w:r w:rsidR="005E661C" w:rsidRPr="00F9681C">
        <w:t xml:space="preserve"> Parties’ financial contributions</w:t>
      </w:r>
      <w:r w:rsidR="009C7DA0">
        <w:t xml:space="preserve">, </w:t>
      </w:r>
      <w:r w:rsidR="005E661C" w:rsidRPr="00F9681C">
        <w:t xml:space="preserve">reflected above all national funding priorities. The comparison of the available resources </w:t>
      </w:r>
      <w:r w:rsidR="005C619A">
        <w:t xml:space="preserve">and sizes of the secretariats </w:t>
      </w:r>
      <w:r w:rsidR="005E661C" w:rsidRPr="00F9681C">
        <w:t>across the treaties</w:t>
      </w:r>
      <w:r w:rsidR="001B75B5">
        <w:t xml:space="preserve"> therefore</w:t>
      </w:r>
      <w:r w:rsidR="005E661C" w:rsidRPr="00F9681C">
        <w:t xml:space="preserve"> indicated that the other </w:t>
      </w:r>
      <w:r w:rsidR="001B75B5">
        <w:t>UN</w:t>
      </w:r>
      <w:r w:rsidR="005E661C" w:rsidRPr="00F9681C">
        <w:t>ECE Conventions and their Protocols seemed to be of a relatively higher priority for countries in the ECE region</w:t>
      </w:r>
      <w:r w:rsidR="001B75B5">
        <w:t xml:space="preserve"> than the Espoo Convention and its Protocol</w:t>
      </w:r>
      <w:r w:rsidR="005E661C" w:rsidRPr="00F9681C">
        <w:t xml:space="preserve">. </w:t>
      </w:r>
      <w:r w:rsidR="001B75B5">
        <w:t xml:space="preserve">The Bureau regretted that situation, as in its </w:t>
      </w:r>
      <w:r w:rsidR="005E661C" w:rsidRPr="00F9681C">
        <w:t xml:space="preserve">view, </w:t>
      </w:r>
      <w:r w:rsidR="001B75B5">
        <w:t>t</w:t>
      </w:r>
      <w:r w:rsidR="005E661C" w:rsidRPr="00F9681C">
        <w:t>he extent of the resource constraints under the</w:t>
      </w:r>
      <w:r w:rsidR="001B75B5">
        <w:t>se two treaties</w:t>
      </w:r>
      <w:r w:rsidR="005E661C" w:rsidRPr="00F9681C">
        <w:t xml:space="preserve"> strongly contrasted with the frequency of their application and </w:t>
      </w:r>
      <w:r w:rsidR="001B75B5">
        <w:t xml:space="preserve">the </w:t>
      </w:r>
      <w:r w:rsidR="005E661C" w:rsidRPr="00F9681C">
        <w:t>benefits</w:t>
      </w:r>
      <w:r w:rsidR="001B75B5">
        <w:t xml:space="preserve"> that they had demonstrated</w:t>
      </w:r>
      <w:r w:rsidR="00A16111">
        <w:t xml:space="preserve"> over the decades</w:t>
      </w:r>
      <w:r w:rsidR="005E661C" w:rsidRPr="00F9681C">
        <w:t xml:space="preserve">. </w:t>
      </w:r>
    </w:p>
    <w:p w14:paraId="44483FDB" w14:textId="534C2508" w:rsidR="00A16111" w:rsidRDefault="00FA5485" w:rsidP="00AF21D6">
      <w:pPr>
        <w:pStyle w:val="SingleTxtG"/>
      </w:pPr>
      <w:r>
        <w:t>2</w:t>
      </w:r>
      <w:r w:rsidR="00FC4373">
        <w:t>3</w:t>
      </w:r>
      <w:r w:rsidR="00C67327">
        <w:t>.</w:t>
      </w:r>
      <w:r w:rsidR="00C67327">
        <w:tab/>
      </w:r>
      <w:r w:rsidR="00845F7E">
        <w:t>T</w:t>
      </w:r>
      <w:r w:rsidR="005E661C" w:rsidRPr="00F9681C">
        <w:t>he Bureau</w:t>
      </w:r>
      <w:r w:rsidR="001B75B5">
        <w:t xml:space="preserve"> </w:t>
      </w:r>
      <w:r>
        <w:t>proposed t</w:t>
      </w:r>
      <w:r w:rsidR="001B75B5" w:rsidRPr="001B75B5">
        <w:t>hat</w:t>
      </w:r>
      <w:r w:rsidR="001A3F5A">
        <w:t xml:space="preserve"> </w:t>
      </w:r>
      <w:r w:rsidR="001B75B5" w:rsidRPr="001B75B5">
        <w:t>Parties should be invited to</w:t>
      </w:r>
      <w:r w:rsidR="00A16111">
        <w:t>:</w:t>
      </w:r>
    </w:p>
    <w:p w14:paraId="363CC157" w14:textId="3746A2BA" w:rsidR="00A16111" w:rsidRDefault="00A16111" w:rsidP="00A16111">
      <w:pPr>
        <w:pStyle w:val="SingleTxtG"/>
        <w:ind w:firstLine="567"/>
      </w:pPr>
      <w:r>
        <w:t>(a)</w:t>
      </w:r>
      <w:r>
        <w:tab/>
        <w:t>F</w:t>
      </w:r>
      <w:r w:rsidR="001B75B5" w:rsidRPr="001B75B5">
        <w:t>und one</w:t>
      </w:r>
      <w:r>
        <w:t xml:space="preserve"> additional</w:t>
      </w:r>
      <w:r w:rsidR="001B75B5" w:rsidRPr="001B75B5">
        <w:t xml:space="preserve"> professional staff position to the secretariat by the next intersessional period 2024–2026</w:t>
      </w:r>
      <w:r w:rsidR="00AF21D6">
        <w:t xml:space="preserve"> to</w:t>
      </w:r>
      <w:r w:rsidR="00FA5485">
        <w:t xml:space="preserve"> support the core </w:t>
      </w:r>
      <w:r w:rsidR="00000D76">
        <w:t xml:space="preserve">secretariat </w:t>
      </w:r>
      <w:r w:rsidR="00FA5485">
        <w:t xml:space="preserve">functions (the organization of meetings of the treaty bodies, the preparation of documentation, and other tasks </w:t>
      </w:r>
      <w:r w:rsidR="00DF049A">
        <w:t xml:space="preserve">necessary for ensuring the functioning of the Convention and the Protocol and the </w:t>
      </w:r>
      <w:r w:rsidR="00FA5485">
        <w:t>coordination and visibility of the</w:t>
      </w:r>
      <w:r w:rsidR="00DF049A">
        <w:t>ir activities</w:t>
      </w:r>
      <w:r w:rsidR="00FC47A6">
        <w:t>, and support to the review of compliance</w:t>
      </w:r>
      <w:r w:rsidR="00F10239">
        <w:t>, reporting and the review of implementation)</w:t>
      </w:r>
      <w:r w:rsidR="001A3F5A">
        <w:t>.</w:t>
      </w:r>
      <w:r w:rsidR="00DF049A">
        <w:rPr>
          <w:rStyle w:val="FootnoteReference"/>
        </w:rPr>
        <w:footnoteReference w:id="7"/>
      </w:r>
      <w:r w:rsidR="001B75B5">
        <w:t xml:space="preserve"> </w:t>
      </w:r>
      <w:r w:rsidR="001A3F5A" w:rsidRPr="001A3F5A">
        <w:t xml:space="preserve">An increase from </w:t>
      </w:r>
      <w:r w:rsidR="001A3F5A">
        <w:t>two</w:t>
      </w:r>
      <w:r w:rsidR="001A3F5A" w:rsidRPr="001A3F5A">
        <w:t xml:space="preserve"> to </w:t>
      </w:r>
      <w:r w:rsidR="001A3F5A">
        <w:t>three</w:t>
      </w:r>
      <w:r w:rsidR="001A3F5A" w:rsidRPr="001A3F5A">
        <w:t xml:space="preserve"> </w:t>
      </w:r>
      <w:r w:rsidR="001A3F5A">
        <w:t>professional staff</w:t>
      </w:r>
      <w:r w:rsidR="001A3F5A" w:rsidRPr="001A3F5A">
        <w:t xml:space="preserve"> members would constitute a minimum</w:t>
      </w:r>
      <w:r w:rsidR="001A3F5A">
        <w:t xml:space="preserve"> and a </w:t>
      </w:r>
      <w:r w:rsidR="00C4298E">
        <w:t>modest</w:t>
      </w:r>
      <w:r w:rsidR="001A3F5A" w:rsidRPr="001A3F5A">
        <w:t xml:space="preserve"> improvement: </w:t>
      </w:r>
      <w:r w:rsidR="001A3F5A">
        <w:t xml:space="preserve">with </w:t>
      </w:r>
      <w:r w:rsidR="001A3F5A" w:rsidRPr="001A3F5A">
        <w:t xml:space="preserve">the </w:t>
      </w:r>
      <w:r w:rsidR="001A3F5A">
        <w:t xml:space="preserve">Convention and the Protocol </w:t>
      </w:r>
      <w:r w:rsidR="001A3F5A" w:rsidRPr="001A3F5A">
        <w:t xml:space="preserve">secretariat </w:t>
      </w:r>
      <w:r w:rsidR="001A3F5A">
        <w:t>s</w:t>
      </w:r>
      <w:r w:rsidR="001A3F5A" w:rsidRPr="001A3F5A">
        <w:t>till remain</w:t>
      </w:r>
      <w:r w:rsidR="001A3F5A">
        <w:t>ing</w:t>
      </w:r>
      <w:r w:rsidR="001A3F5A" w:rsidRPr="001A3F5A">
        <w:t xml:space="preserve"> </w:t>
      </w:r>
      <w:r w:rsidR="001A3F5A">
        <w:t>very</w:t>
      </w:r>
      <w:r w:rsidR="001A3F5A" w:rsidRPr="001A3F5A">
        <w:t xml:space="preserve"> small</w:t>
      </w:r>
      <w:r w:rsidR="001A3F5A">
        <w:t xml:space="preserve"> in comparison with its tasks and the other treaty secretariats; </w:t>
      </w:r>
    </w:p>
    <w:p w14:paraId="2F923071" w14:textId="2353E86A" w:rsidR="001B75B5" w:rsidRDefault="00A16111" w:rsidP="00A16111">
      <w:pPr>
        <w:pStyle w:val="SingleTxtG"/>
        <w:ind w:firstLine="567"/>
      </w:pPr>
      <w:r>
        <w:t>(b)</w:t>
      </w:r>
      <w:r>
        <w:tab/>
        <w:t>C</w:t>
      </w:r>
      <w:r w:rsidR="001B75B5">
        <w:t>ontinue to budget</w:t>
      </w:r>
      <w:r w:rsidR="00AF21D6">
        <w:t xml:space="preserve"> for an administrative staff member at 50 per cent</w:t>
      </w:r>
      <w:r>
        <w:t>, and provide</w:t>
      </w:r>
      <w:r w:rsidR="001A3F5A">
        <w:t xml:space="preserve"> for</w:t>
      </w:r>
      <w:r>
        <w:t xml:space="preserve"> the </w:t>
      </w:r>
      <w:r w:rsidR="00A96E95">
        <w:t xml:space="preserve">corresponding </w:t>
      </w:r>
      <w:r>
        <w:t>funding</w:t>
      </w:r>
      <w:r w:rsidR="00FA5485">
        <w:t>.</w:t>
      </w:r>
      <w:r w:rsidR="001A3F5A">
        <w:rPr>
          <w:rStyle w:val="FootnoteReference"/>
        </w:rPr>
        <w:footnoteReference w:id="8"/>
      </w:r>
    </w:p>
    <w:p w14:paraId="5FF53C5E" w14:textId="6021465D" w:rsidR="008971CA" w:rsidRDefault="00703589" w:rsidP="00703589">
      <w:pPr>
        <w:pStyle w:val="SingleTxtG"/>
      </w:pPr>
      <w:r>
        <w:t>2</w:t>
      </w:r>
      <w:r w:rsidR="00FC4373">
        <w:t>4</w:t>
      </w:r>
      <w:r>
        <w:t>.</w:t>
      </w:r>
      <w:r>
        <w:tab/>
      </w:r>
      <w:r w:rsidR="008971CA">
        <w:t xml:space="preserve">To Bureau acknowledged that, to be sustainable, the staff increase should be stable and long-term. Relying on ad-hoc financing for short term solutions (e.g. consultants, temporary staff, or interns) would not only not address the problem but would aggravate the burden on the secretariat which needed to dedicate its limited resources to repeatedly carry out hiring, training and other administrative procedures. Similarly, relying on project financing was not suited to the nature of the work to be carried out and would not be sustainable. </w:t>
      </w:r>
    </w:p>
    <w:p w14:paraId="64728725" w14:textId="08F40129" w:rsidR="00A16111" w:rsidRDefault="00A16111" w:rsidP="00C67327">
      <w:pPr>
        <w:pStyle w:val="SingleTxtG"/>
      </w:pPr>
      <w:r>
        <w:lastRenderedPageBreak/>
        <w:t>2</w:t>
      </w:r>
      <w:r w:rsidR="001B075D">
        <w:t>5</w:t>
      </w:r>
      <w:r>
        <w:t>.</w:t>
      </w:r>
      <w:r>
        <w:tab/>
      </w:r>
      <w:r w:rsidR="001A3F5A">
        <w:t xml:space="preserve">Regarding the </w:t>
      </w:r>
      <w:r w:rsidR="00B54DFE">
        <w:t xml:space="preserve">further </w:t>
      </w:r>
      <w:r w:rsidR="001A3F5A">
        <w:t>fundraising</w:t>
      </w:r>
      <w:r>
        <w:t xml:space="preserve">, the Bureau: </w:t>
      </w:r>
    </w:p>
    <w:p w14:paraId="664AEA24" w14:textId="2175AB76" w:rsidR="00C75C4E" w:rsidRDefault="00C75C4E" w:rsidP="00C75C4E">
      <w:pPr>
        <w:pStyle w:val="SingleTxtG"/>
        <w:ind w:firstLine="567"/>
      </w:pPr>
      <w:r>
        <w:t>(a)</w:t>
      </w:r>
      <w:r>
        <w:tab/>
        <w:t>R</w:t>
      </w:r>
      <w:r w:rsidR="00EF7002">
        <w:t xml:space="preserve">ecommended that </w:t>
      </w:r>
      <w:r w:rsidR="005E661C" w:rsidRPr="00F9681C">
        <w:t xml:space="preserve">the national focal points to the </w:t>
      </w:r>
      <w:r w:rsidR="00FE44A5">
        <w:t xml:space="preserve">Espoo Convention and its Protocol be invited to </w:t>
      </w:r>
      <w:r w:rsidR="005E661C" w:rsidRPr="00F9681C">
        <w:t>play the primary role in raising awareness of the two treaties and their benefits within the Governments with a view to mobilizing further funding for them, including through a possible readjustment of the national funding priorities</w:t>
      </w:r>
      <w:r>
        <w:t xml:space="preserve">; </w:t>
      </w:r>
    </w:p>
    <w:p w14:paraId="03B778B9" w14:textId="243E2C1D" w:rsidR="005E661C" w:rsidRDefault="00C75C4E" w:rsidP="00C75C4E">
      <w:pPr>
        <w:pStyle w:val="SingleTxtG"/>
        <w:ind w:firstLine="567"/>
      </w:pPr>
      <w:r>
        <w:t>(b)</w:t>
      </w:r>
      <w:r>
        <w:tab/>
        <w:t xml:space="preserve">Invited </w:t>
      </w:r>
      <w:r w:rsidR="001A3F5A">
        <w:t>the Bureau</w:t>
      </w:r>
      <w:r>
        <w:t xml:space="preserve"> </w:t>
      </w:r>
      <w:r w:rsidR="005E661C" w:rsidRPr="00F9681C">
        <w:t xml:space="preserve">members to encourage </w:t>
      </w:r>
      <w:r>
        <w:t xml:space="preserve">their own countries </w:t>
      </w:r>
      <w:r w:rsidR="00006507">
        <w:t xml:space="preserve">and </w:t>
      </w:r>
      <w:r w:rsidR="005E661C" w:rsidRPr="00F9681C">
        <w:t>also other Parties to contribute or to increase their contributions</w:t>
      </w:r>
      <w:r w:rsidR="001B75B5">
        <w:t>;</w:t>
      </w:r>
    </w:p>
    <w:p w14:paraId="50027638" w14:textId="3E77DEA7" w:rsidR="001B75B5" w:rsidRDefault="001B75B5" w:rsidP="00C75C4E">
      <w:pPr>
        <w:pStyle w:val="SingleTxtG"/>
        <w:ind w:firstLine="567"/>
      </w:pPr>
      <w:r>
        <w:t>(c)</w:t>
      </w:r>
      <w:r>
        <w:tab/>
        <w:t>Re</w:t>
      </w:r>
      <w:r w:rsidRPr="001B75B5">
        <w:t>iterated that fundraising was not the responsibility of the secretariat and beyond its limited capacities</w:t>
      </w:r>
      <w:r>
        <w:t>.</w:t>
      </w:r>
    </w:p>
    <w:p w14:paraId="039B39CF" w14:textId="31FD9A23" w:rsidR="00000D76" w:rsidRDefault="00925239" w:rsidP="00000D76">
      <w:pPr>
        <w:pStyle w:val="SingleTxtG"/>
      </w:pPr>
      <w:r>
        <w:t>2</w:t>
      </w:r>
      <w:r w:rsidR="001B075D">
        <w:t>6</w:t>
      </w:r>
      <w:r>
        <w:t>.</w:t>
      </w:r>
      <w:r>
        <w:tab/>
      </w:r>
      <w:r w:rsidR="00000D76">
        <w:t xml:space="preserve">Moreover, to flag the need for additional staff resources for the secretariat’s core functions, the Bureau: </w:t>
      </w:r>
    </w:p>
    <w:p w14:paraId="118715AE" w14:textId="54DCDC77" w:rsidR="00000D76" w:rsidRDefault="00000D76" w:rsidP="00000D76">
      <w:pPr>
        <w:pStyle w:val="SingleTxtG"/>
      </w:pPr>
      <w:r>
        <w:tab/>
      </w:r>
      <w:r>
        <w:tab/>
        <w:t>(a)</w:t>
      </w:r>
      <w:r>
        <w:tab/>
        <w:t xml:space="preserve"> I</w:t>
      </w:r>
      <w:r w:rsidR="00925239">
        <w:t>nvited the Executive Secretary of UNECE, in the last quarter of 2022 (in November), to send letters to environment ministers and foreign ministers of all the Parties</w:t>
      </w:r>
      <w:r>
        <w:t xml:space="preserve">; </w:t>
      </w:r>
    </w:p>
    <w:p w14:paraId="17A5816A" w14:textId="49EE8515" w:rsidR="00925239" w:rsidRDefault="00000D76" w:rsidP="00000D76">
      <w:pPr>
        <w:pStyle w:val="SingleTxtG"/>
        <w:ind w:firstLine="567"/>
      </w:pPr>
      <w:r>
        <w:t>(b)</w:t>
      </w:r>
      <w:r>
        <w:tab/>
        <w:t xml:space="preserve">Mandated its representatives to meet with the Executive Secretary in the margins of the Ninth Environment for Europe Ministerial Conference (Nicosia, 5–7 October 2022) to inquire </w:t>
      </w:r>
      <w:r w:rsidR="00055B0B">
        <w:t>about</w:t>
      </w:r>
      <w:r>
        <w:t xml:space="preserve"> further </w:t>
      </w:r>
      <w:r w:rsidR="003450A9">
        <w:t xml:space="preserve">United Nations </w:t>
      </w:r>
      <w:r>
        <w:t>regular budget resources</w:t>
      </w:r>
      <w:r w:rsidR="006C54B9">
        <w:t xml:space="preserve"> for the secretariat</w:t>
      </w:r>
      <w:r>
        <w:t xml:space="preserve">. </w:t>
      </w:r>
      <w:r w:rsidR="006C54B9">
        <w:t>On 6 October, the Chair of the Bureau for the Convention matters and the</w:t>
      </w:r>
      <w:r w:rsidR="00CF3D6E">
        <w:t xml:space="preserve"> Bureau member from Switzerland met with t</w:t>
      </w:r>
      <w:r w:rsidR="008D5232">
        <w:t>he Executive Secretary</w:t>
      </w:r>
      <w:r w:rsidR="00CF3D6E">
        <w:t>. She</w:t>
      </w:r>
      <w:r w:rsidR="008D5232">
        <w:t xml:space="preserve"> confirmed the </w:t>
      </w:r>
      <w:r w:rsidR="008D5232" w:rsidRPr="008D5232">
        <w:t>genuine</w:t>
      </w:r>
      <w:r w:rsidR="008D5232">
        <w:t xml:space="preserve"> wish of UNEC</w:t>
      </w:r>
      <w:r w:rsidR="00CF3D6E">
        <w:t>E</w:t>
      </w:r>
      <w:r w:rsidR="008D5232">
        <w:t xml:space="preserve"> to </w:t>
      </w:r>
      <w:r w:rsidR="008D5232" w:rsidRPr="008D5232">
        <w:t>continue to provide high-quality services to the Parties, the treaty bodies and stakeholders and to promote the treaties’ implementation within and beyond the UNECE region</w:t>
      </w:r>
      <w:r w:rsidR="008D5232">
        <w:t xml:space="preserve"> and was concerned </w:t>
      </w:r>
      <w:r w:rsidR="00CF3D6E">
        <w:t xml:space="preserve">about </w:t>
      </w:r>
      <w:r w:rsidR="008D5232">
        <w:t>the long-standing serious resource constrain</w:t>
      </w:r>
      <w:r w:rsidR="00CF3D6E">
        <w:t>ts</w:t>
      </w:r>
      <w:r w:rsidR="008D5232">
        <w:t xml:space="preserve">. She </w:t>
      </w:r>
      <w:r w:rsidR="005E5355">
        <w:t>stressed that</w:t>
      </w:r>
      <w:r w:rsidR="008D5232">
        <w:t xml:space="preserve"> the General Assembly of the United Nations</w:t>
      </w:r>
      <w:r w:rsidR="00FC4373">
        <w:t xml:space="preserve"> (which represented the 193 States members of the United Nations)</w:t>
      </w:r>
      <w:r w:rsidR="008D5232">
        <w:t xml:space="preserve"> was not expected to allocate </w:t>
      </w:r>
      <w:r w:rsidR="00CF3D6E">
        <w:t xml:space="preserve">any </w:t>
      </w:r>
      <w:r w:rsidR="008D5232">
        <w:t>further regular budget staff resources for UNECE</w:t>
      </w:r>
      <w:r w:rsidR="006C54B9">
        <w:t xml:space="preserve">, and that, on the contrary, </w:t>
      </w:r>
      <w:r w:rsidR="00532B42">
        <w:t xml:space="preserve">over the years, </w:t>
      </w:r>
      <w:r w:rsidR="005666E8">
        <w:t>such resources had only be</w:t>
      </w:r>
      <w:r w:rsidR="00B22A29">
        <w:t xml:space="preserve">en </w:t>
      </w:r>
      <w:r w:rsidR="00532B42">
        <w:t>reduced</w:t>
      </w:r>
      <w:r w:rsidR="00B22A29">
        <w:t xml:space="preserve"> and its staff </w:t>
      </w:r>
      <w:r w:rsidR="00532B42">
        <w:t>posts successively cut.</w:t>
      </w:r>
      <w:r w:rsidR="006C54B9">
        <w:t xml:space="preserve"> She also </w:t>
      </w:r>
      <w:r w:rsidR="00094E62">
        <w:t xml:space="preserve">clarified </w:t>
      </w:r>
      <w:r w:rsidR="006C54B9">
        <w:t>that the</w:t>
      </w:r>
      <w:r w:rsidR="008D5232">
        <w:t xml:space="preserve"> reallocation of the </w:t>
      </w:r>
      <w:r w:rsidR="00CF3D6E">
        <w:t xml:space="preserve">existing </w:t>
      </w:r>
      <w:r w:rsidR="006C54B9">
        <w:t xml:space="preserve">regular budget </w:t>
      </w:r>
      <w:r w:rsidR="008D5232">
        <w:t xml:space="preserve">funding </w:t>
      </w:r>
      <w:r w:rsidR="006C54B9">
        <w:t xml:space="preserve">from other UNECE programmes </w:t>
      </w:r>
      <w:r w:rsidR="007D4EA7">
        <w:t xml:space="preserve">would not be </w:t>
      </w:r>
      <w:r w:rsidR="008D5232">
        <w:t xml:space="preserve">feasible, </w:t>
      </w:r>
      <w:r w:rsidR="006C54B9">
        <w:t>as all the staff posts were full</w:t>
      </w:r>
      <w:r w:rsidR="00CF3D6E">
        <w:t>y</w:t>
      </w:r>
      <w:r w:rsidR="006C54B9">
        <w:t xml:space="preserve"> </w:t>
      </w:r>
      <w:r w:rsidR="00CF3D6E">
        <w:t>utilized</w:t>
      </w:r>
      <w:r w:rsidR="006C54B9">
        <w:t xml:space="preserve">, and </w:t>
      </w:r>
      <w:r w:rsidR="00FA1326">
        <w:t xml:space="preserve">taking </w:t>
      </w:r>
      <w:r w:rsidR="00A408C5">
        <w:t xml:space="preserve">resources away from any of them </w:t>
      </w:r>
      <w:r w:rsidR="006C54B9">
        <w:t>would trigger complaints from the Member States</w:t>
      </w:r>
      <w:r w:rsidR="00E7109B">
        <w:t xml:space="preserve"> under the respective programmes</w:t>
      </w:r>
      <w:r w:rsidR="006C54B9">
        <w:t>. T</w:t>
      </w:r>
      <w:r w:rsidR="006C54B9" w:rsidRPr="006C54B9">
        <w:t>he E</w:t>
      </w:r>
      <w:r w:rsidR="006C54B9">
        <w:t xml:space="preserve">xecutive </w:t>
      </w:r>
      <w:r w:rsidR="006C54B9" w:rsidRPr="006C54B9">
        <w:t>S</w:t>
      </w:r>
      <w:r w:rsidR="006C54B9">
        <w:t xml:space="preserve">ecretary </w:t>
      </w:r>
      <w:r w:rsidR="006C54B9" w:rsidRPr="006C54B9">
        <w:t>thank</w:t>
      </w:r>
      <w:r w:rsidR="006C54B9">
        <w:t>ed</w:t>
      </w:r>
      <w:r w:rsidR="006C54B9" w:rsidRPr="006C54B9">
        <w:t xml:space="preserve"> the Bureau for its efforts to advocate for further resources and</w:t>
      </w:r>
      <w:r w:rsidR="006C54B9">
        <w:t xml:space="preserve"> </w:t>
      </w:r>
      <w:r w:rsidR="00A408C5">
        <w:t xml:space="preserve">confirmed </w:t>
      </w:r>
      <w:r w:rsidR="006C54B9">
        <w:t xml:space="preserve">her willingness </w:t>
      </w:r>
      <w:r w:rsidR="006C54B9" w:rsidRPr="006C54B9">
        <w:t xml:space="preserve">to </w:t>
      </w:r>
      <w:r w:rsidR="006C54B9">
        <w:t xml:space="preserve">continue to </w:t>
      </w:r>
      <w:r w:rsidR="006C54B9" w:rsidRPr="006C54B9">
        <w:t>support th</w:t>
      </w:r>
      <w:r w:rsidR="0074346C">
        <w:t>ose</w:t>
      </w:r>
      <w:r w:rsidR="006C54B9" w:rsidRPr="006C54B9">
        <w:t xml:space="preserve"> efforts, by</w:t>
      </w:r>
      <w:r w:rsidR="006C54B9">
        <w:t xml:space="preserve"> writing letters to </w:t>
      </w:r>
      <w:r w:rsidR="006C54B9" w:rsidRPr="006C54B9">
        <w:t xml:space="preserve">Parties to </w:t>
      </w:r>
      <w:r w:rsidR="006C54B9">
        <w:t>invite them to provide more extrabudgetary funding</w:t>
      </w:r>
      <w:r w:rsidR="00CF3D6E">
        <w:t>, as requested by the Bureau.</w:t>
      </w:r>
      <w:r w:rsidR="006C54B9">
        <w:t xml:space="preserve"> </w:t>
      </w:r>
    </w:p>
    <w:p w14:paraId="3357B4D4" w14:textId="424DD32A" w:rsidR="007341F3" w:rsidRDefault="007341F3" w:rsidP="007341F3">
      <w:pPr>
        <w:pStyle w:val="SingleTxtG"/>
      </w:pPr>
      <w:r>
        <w:t>2</w:t>
      </w:r>
      <w:r w:rsidR="001B075D">
        <w:t>7</w:t>
      </w:r>
      <w:r>
        <w:t>.</w:t>
      </w:r>
      <w:r>
        <w:tab/>
        <w:t>In addition to mobiliz</w:t>
      </w:r>
      <w:r w:rsidR="00415CC7">
        <w:t xml:space="preserve">ing </w:t>
      </w:r>
      <w:r>
        <w:t>further contributions to the trust fund, including to cover an additional staff post in the secretariat, Parties should be encouraged to:</w:t>
      </w:r>
    </w:p>
    <w:p w14:paraId="3889850A" w14:textId="1082ACA1" w:rsidR="007341F3" w:rsidRDefault="007341F3" w:rsidP="007341F3">
      <w:pPr>
        <w:pStyle w:val="SingleTxtG"/>
      </w:pPr>
      <w:r>
        <w:tab/>
      </w:r>
      <w:r>
        <w:tab/>
        <w:t>(a)</w:t>
      </w:r>
      <w:r>
        <w:tab/>
        <w:t>Sponsor a Junior Professional Officer</w:t>
      </w:r>
      <w:r w:rsidR="00BE7FE6">
        <w:t xml:space="preserve"> (JPO)</w:t>
      </w:r>
      <w:r>
        <w:t xml:space="preserve"> to support the secretariat; </w:t>
      </w:r>
    </w:p>
    <w:p w14:paraId="757D7E64" w14:textId="60DB5C78" w:rsidR="007341F3" w:rsidRDefault="007341F3" w:rsidP="007341F3">
      <w:pPr>
        <w:pStyle w:val="SingleTxtG"/>
      </w:pPr>
      <w:r>
        <w:tab/>
      </w:r>
      <w:r>
        <w:tab/>
        <w:t>(b)</w:t>
      </w:r>
      <w:r>
        <w:tab/>
        <w:t xml:space="preserve">Provide in-kind contributions for the implementation of workplan activities.  </w:t>
      </w:r>
    </w:p>
    <w:p w14:paraId="6FAEE03E" w14:textId="7F108244" w:rsidR="00673723" w:rsidRDefault="00BE7FE6" w:rsidP="007341F3">
      <w:pPr>
        <w:pStyle w:val="SingleTxtG"/>
        <w:ind w:hanging="567"/>
        <w:rPr>
          <w:b/>
          <w:bCs/>
          <w:sz w:val="28"/>
          <w:szCs w:val="28"/>
          <w:lang w:eastAsia="en-US"/>
        </w:rPr>
      </w:pPr>
      <w:r>
        <w:rPr>
          <w:b/>
          <w:bCs/>
          <w:sz w:val="28"/>
          <w:szCs w:val="28"/>
          <w:lang w:eastAsia="en-US"/>
        </w:rPr>
        <w:tab/>
      </w:r>
      <w:r>
        <w:t>2</w:t>
      </w:r>
      <w:r w:rsidR="001B075D">
        <w:t>8</w:t>
      </w:r>
      <w:r>
        <w:t>.</w:t>
      </w:r>
      <w:r>
        <w:tab/>
        <w:t>The Bureau reiterated that the Junior Professional Officers Programme</w:t>
      </w:r>
      <w:r w:rsidR="00E05550">
        <w:rPr>
          <w:rStyle w:val="FootnoteReference"/>
        </w:rPr>
        <w:footnoteReference w:id="9"/>
      </w:r>
      <w:r>
        <w:t xml:space="preserve"> represented an opportunity for mobilizing additional secretariat resources from some donors (for 1 up to </w:t>
      </w:r>
      <w:r w:rsidR="009A75AA">
        <w:t>three</w:t>
      </w:r>
      <w:r>
        <w:t xml:space="preserve"> years, depending on the donor country), and should continue to be encouraged. However, while JPOs </w:t>
      </w:r>
      <w:r w:rsidR="00B412A6">
        <w:t>were</w:t>
      </w:r>
      <w:r>
        <w:t xml:space="preserve"> a welcome opportunity to strengthen the secretariat, the Programme was not intended to address resources gaps in the secretariat. The missing resources to support the core functions of the secretariat could not be filled through a succession of JPOs</w:t>
      </w:r>
    </w:p>
    <w:p w14:paraId="73C37792" w14:textId="09978BC1" w:rsidR="000A35EC" w:rsidRPr="009763F2" w:rsidRDefault="001D7C8B" w:rsidP="001D7C8B">
      <w:pPr>
        <w:pStyle w:val="HChG"/>
        <w:rPr>
          <w:szCs w:val="28"/>
        </w:rPr>
      </w:pPr>
      <w:r w:rsidRPr="009763F2">
        <w:rPr>
          <w:lang w:eastAsia="en-US"/>
        </w:rPr>
        <w:tab/>
      </w:r>
      <w:r w:rsidR="000A35EC" w:rsidRPr="009763F2">
        <w:rPr>
          <w:lang w:eastAsia="en-US"/>
        </w:rPr>
        <w:t>I</w:t>
      </w:r>
      <w:r w:rsidR="007341F3" w:rsidRPr="009763F2">
        <w:rPr>
          <w:szCs w:val="28"/>
          <w:lang w:eastAsia="en-US"/>
        </w:rPr>
        <w:t>V</w:t>
      </w:r>
      <w:r w:rsidR="000A35EC" w:rsidRPr="009763F2">
        <w:rPr>
          <w:szCs w:val="28"/>
          <w:lang w:eastAsia="en-US"/>
        </w:rPr>
        <w:t>.</w:t>
      </w:r>
      <w:r w:rsidR="000A35EC" w:rsidRPr="009763F2">
        <w:rPr>
          <w:szCs w:val="28"/>
          <w:lang w:eastAsia="en-US"/>
        </w:rPr>
        <w:tab/>
        <w:t xml:space="preserve">The </w:t>
      </w:r>
      <w:r w:rsidR="007341F3" w:rsidRPr="009763F2">
        <w:rPr>
          <w:szCs w:val="28"/>
          <w:lang w:eastAsia="en-US"/>
        </w:rPr>
        <w:t xml:space="preserve">implications of the lack of </w:t>
      </w:r>
      <w:r w:rsidR="001B550D" w:rsidRPr="009763F2">
        <w:rPr>
          <w:szCs w:val="28"/>
          <w:lang w:eastAsia="en-US"/>
        </w:rPr>
        <w:t xml:space="preserve">additional </w:t>
      </w:r>
      <w:r w:rsidR="009E4BBF" w:rsidRPr="009763F2">
        <w:rPr>
          <w:szCs w:val="28"/>
          <w:lang w:eastAsia="en-US"/>
        </w:rPr>
        <w:t xml:space="preserve">resources </w:t>
      </w:r>
      <w:r w:rsidR="000A35EC" w:rsidRPr="009763F2">
        <w:rPr>
          <w:szCs w:val="28"/>
          <w:lang w:eastAsia="en-US"/>
        </w:rPr>
        <w:t xml:space="preserve"> </w:t>
      </w:r>
    </w:p>
    <w:p w14:paraId="437BFC43" w14:textId="524E41CE" w:rsidR="007F1F8D" w:rsidRDefault="007341F3" w:rsidP="00B0156D">
      <w:pPr>
        <w:pStyle w:val="SingleTxtG"/>
      </w:pPr>
      <w:r>
        <w:t>29</w:t>
      </w:r>
      <w:r w:rsidR="00C67327">
        <w:t>.</w:t>
      </w:r>
      <w:r w:rsidR="00C67327">
        <w:tab/>
      </w:r>
      <w:r w:rsidR="005E661C" w:rsidRPr="00F9681C">
        <w:t>The Bureau agreed that</w:t>
      </w:r>
      <w:r>
        <w:t xml:space="preserve"> if, due to other funding priorities</w:t>
      </w:r>
      <w:r w:rsidR="009E4BBF">
        <w:t xml:space="preserve">, </w:t>
      </w:r>
      <w:r>
        <w:t>the Parties to the Convention and its Protocol</w:t>
      </w:r>
      <w:r w:rsidR="009E4BBF">
        <w:t xml:space="preserve"> could not provide </w:t>
      </w:r>
      <w:r w:rsidR="00673723">
        <w:t xml:space="preserve">additional </w:t>
      </w:r>
      <w:r w:rsidR="00F14C18">
        <w:t xml:space="preserve">funding </w:t>
      </w:r>
      <w:r w:rsidR="00673723">
        <w:t>for the core secretariat functions</w:t>
      </w:r>
      <w:r w:rsidR="009E4BBF">
        <w:t>,</w:t>
      </w:r>
      <w:r w:rsidR="00673723">
        <w:t xml:space="preserve"> </w:t>
      </w:r>
      <w:r w:rsidR="005E661C" w:rsidRPr="00F9681C">
        <w:t>the</w:t>
      </w:r>
      <w:r w:rsidR="009E4BBF">
        <w:t xml:space="preserve"> workplans should be adjusted </w:t>
      </w:r>
      <w:r w:rsidR="00673723">
        <w:t xml:space="preserve">accordingly. The Parties should </w:t>
      </w:r>
      <w:r w:rsidR="00673723" w:rsidRPr="00673723">
        <w:t xml:space="preserve">streamline and reduce the workload and activities of the secretariat to align </w:t>
      </w:r>
      <w:r w:rsidR="00673723">
        <w:t>them</w:t>
      </w:r>
      <w:r w:rsidR="00AC756E">
        <w:t xml:space="preserve"> with</w:t>
      </w:r>
      <w:r w:rsidR="00673723" w:rsidRPr="00673723">
        <w:t xml:space="preserve"> </w:t>
      </w:r>
      <w:r w:rsidR="00AC756E">
        <w:t>its</w:t>
      </w:r>
      <w:r w:rsidR="00673723">
        <w:t xml:space="preserve"> limited </w:t>
      </w:r>
      <w:r w:rsidR="00673723" w:rsidRPr="00673723">
        <w:t>resources</w:t>
      </w:r>
      <w:r w:rsidR="009E4BBF">
        <w:t xml:space="preserve">, ensuring that </w:t>
      </w:r>
      <w:r w:rsidR="005E661C" w:rsidRPr="00F9681C">
        <w:t xml:space="preserve">the demand for activities and services from the secretariat matched the offer of funding. </w:t>
      </w:r>
    </w:p>
    <w:p w14:paraId="45342C45" w14:textId="7E2C647A" w:rsidR="00FC47A6" w:rsidRDefault="00FC47A6" w:rsidP="00C5782D">
      <w:pPr>
        <w:pStyle w:val="SingleTxtG"/>
      </w:pPr>
      <w:r>
        <w:lastRenderedPageBreak/>
        <w:t>30.</w:t>
      </w:r>
      <w:r>
        <w:tab/>
      </w:r>
      <w:r w:rsidR="00054D6F">
        <w:t>In absence of a staff increase, i.e. w</w:t>
      </w:r>
      <w:r>
        <w:t xml:space="preserve">ith </w:t>
      </w:r>
      <w:r w:rsidR="00DF5474">
        <w:t xml:space="preserve">only </w:t>
      </w:r>
      <w:r>
        <w:t xml:space="preserve">two professional staff members and </w:t>
      </w:r>
      <w:r w:rsidR="00DF5474">
        <w:t xml:space="preserve">a </w:t>
      </w:r>
      <w:r>
        <w:t>part time admin</w:t>
      </w:r>
      <w:r w:rsidR="00390584">
        <w:t>istrative</w:t>
      </w:r>
      <w:r>
        <w:t xml:space="preserve"> </w:t>
      </w:r>
      <w:r w:rsidR="00885976">
        <w:t>support</w:t>
      </w:r>
      <w:r>
        <w:t>, the secretariat c</w:t>
      </w:r>
      <w:r w:rsidR="001D45DA">
        <w:t>an</w:t>
      </w:r>
      <w:r w:rsidR="00885976">
        <w:t xml:space="preserve"> </w:t>
      </w:r>
      <w:r>
        <w:t>endeavour to maintain “minimum service</w:t>
      </w:r>
      <w:r w:rsidR="00390584">
        <w:t>s</w:t>
      </w:r>
      <w:r>
        <w:t xml:space="preserve">” </w:t>
      </w:r>
      <w:r w:rsidR="00C7507C">
        <w:t xml:space="preserve">as regards </w:t>
      </w:r>
      <w:r w:rsidR="00DF1A50">
        <w:t xml:space="preserve">the </w:t>
      </w:r>
      <w:r w:rsidR="004350A2">
        <w:t>organization of meetings</w:t>
      </w:r>
      <w:r w:rsidR="00415291">
        <w:t xml:space="preserve">, preparation of the documentation and the other </w:t>
      </w:r>
      <w:r>
        <w:t xml:space="preserve">management, coordination and visibility </w:t>
      </w:r>
      <w:r w:rsidR="00EB31B4">
        <w:t xml:space="preserve">related </w:t>
      </w:r>
      <w:r>
        <w:t>activities</w:t>
      </w:r>
      <w:r w:rsidR="00C90D3C">
        <w:t xml:space="preserve"> (</w:t>
      </w:r>
      <w:r w:rsidR="00CD2B74" w:rsidRPr="00CD2B74">
        <w:t xml:space="preserve">item I of the workplan </w:t>
      </w:r>
      <w:r w:rsidR="00C90D3C">
        <w:t>for 2021–2022),</w:t>
      </w:r>
      <w:r w:rsidR="00390584">
        <w:t xml:space="preserve"> </w:t>
      </w:r>
      <w:r>
        <w:t>a</w:t>
      </w:r>
      <w:r w:rsidR="00415291">
        <w:t>s well as</w:t>
      </w:r>
      <w:r>
        <w:t xml:space="preserve">, </w:t>
      </w:r>
      <w:r w:rsidR="00F902F4">
        <w:t xml:space="preserve">to support to the extent feasible </w:t>
      </w:r>
      <w:r w:rsidR="00DF5474">
        <w:t>the</w:t>
      </w:r>
      <w:r>
        <w:t xml:space="preserve"> review of compliance, reporting and the review of implementation</w:t>
      </w:r>
      <w:r w:rsidR="00CB728F">
        <w:t xml:space="preserve"> (item</w:t>
      </w:r>
      <w:r w:rsidR="006A4C30">
        <w:t>s</w:t>
      </w:r>
      <w:r w:rsidR="00CB728F">
        <w:t xml:space="preserve"> II</w:t>
      </w:r>
      <w:r w:rsidR="006A4C30">
        <w:t xml:space="preserve"> A and B of the workplan)</w:t>
      </w:r>
      <w:r>
        <w:t>.</w:t>
      </w:r>
      <w:r w:rsidR="00390584">
        <w:t xml:space="preserve"> </w:t>
      </w:r>
      <w:r w:rsidR="00885976">
        <w:t xml:space="preserve">However, </w:t>
      </w:r>
      <w:r w:rsidR="00372E6F">
        <w:t xml:space="preserve">preparation of the </w:t>
      </w:r>
      <w:r w:rsidR="00D15200">
        <w:t xml:space="preserve">meeting </w:t>
      </w:r>
      <w:r w:rsidR="00470CF4">
        <w:t>documentation</w:t>
      </w:r>
      <w:r w:rsidR="002C5159">
        <w:t xml:space="preserve"> and the</w:t>
      </w:r>
      <w:r w:rsidR="00470CF4">
        <w:t xml:space="preserve"> </w:t>
      </w:r>
      <w:r w:rsidR="00514377">
        <w:t xml:space="preserve">review of compliance </w:t>
      </w:r>
      <w:r w:rsidR="00390584">
        <w:t xml:space="preserve">process </w:t>
      </w:r>
      <w:r w:rsidR="00885976">
        <w:t xml:space="preserve">should be somewhat streamlined to </w:t>
      </w:r>
      <w:r w:rsidR="00390584">
        <w:t xml:space="preserve">reduce the secretariat’s </w:t>
      </w:r>
      <w:r w:rsidR="00885976">
        <w:t>input</w:t>
      </w:r>
      <w:r w:rsidR="00372E6F">
        <w:t>s</w:t>
      </w:r>
      <w:r w:rsidR="00390584">
        <w:t xml:space="preserve">. </w:t>
      </w:r>
      <w:r w:rsidR="00885976">
        <w:t xml:space="preserve">The secretariat would no longer be able to </w:t>
      </w:r>
      <w:r w:rsidR="00DF1A50">
        <w:t xml:space="preserve">implement nor </w:t>
      </w:r>
      <w:r w:rsidR="00DF5474">
        <w:t xml:space="preserve">to </w:t>
      </w:r>
      <w:r w:rsidR="00DF1A50">
        <w:t>contribute to several</w:t>
      </w:r>
      <w:r w:rsidR="00885976">
        <w:t xml:space="preserve"> other activities; including to organize thematic events for the </w:t>
      </w:r>
      <w:r w:rsidR="00390584">
        <w:t>exchange of good practices</w:t>
      </w:r>
      <w:r w:rsidR="00885976">
        <w:t xml:space="preserve"> during the meetings; </w:t>
      </w:r>
      <w:r w:rsidR="00DF1A50">
        <w:t xml:space="preserve">engage in strategic actions; </w:t>
      </w:r>
      <w:r w:rsidR="00885976">
        <w:t>support and coordinate regional cooperation; raise funding for</w:t>
      </w:r>
      <w:r w:rsidR="00717F8D">
        <w:t xml:space="preserve"> and </w:t>
      </w:r>
      <w:r w:rsidR="00885976">
        <w:t xml:space="preserve">administrate, facilitate and coordinate legislative assistance and capacity building activities; or undertake </w:t>
      </w:r>
      <w:r w:rsidR="00DF1A50">
        <w:t>outreach activities.</w:t>
      </w:r>
      <w:r w:rsidR="0026030A">
        <w:t xml:space="preserve"> </w:t>
      </w:r>
    </w:p>
    <w:p w14:paraId="60FCBA3B" w14:textId="77777777" w:rsidR="00A1589A" w:rsidRDefault="00DF1A50" w:rsidP="00B0156D">
      <w:pPr>
        <w:pStyle w:val="SingleTxtG"/>
      </w:pPr>
      <w:r>
        <w:t>31.</w:t>
      </w:r>
      <w:r>
        <w:tab/>
      </w:r>
      <w:r w:rsidR="00641647">
        <w:t xml:space="preserve">At </w:t>
      </w:r>
      <w:r w:rsidR="00F533DF">
        <w:t>it</w:t>
      </w:r>
      <w:r w:rsidR="00641647">
        <w:t xml:space="preserve">s next meeting </w:t>
      </w:r>
      <w:r w:rsidR="00F9702D">
        <w:t>(Geneva, 22</w:t>
      </w:r>
      <w:r w:rsidR="00F533DF">
        <w:t xml:space="preserve"> and 23 February 2023), t</w:t>
      </w:r>
      <w:r w:rsidR="00EF71BC">
        <w:t>he Bureau</w:t>
      </w:r>
      <w:r w:rsidR="001B319F">
        <w:t xml:space="preserve">, with </w:t>
      </w:r>
      <w:r w:rsidR="00F533DF">
        <w:t xml:space="preserve">the </w:t>
      </w:r>
      <w:r w:rsidR="001B319F">
        <w:t xml:space="preserve">support of the secretariat, </w:t>
      </w:r>
      <w:r>
        <w:t xml:space="preserve">can be invited to </w:t>
      </w:r>
      <w:r w:rsidR="00641647">
        <w:t xml:space="preserve">prepare </w:t>
      </w:r>
      <w:bookmarkStart w:id="7" w:name="_Hlk118725836"/>
      <w:r w:rsidR="00EA4CCE">
        <w:t xml:space="preserve">a </w:t>
      </w:r>
      <w:r w:rsidR="005E661C" w:rsidRPr="00F9681C">
        <w:t>draft workplan for the next period (2024–2026)</w:t>
      </w:r>
      <w:r w:rsidR="00641647">
        <w:t xml:space="preserve"> for </w:t>
      </w:r>
      <w:r w:rsidR="009276CE">
        <w:t xml:space="preserve">agreement </w:t>
      </w:r>
      <w:r w:rsidR="00650752">
        <w:t xml:space="preserve">of the Working Group at its twelfth meeting (Geneva, </w:t>
      </w:r>
      <w:r w:rsidR="0016277C">
        <w:t>13–15 June 2023)</w:t>
      </w:r>
      <w:r w:rsidR="003903D5">
        <w:t>,</w:t>
      </w:r>
      <w:r w:rsidR="009276CE">
        <w:t xml:space="preserve"> </w:t>
      </w:r>
      <w:bookmarkEnd w:id="7"/>
      <w:r w:rsidR="009276CE">
        <w:t xml:space="preserve">taking into account </w:t>
      </w:r>
      <w:r w:rsidR="00DD1264">
        <w:t xml:space="preserve">the </w:t>
      </w:r>
      <w:r w:rsidR="00725ADA">
        <w:t xml:space="preserve">proposals </w:t>
      </w:r>
      <w:r w:rsidR="00DD1264">
        <w:t xml:space="preserve">to be </w:t>
      </w:r>
      <w:r w:rsidR="00725ADA">
        <w:t xml:space="preserve">put forward </w:t>
      </w:r>
      <w:r w:rsidR="007F311B">
        <w:t xml:space="preserve">by </w:t>
      </w:r>
      <w:r w:rsidR="0036588F">
        <w:t xml:space="preserve">the Working Group at its present meeting. </w:t>
      </w:r>
    </w:p>
    <w:p w14:paraId="2FA02E22" w14:textId="67844007" w:rsidR="0076035C" w:rsidRDefault="00A1589A" w:rsidP="00B0156D">
      <w:pPr>
        <w:pStyle w:val="SingleTxtG"/>
      </w:pPr>
      <w:r>
        <w:t>32.</w:t>
      </w:r>
      <w:r>
        <w:tab/>
        <w:t>T</w:t>
      </w:r>
      <w:r w:rsidR="00C34FCD">
        <w:t xml:space="preserve">he </w:t>
      </w:r>
      <w:r w:rsidR="009A6EE6">
        <w:t xml:space="preserve">secretariat, the </w:t>
      </w:r>
      <w:r w:rsidR="000F0732">
        <w:t>Bureau</w:t>
      </w:r>
      <w:r w:rsidR="004E6EF2">
        <w:t>,</w:t>
      </w:r>
      <w:r w:rsidR="000F0732">
        <w:t xml:space="preserve"> and</w:t>
      </w:r>
      <w:r w:rsidR="00FC1223">
        <w:t>,</w:t>
      </w:r>
      <w:r w:rsidR="000F0732">
        <w:t xml:space="preserve"> </w:t>
      </w:r>
      <w:r w:rsidR="004E6EF2">
        <w:t>later</w:t>
      </w:r>
      <w:r w:rsidR="00FC1223">
        <w:t>,</w:t>
      </w:r>
      <w:r w:rsidR="004E6EF2">
        <w:t xml:space="preserve"> </w:t>
      </w:r>
      <w:r w:rsidR="000F0732">
        <w:t>the Working Group</w:t>
      </w:r>
      <w:r w:rsidR="00FC1223">
        <w:t>,</w:t>
      </w:r>
      <w:r w:rsidR="000F0732">
        <w:t xml:space="preserve"> </w:t>
      </w:r>
      <w:r w:rsidR="00DE570E">
        <w:t>w</w:t>
      </w:r>
      <w:r w:rsidR="00571106">
        <w:t xml:space="preserve">ill </w:t>
      </w:r>
      <w:r w:rsidR="00DE570E">
        <w:t xml:space="preserve">be able to </w:t>
      </w:r>
      <w:r w:rsidR="000C71A8">
        <w:t>pr</w:t>
      </w:r>
      <w:r w:rsidR="008B3B83">
        <w:t xml:space="preserve">opose </w:t>
      </w:r>
      <w:r w:rsidR="00A905BB">
        <w:t xml:space="preserve">and budget </w:t>
      </w:r>
      <w:r>
        <w:t xml:space="preserve">workplan </w:t>
      </w:r>
      <w:r w:rsidR="008B3B83">
        <w:t xml:space="preserve">activities that </w:t>
      </w:r>
      <w:r w:rsidR="000C71A8">
        <w:t>a</w:t>
      </w:r>
      <w:r w:rsidR="00441600">
        <w:t>re</w:t>
      </w:r>
      <w:r w:rsidR="000C71A8">
        <w:t xml:space="preserve"> </w:t>
      </w:r>
      <w:r w:rsidR="00CB533F">
        <w:t>realistic</w:t>
      </w:r>
      <w:r w:rsidR="00441600">
        <w:t>ally implementable</w:t>
      </w:r>
      <w:r w:rsidR="002F7B72">
        <w:t xml:space="preserve"> and affordable</w:t>
      </w:r>
      <w:r w:rsidR="00441600">
        <w:t xml:space="preserve">, </w:t>
      </w:r>
      <w:r w:rsidR="00B35AFD">
        <w:t xml:space="preserve">only if </w:t>
      </w:r>
      <w:r w:rsidR="002C3AC1">
        <w:t xml:space="preserve">the </w:t>
      </w:r>
      <w:r w:rsidR="00716EB0">
        <w:t>amount of funding</w:t>
      </w:r>
      <w:r w:rsidR="00336CD8">
        <w:t xml:space="preserve"> </w:t>
      </w:r>
      <w:r w:rsidR="00BC012F">
        <w:t xml:space="preserve">to be provided </w:t>
      </w:r>
      <w:r w:rsidR="007F6B66">
        <w:t xml:space="preserve">by </w:t>
      </w:r>
      <w:r w:rsidR="00336CD8">
        <w:t xml:space="preserve">Parties </w:t>
      </w:r>
      <w:r w:rsidR="00BC012F">
        <w:t xml:space="preserve">for </w:t>
      </w:r>
      <w:r w:rsidR="00B0156D">
        <w:t>the next period</w:t>
      </w:r>
      <w:r w:rsidR="00E33419">
        <w:t xml:space="preserve"> is known </w:t>
      </w:r>
      <w:r w:rsidR="00FC1223">
        <w:t xml:space="preserve">to them </w:t>
      </w:r>
      <w:r w:rsidR="009D6C20">
        <w:t xml:space="preserve">as early and as accurately as possible. </w:t>
      </w:r>
      <w:r w:rsidR="009A6EE6">
        <w:t>Consequently, t</w:t>
      </w:r>
      <w:r w:rsidR="00BC012F">
        <w:t>he Bureau</w:t>
      </w:r>
      <w:r w:rsidR="005965C0">
        <w:t xml:space="preserve"> emphasized that </w:t>
      </w:r>
      <w:r w:rsidR="00F8361B">
        <w:t>Parties should be invited to</w:t>
      </w:r>
      <w:r w:rsidR="0076067A">
        <w:t xml:space="preserve"> provide information on their pledges </w:t>
      </w:r>
      <w:r w:rsidR="00DF13DC">
        <w:t>in advance of the n</w:t>
      </w:r>
      <w:r w:rsidR="005E661C" w:rsidRPr="00F9681C">
        <w:t>ext meeting</w:t>
      </w:r>
      <w:r w:rsidR="00DF13DC">
        <w:t xml:space="preserve"> of the Bureau</w:t>
      </w:r>
      <w:r w:rsidR="005E661C" w:rsidRPr="00F9681C">
        <w:t xml:space="preserve">, </w:t>
      </w:r>
      <w:r w:rsidR="002B0B6A">
        <w:t xml:space="preserve">by early February, </w:t>
      </w:r>
      <w:r w:rsidR="005E661C" w:rsidRPr="00F9681C">
        <w:t xml:space="preserve">and, latest, </w:t>
      </w:r>
      <w:r w:rsidR="0030655C">
        <w:t>in advance of t</w:t>
      </w:r>
      <w:r w:rsidR="005E661C" w:rsidRPr="00F9681C">
        <w:t xml:space="preserve">he twelfth meeting of the Working Group, </w:t>
      </w:r>
      <w:r w:rsidR="00DF13DC">
        <w:t>(Geneva, 1</w:t>
      </w:r>
      <w:r w:rsidR="005E661C" w:rsidRPr="00F9681C">
        <w:t>3–15 June 2023</w:t>
      </w:r>
      <w:r w:rsidR="00DF13DC">
        <w:t>)</w:t>
      </w:r>
      <w:r w:rsidR="00871CBE">
        <w:t>.</w:t>
      </w:r>
    </w:p>
    <w:p w14:paraId="1878FF8E" w14:textId="74F0A27B" w:rsidR="0024421C" w:rsidRDefault="0024421C" w:rsidP="0024421C">
      <w:pPr>
        <w:spacing w:before="240"/>
        <w:jc w:val="center"/>
        <w:rPr>
          <w:u w:val="single"/>
        </w:rPr>
      </w:pPr>
      <w:r>
        <w:rPr>
          <w:u w:val="single"/>
        </w:rPr>
        <w:tab/>
      </w:r>
      <w:r>
        <w:rPr>
          <w:u w:val="single"/>
        </w:rPr>
        <w:tab/>
      </w:r>
      <w:r>
        <w:rPr>
          <w:u w:val="single"/>
        </w:rPr>
        <w:tab/>
      </w:r>
    </w:p>
    <w:p w14:paraId="62A06C20" w14:textId="77777777" w:rsidR="000974E3" w:rsidRDefault="000974E3" w:rsidP="0024421C">
      <w:pPr>
        <w:spacing w:before="240"/>
        <w:jc w:val="center"/>
        <w:rPr>
          <w:u w:val="single"/>
        </w:rPr>
      </w:pPr>
    </w:p>
    <w:p w14:paraId="24153A19" w14:textId="77777777" w:rsidR="008E78EF" w:rsidRPr="0024421C" w:rsidRDefault="008E78EF" w:rsidP="000974E3">
      <w:pPr>
        <w:spacing w:before="240"/>
        <w:rPr>
          <w:u w:val="single"/>
        </w:rPr>
      </w:pPr>
    </w:p>
    <w:sectPr w:rsidR="008E78EF" w:rsidRPr="0024421C" w:rsidSect="0036512B">
      <w:headerReference w:type="even" r:id="rId11"/>
      <w:headerReference w:type="default" r:id="rId12"/>
      <w:footerReference w:type="defaul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FBB2" w14:textId="77777777" w:rsidR="00271CDB" w:rsidRDefault="00271CDB"/>
  </w:endnote>
  <w:endnote w:type="continuationSeparator" w:id="0">
    <w:p w14:paraId="63D0B6BD" w14:textId="77777777" w:rsidR="00271CDB" w:rsidRDefault="00271CDB"/>
  </w:endnote>
  <w:endnote w:type="continuationNotice" w:id="1">
    <w:p w14:paraId="596EAD68" w14:textId="77777777" w:rsidR="00271CDB" w:rsidRDefault="00271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029161"/>
      <w:docPartObj>
        <w:docPartGallery w:val="Page Numbers (Bottom of Page)"/>
        <w:docPartUnique/>
      </w:docPartObj>
    </w:sdtPr>
    <w:sdtEndPr>
      <w:rPr>
        <w:noProof/>
      </w:rPr>
    </w:sdtEndPr>
    <w:sdtContent>
      <w:p w14:paraId="2EB18F59" w14:textId="47686405" w:rsidR="00662C08" w:rsidRDefault="00662C08" w:rsidP="00D712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CFEF" w14:textId="77777777" w:rsidR="00271CDB" w:rsidRPr="000B175B" w:rsidRDefault="00271CDB" w:rsidP="000B175B">
      <w:pPr>
        <w:tabs>
          <w:tab w:val="right" w:pos="2155"/>
        </w:tabs>
        <w:spacing w:after="80"/>
        <w:ind w:left="680"/>
        <w:rPr>
          <w:u w:val="single"/>
        </w:rPr>
      </w:pPr>
      <w:r>
        <w:rPr>
          <w:u w:val="single"/>
        </w:rPr>
        <w:tab/>
      </w:r>
    </w:p>
  </w:footnote>
  <w:footnote w:type="continuationSeparator" w:id="0">
    <w:p w14:paraId="2F755F7F" w14:textId="77777777" w:rsidR="00271CDB" w:rsidRPr="00FC68B7" w:rsidRDefault="00271CDB" w:rsidP="00FC68B7">
      <w:pPr>
        <w:tabs>
          <w:tab w:val="left" w:pos="2155"/>
        </w:tabs>
        <w:spacing w:after="80"/>
        <w:ind w:left="680"/>
        <w:rPr>
          <w:u w:val="single"/>
        </w:rPr>
      </w:pPr>
      <w:r>
        <w:rPr>
          <w:u w:val="single"/>
        </w:rPr>
        <w:tab/>
      </w:r>
    </w:p>
  </w:footnote>
  <w:footnote w:type="continuationNotice" w:id="1">
    <w:p w14:paraId="7B160C65" w14:textId="77777777" w:rsidR="00271CDB" w:rsidRDefault="00271CDB"/>
  </w:footnote>
  <w:footnote w:id="2">
    <w:p w14:paraId="61F815FB" w14:textId="136C67B3" w:rsidR="009F2129" w:rsidRPr="00033E15" w:rsidRDefault="009F2129">
      <w:pPr>
        <w:pStyle w:val="FootnoteText"/>
        <w:rPr>
          <w:lang w:val="es-ES"/>
        </w:rPr>
      </w:pPr>
      <w:r>
        <w:tab/>
      </w:r>
      <w:r>
        <w:rPr>
          <w:rStyle w:val="FootnoteReference"/>
        </w:rPr>
        <w:footnoteRef/>
      </w:r>
      <w:r w:rsidRPr="00033E15">
        <w:rPr>
          <w:lang w:val="es-ES"/>
        </w:rPr>
        <w:t xml:space="preserve"> </w:t>
      </w:r>
      <w:r w:rsidR="00310F2F" w:rsidRPr="00033E15">
        <w:rPr>
          <w:lang w:val="es-ES"/>
        </w:rPr>
        <w:t xml:space="preserve"> </w:t>
      </w:r>
      <w:r w:rsidR="00310F2F" w:rsidRPr="00033E15">
        <w:rPr>
          <w:lang w:val="es-ES"/>
        </w:rPr>
        <w:tab/>
      </w:r>
      <w:proofErr w:type="spellStart"/>
      <w:r w:rsidR="00310F2F" w:rsidRPr="00033E15">
        <w:rPr>
          <w:lang w:val="es-ES"/>
        </w:rPr>
        <w:t>See</w:t>
      </w:r>
      <w:proofErr w:type="spellEnd"/>
      <w:r w:rsidR="00310F2F" w:rsidRPr="00033E15">
        <w:rPr>
          <w:lang w:val="es-ES"/>
        </w:rPr>
        <w:t xml:space="preserve"> ECE/MP.EIA</w:t>
      </w:r>
      <w:r w:rsidR="00033E15" w:rsidRPr="00033E15">
        <w:rPr>
          <w:lang w:val="es-ES"/>
        </w:rPr>
        <w:t>/30/Add.1–ECE/MP.EIA/SEA/</w:t>
      </w:r>
      <w:r w:rsidR="00033E15">
        <w:rPr>
          <w:lang w:val="es-ES"/>
        </w:rPr>
        <w:t xml:space="preserve">13/Add.1, </w:t>
      </w:r>
      <w:proofErr w:type="spellStart"/>
      <w:r w:rsidR="00033E15">
        <w:rPr>
          <w:lang w:val="es-ES"/>
        </w:rPr>
        <w:t>d</w:t>
      </w:r>
      <w:r w:rsidR="00310F2F" w:rsidRPr="00033E15">
        <w:rPr>
          <w:lang w:val="es-ES"/>
        </w:rPr>
        <w:t>ecis</w:t>
      </w:r>
      <w:r w:rsidR="00033E15">
        <w:rPr>
          <w:lang w:val="es-ES"/>
        </w:rPr>
        <w:t>ion</w:t>
      </w:r>
      <w:proofErr w:type="spellEnd"/>
      <w:r w:rsidR="00310F2F" w:rsidRPr="00033E15">
        <w:rPr>
          <w:lang w:val="es-ES"/>
        </w:rPr>
        <w:t xml:space="preserve"> VIII/1–IV/1, para. 1</w:t>
      </w:r>
      <w:r w:rsidR="00F23070">
        <w:rPr>
          <w:lang w:val="es-ES"/>
        </w:rPr>
        <w:t>3.</w:t>
      </w:r>
    </w:p>
  </w:footnote>
  <w:footnote w:id="3">
    <w:p w14:paraId="2A87178C" w14:textId="2C42884D" w:rsidR="0001096B" w:rsidRPr="00880C11" w:rsidRDefault="0001096B" w:rsidP="0001096B">
      <w:pPr>
        <w:pStyle w:val="FootnoteText"/>
        <w:rPr>
          <w:lang w:val="es-ES"/>
        </w:rPr>
      </w:pPr>
      <w:r w:rsidRPr="00033E15">
        <w:rPr>
          <w:lang w:val="es-ES"/>
        </w:rPr>
        <w:tab/>
      </w:r>
      <w:r>
        <w:rPr>
          <w:rStyle w:val="FootnoteReference"/>
        </w:rPr>
        <w:footnoteRef/>
      </w:r>
      <w:r w:rsidRPr="00880C11">
        <w:rPr>
          <w:lang w:val="es-ES"/>
        </w:rPr>
        <w:tab/>
      </w:r>
      <w:proofErr w:type="spellStart"/>
      <w:r w:rsidRPr="00880C11">
        <w:rPr>
          <w:lang w:val="es-ES"/>
        </w:rPr>
        <w:t>Decision</w:t>
      </w:r>
      <w:proofErr w:type="spellEnd"/>
      <w:r w:rsidRPr="00880C11">
        <w:rPr>
          <w:lang w:val="es-ES"/>
        </w:rPr>
        <w:t xml:space="preserve"> </w:t>
      </w:r>
      <w:bookmarkStart w:id="1" w:name="_Hlk118463224"/>
      <w:r w:rsidRPr="00880C11">
        <w:rPr>
          <w:lang w:val="es-ES"/>
        </w:rPr>
        <w:t>VIII/1–IV/1, para. 1</w:t>
      </w:r>
      <w:bookmarkEnd w:id="1"/>
      <w:r w:rsidRPr="00880C11">
        <w:rPr>
          <w:lang w:val="es-ES"/>
        </w:rPr>
        <w:t>.</w:t>
      </w:r>
    </w:p>
  </w:footnote>
  <w:footnote w:id="4">
    <w:p w14:paraId="3F0EB1AA" w14:textId="6AE20AF5" w:rsidR="00EE4614" w:rsidRPr="00CC235E" w:rsidRDefault="00EE4614">
      <w:pPr>
        <w:pStyle w:val="FootnoteText"/>
        <w:rPr>
          <w:lang w:val="es-ES"/>
        </w:rPr>
      </w:pPr>
      <w:r w:rsidRPr="00880C11">
        <w:rPr>
          <w:lang w:val="es-ES"/>
        </w:rPr>
        <w:tab/>
      </w:r>
      <w:r>
        <w:rPr>
          <w:rStyle w:val="FootnoteReference"/>
        </w:rPr>
        <w:footnoteRef/>
      </w:r>
      <w:r w:rsidRPr="00880C11">
        <w:rPr>
          <w:lang w:val="es-ES"/>
        </w:rPr>
        <w:t xml:space="preserve"> </w:t>
      </w:r>
      <w:r w:rsidR="001878C2" w:rsidRPr="00880C11">
        <w:rPr>
          <w:lang w:val="es-ES"/>
        </w:rPr>
        <w:tab/>
      </w:r>
      <w:r w:rsidRPr="00880C11">
        <w:rPr>
          <w:lang w:val="es-ES"/>
        </w:rPr>
        <w:t>ECE/MP.EIA/WG.2/2021/2, para</w:t>
      </w:r>
      <w:r w:rsidR="001878C2" w:rsidRPr="00880C11">
        <w:rPr>
          <w:lang w:val="es-ES"/>
        </w:rPr>
        <w:t>s</w:t>
      </w:r>
      <w:r w:rsidRPr="00880C11">
        <w:rPr>
          <w:lang w:val="es-ES"/>
        </w:rPr>
        <w:t>.</w:t>
      </w:r>
      <w:r w:rsidR="001878C2" w:rsidRPr="00880C11">
        <w:rPr>
          <w:lang w:val="es-ES"/>
        </w:rPr>
        <w:t xml:space="preserve"> </w:t>
      </w:r>
      <w:r w:rsidR="001878C2" w:rsidRPr="00CC235E">
        <w:rPr>
          <w:lang w:val="es-ES"/>
        </w:rPr>
        <w:t>52 and 53.</w:t>
      </w:r>
      <w:r w:rsidRPr="00CC235E">
        <w:rPr>
          <w:lang w:val="es-ES"/>
        </w:rPr>
        <w:t xml:space="preserve"> </w:t>
      </w:r>
    </w:p>
  </w:footnote>
  <w:footnote w:id="5">
    <w:p w14:paraId="5EC266EB" w14:textId="67D4F512" w:rsidR="006D3699" w:rsidRPr="00CC235E" w:rsidRDefault="006D3699">
      <w:pPr>
        <w:pStyle w:val="FootnoteText"/>
      </w:pPr>
      <w:r w:rsidRPr="00CC235E">
        <w:rPr>
          <w:lang w:val="es-ES"/>
        </w:rPr>
        <w:tab/>
      </w:r>
      <w:r w:rsidR="000A57EC" w:rsidRPr="00CC235E">
        <w:rPr>
          <w:lang w:val="es-ES"/>
        </w:rPr>
        <w:tab/>
      </w:r>
      <w:r>
        <w:rPr>
          <w:rStyle w:val="FootnoteReference"/>
        </w:rPr>
        <w:footnoteRef/>
      </w:r>
      <w:r w:rsidRPr="000A57EC">
        <w:rPr>
          <w:lang w:val="es-ES"/>
        </w:rPr>
        <w:t xml:space="preserve"> </w:t>
      </w:r>
      <w:proofErr w:type="spellStart"/>
      <w:r w:rsidR="000A57EC" w:rsidRPr="000A57EC">
        <w:rPr>
          <w:lang w:val="es-ES"/>
        </w:rPr>
        <w:t>See</w:t>
      </w:r>
      <w:proofErr w:type="spellEnd"/>
      <w:r w:rsidR="000A57EC" w:rsidRPr="000A57EC">
        <w:rPr>
          <w:lang w:val="es-ES"/>
        </w:rPr>
        <w:t xml:space="preserve"> ECE/MP.EIA/30/Add.1–ECE/MP.EIA/SEA/13/Add.1, </w:t>
      </w:r>
      <w:bookmarkStart w:id="5" w:name="_Hlk118468839"/>
      <w:proofErr w:type="spellStart"/>
      <w:r w:rsidR="000A57EC" w:rsidRPr="000A57EC">
        <w:rPr>
          <w:lang w:val="es-ES"/>
        </w:rPr>
        <w:t>decision</w:t>
      </w:r>
      <w:proofErr w:type="spellEnd"/>
      <w:r w:rsidR="000A57EC" w:rsidRPr="000A57EC">
        <w:rPr>
          <w:lang w:val="es-ES"/>
        </w:rPr>
        <w:t xml:space="preserve"> VIII/1–IV/1</w:t>
      </w:r>
      <w:bookmarkEnd w:id="5"/>
      <w:r w:rsidR="000A57EC" w:rsidRPr="000A57EC">
        <w:rPr>
          <w:lang w:val="es-ES"/>
        </w:rPr>
        <w:t xml:space="preserve">, para. </w:t>
      </w:r>
      <w:r w:rsidR="000021A5" w:rsidRPr="00CC235E">
        <w:t>8 and decision VIII/2–IV/2</w:t>
      </w:r>
      <w:r w:rsidR="00CF6CB9" w:rsidRPr="00CC235E">
        <w:t>, annex II.</w:t>
      </w:r>
    </w:p>
  </w:footnote>
  <w:footnote w:id="6">
    <w:p w14:paraId="5DC3136B" w14:textId="77777777" w:rsidR="005E661C" w:rsidRPr="00936222" w:rsidRDefault="005E661C" w:rsidP="005E661C">
      <w:pPr>
        <w:pStyle w:val="FootnoteText"/>
      </w:pPr>
      <w:r w:rsidRPr="00CC235E">
        <w:tab/>
      </w:r>
      <w:r>
        <w:rPr>
          <w:rStyle w:val="FootnoteReference"/>
        </w:rPr>
        <w:footnoteRef/>
      </w:r>
      <w:r>
        <w:t xml:space="preserve"> </w:t>
      </w:r>
      <w:r>
        <w:tab/>
      </w:r>
      <w:r w:rsidRPr="00936222">
        <w:t>Except for the EMEP Protocol to the Convention on the Long-range Transboundary Air Pollution</w:t>
      </w:r>
      <w:r>
        <w:t xml:space="preserve"> that provides for a mandatory funding scheme based on the adjusted UN scale of assessment. </w:t>
      </w:r>
    </w:p>
  </w:footnote>
  <w:footnote w:id="7">
    <w:p w14:paraId="4C528742" w14:textId="08015E0B" w:rsidR="00DF049A" w:rsidRPr="00DF049A" w:rsidRDefault="00DF049A">
      <w:pPr>
        <w:pStyle w:val="FootnoteText"/>
      </w:pPr>
      <w:r>
        <w:tab/>
      </w:r>
      <w:r>
        <w:rPr>
          <w:rStyle w:val="FootnoteReference"/>
        </w:rPr>
        <w:footnoteRef/>
      </w:r>
      <w:r>
        <w:t xml:space="preserve">  </w:t>
      </w:r>
      <w:r>
        <w:tab/>
        <w:t xml:space="preserve">See work area I on management, coordination and visibility of intersessional activities, </w:t>
      </w:r>
      <w:r w:rsidR="00FC47A6">
        <w:t xml:space="preserve">as well as items II.A and B, </w:t>
      </w:r>
      <w:r>
        <w:t>in the workplan for 2021–2023, decision VIII/2–IV/2, ECE/MP.EIA/30/Add.1.–</w:t>
      </w:r>
      <w:r w:rsidR="00FC47A6">
        <w:t>ECE/MP.EIA/SEA/13/Add.1, annex I.</w:t>
      </w:r>
    </w:p>
  </w:footnote>
  <w:footnote w:id="8">
    <w:p w14:paraId="5A35F306" w14:textId="122CC8E7" w:rsidR="001A3F5A" w:rsidRPr="001A1682" w:rsidRDefault="001A3F5A">
      <w:pPr>
        <w:pStyle w:val="FootnoteText"/>
      </w:pPr>
      <w:r>
        <w:tab/>
      </w:r>
      <w:r>
        <w:rPr>
          <w:rStyle w:val="FootnoteReference"/>
        </w:rPr>
        <w:footnoteRef/>
      </w:r>
      <w:r>
        <w:t xml:space="preserve">  </w:t>
      </w:r>
      <w:r w:rsidR="001A1682">
        <w:tab/>
      </w:r>
      <w:r>
        <w:t xml:space="preserve"> </w:t>
      </w:r>
      <w:r w:rsidR="001A1682">
        <w:t>For the resource requirements for one professional post at a P-3 level and one administrative/”General service” post at a part time (50%) basis, please see annex II to the workplan for 2021–2023, decision VIII/2–IV/2.</w:t>
      </w:r>
    </w:p>
  </w:footnote>
  <w:footnote w:id="9">
    <w:p w14:paraId="4D7FCB06" w14:textId="7BAFD96E" w:rsidR="00E05550" w:rsidRPr="009A75AA" w:rsidRDefault="00E05550">
      <w:pPr>
        <w:pStyle w:val="FootnoteText"/>
      </w:pPr>
      <w:r>
        <w:tab/>
      </w:r>
      <w:r>
        <w:rPr>
          <w:rStyle w:val="FootnoteReference"/>
        </w:rPr>
        <w:footnoteRef/>
      </w:r>
      <w:r w:rsidR="009A75AA">
        <w:tab/>
      </w:r>
      <w:r w:rsidR="009A75AA" w:rsidRPr="009A75AA">
        <w:t>https://www.un.org/development/desa/jpo/about/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9B1" w14:textId="669365D7" w:rsidR="00DA6D43" w:rsidRPr="0024421C" w:rsidRDefault="00DA6D43" w:rsidP="00DA6D43">
    <w:pPr>
      <w:pStyle w:val="Header"/>
    </w:pPr>
    <w:r>
      <w:t>ECE/MP.EIA/WG.2/2022/IN</w:t>
    </w:r>
    <w:r w:rsidR="00B772AE">
      <w:t>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F450" w14:textId="757AF97C" w:rsidR="00017543" w:rsidRPr="00662C08" w:rsidRDefault="00662C08" w:rsidP="00EA16FC">
    <w:pPr>
      <w:pStyle w:val="Header"/>
      <w:rPr>
        <w:lang w:val="fr-CH"/>
      </w:rPr>
    </w:pPr>
    <w:r>
      <w:rPr>
        <w:lang w:val="fr-CH"/>
      </w:rPr>
      <w:t>ECE/MP.EIA/WG.2/2022/INF</w:t>
    </w:r>
    <w:r w:rsidR="00D71270">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6C1B12"/>
    <w:multiLevelType w:val="hybridMultilevel"/>
    <w:tmpl w:val="EBD28ECC"/>
    <w:lvl w:ilvl="0" w:tplc="A9E2EA2A">
      <w:start w:val="1"/>
      <w:numFmt w:val="decimal"/>
      <w:lvlText w:val="%1."/>
      <w:lvlJc w:val="left"/>
      <w:pPr>
        <w:ind w:left="4472" w:hanging="360"/>
      </w:pPr>
      <w:rPr>
        <w:b w:val="0"/>
        <w:bCs/>
        <w:sz w:val="20"/>
        <w:szCs w:val="2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474CC6"/>
    <w:multiLevelType w:val="hybridMultilevel"/>
    <w:tmpl w:val="EBD28ECC"/>
    <w:lvl w:ilvl="0" w:tplc="FFFFFFFF">
      <w:start w:val="1"/>
      <w:numFmt w:val="decimal"/>
      <w:lvlText w:val="%1."/>
      <w:lvlJc w:val="left"/>
      <w:pPr>
        <w:ind w:left="4472" w:hanging="360"/>
      </w:pPr>
      <w:rPr>
        <w:b w:val="0"/>
        <w:bCs/>
        <w:sz w:val="20"/>
        <w:szCs w:val="20"/>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1"/>
  </w:num>
  <w:num w:numId="20">
    <w:abstractNumId w:val="12"/>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24421C"/>
    <w:rsid w:val="00000BF5"/>
    <w:rsid w:val="00000D76"/>
    <w:rsid w:val="000021A5"/>
    <w:rsid w:val="00002A7D"/>
    <w:rsid w:val="000037F4"/>
    <w:rsid w:val="000038A8"/>
    <w:rsid w:val="00003C6B"/>
    <w:rsid w:val="00006507"/>
    <w:rsid w:val="00006790"/>
    <w:rsid w:val="0001096B"/>
    <w:rsid w:val="0001547A"/>
    <w:rsid w:val="00017543"/>
    <w:rsid w:val="0002136F"/>
    <w:rsid w:val="000234B1"/>
    <w:rsid w:val="00024AF3"/>
    <w:rsid w:val="00027624"/>
    <w:rsid w:val="0003327C"/>
    <w:rsid w:val="00033E15"/>
    <w:rsid w:val="00035E05"/>
    <w:rsid w:val="00050635"/>
    <w:rsid w:val="00050A62"/>
    <w:rsid w:val="00050F6B"/>
    <w:rsid w:val="00052E2E"/>
    <w:rsid w:val="00054D6F"/>
    <w:rsid w:val="00055B0B"/>
    <w:rsid w:val="00055E5F"/>
    <w:rsid w:val="00056EF0"/>
    <w:rsid w:val="00063A70"/>
    <w:rsid w:val="00065D5C"/>
    <w:rsid w:val="000678CD"/>
    <w:rsid w:val="00071B42"/>
    <w:rsid w:val="00072C8C"/>
    <w:rsid w:val="00073F50"/>
    <w:rsid w:val="00076D96"/>
    <w:rsid w:val="00081CE0"/>
    <w:rsid w:val="00084D30"/>
    <w:rsid w:val="00090320"/>
    <w:rsid w:val="00091DB5"/>
    <w:rsid w:val="000931C0"/>
    <w:rsid w:val="00094E62"/>
    <w:rsid w:val="00096BC6"/>
    <w:rsid w:val="000974E3"/>
    <w:rsid w:val="000A0C65"/>
    <w:rsid w:val="000A2E09"/>
    <w:rsid w:val="000A35EC"/>
    <w:rsid w:val="000A3CB7"/>
    <w:rsid w:val="000A57EC"/>
    <w:rsid w:val="000A64E0"/>
    <w:rsid w:val="000B0A6E"/>
    <w:rsid w:val="000B175B"/>
    <w:rsid w:val="000B3802"/>
    <w:rsid w:val="000B3A0F"/>
    <w:rsid w:val="000B5B0C"/>
    <w:rsid w:val="000B61A7"/>
    <w:rsid w:val="000B6DE4"/>
    <w:rsid w:val="000C283D"/>
    <w:rsid w:val="000C3248"/>
    <w:rsid w:val="000C71A8"/>
    <w:rsid w:val="000C7E9A"/>
    <w:rsid w:val="000D0370"/>
    <w:rsid w:val="000D0597"/>
    <w:rsid w:val="000D20A5"/>
    <w:rsid w:val="000D20F6"/>
    <w:rsid w:val="000D31F2"/>
    <w:rsid w:val="000E0415"/>
    <w:rsid w:val="000E0755"/>
    <w:rsid w:val="000E6A24"/>
    <w:rsid w:val="000F0732"/>
    <w:rsid w:val="000F134A"/>
    <w:rsid w:val="000F5F42"/>
    <w:rsid w:val="000F69AE"/>
    <w:rsid w:val="000F7715"/>
    <w:rsid w:val="00111302"/>
    <w:rsid w:val="001126CA"/>
    <w:rsid w:val="00112B8B"/>
    <w:rsid w:val="00116587"/>
    <w:rsid w:val="00117836"/>
    <w:rsid w:val="00117D6F"/>
    <w:rsid w:val="00123BD8"/>
    <w:rsid w:val="00127828"/>
    <w:rsid w:val="00132AB8"/>
    <w:rsid w:val="00137D57"/>
    <w:rsid w:val="00143DF5"/>
    <w:rsid w:val="00151DCB"/>
    <w:rsid w:val="00153FDE"/>
    <w:rsid w:val="001542F1"/>
    <w:rsid w:val="001547C8"/>
    <w:rsid w:val="00156B99"/>
    <w:rsid w:val="00157482"/>
    <w:rsid w:val="0016277C"/>
    <w:rsid w:val="00163B0F"/>
    <w:rsid w:val="00163CC2"/>
    <w:rsid w:val="0016551C"/>
    <w:rsid w:val="00166124"/>
    <w:rsid w:val="00170186"/>
    <w:rsid w:val="001775F4"/>
    <w:rsid w:val="001817C4"/>
    <w:rsid w:val="0018383A"/>
    <w:rsid w:val="00184DDA"/>
    <w:rsid w:val="001878C2"/>
    <w:rsid w:val="001900CD"/>
    <w:rsid w:val="00193F7E"/>
    <w:rsid w:val="00194C3D"/>
    <w:rsid w:val="00197575"/>
    <w:rsid w:val="001A0452"/>
    <w:rsid w:val="001A10FE"/>
    <w:rsid w:val="001A1682"/>
    <w:rsid w:val="001A3602"/>
    <w:rsid w:val="001A3F5A"/>
    <w:rsid w:val="001A5375"/>
    <w:rsid w:val="001B075D"/>
    <w:rsid w:val="001B199E"/>
    <w:rsid w:val="001B319F"/>
    <w:rsid w:val="001B4B04"/>
    <w:rsid w:val="001B550D"/>
    <w:rsid w:val="001B5875"/>
    <w:rsid w:val="001B75B5"/>
    <w:rsid w:val="001C4B9C"/>
    <w:rsid w:val="001C6663"/>
    <w:rsid w:val="001C7895"/>
    <w:rsid w:val="001D0031"/>
    <w:rsid w:val="001D26DF"/>
    <w:rsid w:val="001D45DA"/>
    <w:rsid w:val="001D508C"/>
    <w:rsid w:val="001D79E7"/>
    <w:rsid w:val="001D7C8B"/>
    <w:rsid w:val="001E16E3"/>
    <w:rsid w:val="001E5420"/>
    <w:rsid w:val="001F1599"/>
    <w:rsid w:val="001F19C4"/>
    <w:rsid w:val="001F3C8E"/>
    <w:rsid w:val="001F6AF1"/>
    <w:rsid w:val="00202E84"/>
    <w:rsid w:val="00203E71"/>
    <w:rsid w:val="002043A2"/>
    <w:rsid w:val="002043F0"/>
    <w:rsid w:val="0020542C"/>
    <w:rsid w:val="00211E0B"/>
    <w:rsid w:val="00212E81"/>
    <w:rsid w:val="002135B8"/>
    <w:rsid w:val="002137D9"/>
    <w:rsid w:val="00213E7D"/>
    <w:rsid w:val="00214CE8"/>
    <w:rsid w:val="0021561A"/>
    <w:rsid w:val="00215780"/>
    <w:rsid w:val="0021768F"/>
    <w:rsid w:val="00223686"/>
    <w:rsid w:val="00223B5E"/>
    <w:rsid w:val="00224523"/>
    <w:rsid w:val="00227750"/>
    <w:rsid w:val="00232575"/>
    <w:rsid w:val="00232617"/>
    <w:rsid w:val="0023289D"/>
    <w:rsid w:val="0023547D"/>
    <w:rsid w:val="002425B4"/>
    <w:rsid w:val="0024393B"/>
    <w:rsid w:val="0024421C"/>
    <w:rsid w:val="00245DDF"/>
    <w:rsid w:val="00246EE0"/>
    <w:rsid w:val="00247258"/>
    <w:rsid w:val="002506C2"/>
    <w:rsid w:val="00254338"/>
    <w:rsid w:val="0025598B"/>
    <w:rsid w:val="0025662D"/>
    <w:rsid w:val="00257CAC"/>
    <w:rsid w:val="0026030A"/>
    <w:rsid w:val="00261905"/>
    <w:rsid w:val="002651E0"/>
    <w:rsid w:val="00271CDB"/>
    <w:rsid w:val="0027237A"/>
    <w:rsid w:val="00277B83"/>
    <w:rsid w:val="00285793"/>
    <w:rsid w:val="0029031E"/>
    <w:rsid w:val="00294465"/>
    <w:rsid w:val="002971D0"/>
    <w:rsid w:val="002974E9"/>
    <w:rsid w:val="002A2315"/>
    <w:rsid w:val="002A5A77"/>
    <w:rsid w:val="002A779E"/>
    <w:rsid w:val="002A7BE7"/>
    <w:rsid w:val="002A7F94"/>
    <w:rsid w:val="002B046D"/>
    <w:rsid w:val="002B0B6A"/>
    <w:rsid w:val="002B109A"/>
    <w:rsid w:val="002B15FE"/>
    <w:rsid w:val="002B2836"/>
    <w:rsid w:val="002B6F56"/>
    <w:rsid w:val="002C2CB7"/>
    <w:rsid w:val="002C3AC1"/>
    <w:rsid w:val="002C3C56"/>
    <w:rsid w:val="002C3F1B"/>
    <w:rsid w:val="002C5159"/>
    <w:rsid w:val="002C6D45"/>
    <w:rsid w:val="002D6E53"/>
    <w:rsid w:val="002E093E"/>
    <w:rsid w:val="002E7426"/>
    <w:rsid w:val="002E7F29"/>
    <w:rsid w:val="002F046D"/>
    <w:rsid w:val="002F3023"/>
    <w:rsid w:val="002F4CA8"/>
    <w:rsid w:val="002F518F"/>
    <w:rsid w:val="002F63D3"/>
    <w:rsid w:val="002F6575"/>
    <w:rsid w:val="002F6DD8"/>
    <w:rsid w:val="002F7B72"/>
    <w:rsid w:val="00301764"/>
    <w:rsid w:val="00302B97"/>
    <w:rsid w:val="00303CC8"/>
    <w:rsid w:val="0030655C"/>
    <w:rsid w:val="00310131"/>
    <w:rsid w:val="003102C5"/>
    <w:rsid w:val="0031070D"/>
    <w:rsid w:val="00310F2F"/>
    <w:rsid w:val="00316A9B"/>
    <w:rsid w:val="00316F15"/>
    <w:rsid w:val="00320241"/>
    <w:rsid w:val="00321DA6"/>
    <w:rsid w:val="003229D8"/>
    <w:rsid w:val="00330E25"/>
    <w:rsid w:val="00336682"/>
    <w:rsid w:val="00336C97"/>
    <w:rsid w:val="00336CD8"/>
    <w:rsid w:val="0033733C"/>
    <w:rsid w:val="00337F88"/>
    <w:rsid w:val="00340C39"/>
    <w:rsid w:val="00342432"/>
    <w:rsid w:val="0034399E"/>
    <w:rsid w:val="003450A9"/>
    <w:rsid w:val="003470CA"/>
    <w:rsid w:val="00347A96"/>
    <w:rsid w:val="00347F2D"/>
    <w:rsid w:val="0035223F"/>
    <w:rsid w:val="00352D4B"/>
    <w:rsid w:val="00352DDA"/>
    <w:rsid w:val="0035638C"/>
    <w:rsid w:val="00357508"/>
    <w:rsid w:val="00360320"/>
    <w:rsid w:val="0036512B"/>
    <w:rsid w:val="0036588F"/>
    <w:rsid w:val="003673FB"/>
    <w:rsid w:val="00372E6F"/>
    <w:rsid w:val="00374439"/>
    <w:rsid w:val="00376972"/>
    <w:rsid w:val="0038127F"/>
    <w:rsid w:val="003903D5"/>
    <w:rsid w:val="00390584"/>
    <w:rsid w:val="003937EB"/>
    <w:rsid w:val="00394AC9"/>
    <w:rsid w:val="003965B2"/>
    <w:rsid w:val="00397079"/>
    <w:rsid w:val="003A1574"/>
    <w:rsid w:val="003A213D"/>
    <w:rsid w:val="003A46BB"/>
    <w:rsid w:val="003A4EC7"/>
    <w:rsid w:val="003A4EFB"/>
    <w:rsid w:val="003A7295"/>
    <w:rsid w:val="003B1F60"/>
    <w:rsid w:val="003B45E3"/>
    <w:rsid w:val="003B662C"/>
    <w:rsid w:val="003B6782"/>
    <w:rsid w:val="003C024A"/>
    <w:rsid w:val="003C2CC4"/>
    <w:rsid w:val="003C51ED"/>
    <w:rsid w:val="003D0B63"/>
    <w:rsid w:val="003D0D35"/>
    <w:rsid w:val="003D22CC"/>
    <w:rsid w:val="003D4B23"/>
    <w:rsid w:val="003D5D02"/>
    <w:rsid w:val="003D7D1A"/>
    <w:rsid w:val="003E011E"/>
    <w:rsid w:val="003E07C3"/>
    <w:rsid w:val="003E278A"/>
    <w:rsid w:val="003E3A82"/>
    <w:rsid w:val="003E4B26"/>
    <w:rsid w:val="003E727A"/>
    <w:rsid w:val="003F0CDA"/>
    <w:rsid w:val="003F396D"/>
    <w:rsid w:val="004001A8"/>
    <w:rsid w:val="00413520"/>
    <w:rsid w:val="00415291"/>
    <w:rsid w:val="0041596F"/>
    <w:rsid w:val="00415CC7"/>
    <w:rsid w:val="004210C9"/>
    <w:rsid w:val="004223C5"/>
    <w:rsid w:val="00424478"/>
    <w:rsid w:val="00427E00"/>
    <w:rsid w:val="0043038A"/>
    <w:rsid w:val="004325CB"/>
    <w:rsid w:val="004325CD"/>
    <w:rsid w:val="004331AB"/>
    <w:rsid w:val="00433ABE"/>
    <w:rsid w:val="004350A2"/>
    <w:rsid w:val="00440A07"/>
    <w:rsid w:val="00441600"/>
    <w:rsid w:val="00442647"/>
    <w:rsid w:val="00443187"/>
    <w:rsid w:val="00455385"/>
    <w:rsid w:val="0045692B"/>
    <w:rsid w:val="00462880"/>
    <w:rsid w:val="00462C99"/>
    <w:rsid w:val="0046332E"/>
    <w:rsid w:val="00463D10"/>
    <w:rsid w:val="004666D1"/>
    <w:rsid w:val="00467123"/>
    <w:rsid w:val="00467A7C"/>
    <w:rsid w:val="00470CF4"/>
    <w:rsid w:val="00473993"/>
    <w:rsid w:val="004764D7"/>
    <w:rsid w:val="00476F24"/>
    <w:rsid w:val="00485EB9"/>
    <w:rsid w:val="00486F87"/>
    <w:rsid w:val="00487CFB"/>
    <w:rsid w:val="00490B14"/>
    <w:rsid w:val="004918F4"/>
    <w:rsid w:val="004924CA"/>
    <w:rsid w:val="0049418E"/>
    <w:rsid w:val="0049467F"/>
    <w:rsid w:val="004948C9"/>
    <w:rsid w:val="00495E64"/>
    <w:rsid w:val="0049645A"/>
    <w:rsid w:val="00497293"/>
    <w:rsid w:val="004A51F8"/>
    <w:rsid w:val="004A5CD2"/>
    <w:rsid w:val="004B1C0A"/>
    <w:rsid w:val="004C02E4"/>
    <w:rsid w:val="004C1B2E"/>
    <w:rsid w:val="004C4C09"/>
    <w:rsid w:val="004C55B0"/>
    <w:rsid w:val="004C582C"/>
    <w:rsid w:val="004C5BD3"/>
    <w:rsid w:val="004D01CE"/>
    <w:rsid w:val="004D26DB"/>
    <w:rsid w:val="004D42BD"/>
    <w:rsid w:val="004D47A9"/>
    <w:rsid w:val="004D65E4"/>
    <w:rsid w:val="004D7E7C"/>
    <w:rsid w:val="004E679D"/>
    <w:rsid w:val="004E6EF2"/>
    <w:rsid w:val="004F1A67"/>
    <w:rsid w:val="004F1B7B"/>
    <w:rsid w:val="004F3A63"/>
    <w:rsid w:val="004F6BA0"/>
    <w:rsid w:val="00502B2E"/>
    <w:rsid w:val="005031BB"/>
    <w:rsid w:val="00503703"/>
    <w:rsid w:val="00503BEA"/>
    <w:rsid w:val="00504F75"/>
    <w:rsid w:val="005059B3"/>
    <w:rsid w:val="005066EE"/>
    <w:rsid w:val="005075ED"/>
    <w:rsid w:val="00514377"/>
    <w:rsid w:val="005143DD"/>
    <w:rsid w:val="0051711E"/>
    <w:rsid w:val="005203DA"/>
    <w:rsid w:val="005225F9"/>
    <w:rsid w:val="00524EDF"/>
    <w:rsid w:val="00531822"/>
    <w:rsid w:val="005322C0"/>
    <w:rsid w:val="00532B42"/>
    <w:rsid w:val="00533616"/>
    <w:rsid w:val="00535ABA"/>
    <w:rsid w:val="0053768B"/>
    <w:rsid w:val="005420F2"/>
    <w:rsid w:val="0054285C"/>
    <w:rsid w:val="005437F5"/>
    <w:rsid w:val="00545438"/>
    <w:rsid w:val="00545810"/>
    <w:rsid w:val="00546DC6"/>
    <w:rsid w:val="00546DFF"/>
    <w:rsid w:val="005515B5"/>
    <w:rsid w:val="005628E2"/>
    <w:rsid w:val="005666E8"/>
    <w:rsid w:val="00571106"/>
    <w:rsid w:val="00571C0B"/>
    <w:rsid w:val="00572B01"/>
    <w:rsid w:val="005758D3"/>
    <w:rsid w:val="00576A4F"/>
    <w:rsid w:val="00584173"/>
    <w:rsid w:val="0058736F"/>
    <w:rsid w:val="00591464"/>
    <w:rsid w:val="00592806"/>
    <w:rsid w:val="0059500E"/>
    <w:rsid w:val="0059519E"/>
    <w:rsid w:val="00595520"/>
    <w:rsid w:val="00595D69"/>
    <w:rsid w:val="005965C0"/>
    <w:rsid w:val="005A1F9D"/>
    <w:rsid w:val="005A3CE3"/>
    <w:rsid w:val="005A44B9"/>
    <w:rsid w:val="005A6DF6"/>
    <w:rsid w:val="005B16C4"/>
    <w:rsid w:val="005B1BA0"/>
    <w:rsid w:val="005B25CF"/>
    <w:rsid w:val="005B3770"/>
    <w:rsid w:val="005B3DB3"/>
    <w:rsid w:val="005B62AC"/>
    <w:rsid w:val="005B658B"/>
    <w:rsid w:val="005C239F"/>
    <w:rsid w:val="005C619A"/>
    <w:rsid w:val="005D15CA"/>
    <w:rsid w:val="005D530C"/>
    <w:rsid w:val="005E1B4E"/>
    <w:rsid w:val="005E249D"/>
    <w:rsid w:val="005E2810"/>
    <w:rsid w:val="005E3033"/>
    <w:rsid w:val="005E454B"/>
    <w:rsid w:val="005E5355"/>
    <w:rsid w:val="005E5F17"/>
    <w:rsid w:val="005E661C"/>
    <w:rsid w:val="005F067B"/>
    <w:rsid w:val="005F08DF"/>
    <w:rsid w:val="005F3066"/>
    <w:rsid w:val="005F3E61"/>
    <w:rsid w:val="005F4E92"/>
    <w:rsid w:val="00600FD5"/>
    <w:rsid w:val="00604C80"/>
    <w:rsid w:val="00604DDD"/>
    <w:rsid w:val="00605BEC"/>
    <w:rsid w:val="00605F03"/>
    <w:rsid w:val="00610C5B"/>
    <w:rsid w:val="006115CC"/>
    <w:rsid w:val="00611FC4"/>
    <w:rsid w:val="00615C06"/>
    <w:rsid w:val="006176FB"/>
    <w:rsid w:val="0062086C"/>
    <w:rsid w:val="00620D53"/>
    <w:rsid w:val="00622545"/>
    <w:rsid w:val="006240BB"/>
    <w:rsid w:val="00624C90"/>
    <w:rsid w:val="006305B9"/>
    <w:rsid w:val="00630FCB"/>
    <w:rsid w:val="0063306E"/>
    <w:rsid w:val="006334C3"/>
    <w:rsid w:val="00640B26"/>
    <w:rsid w:val="00641647"/>
    <w:rsid w:val="00641C22"/>
    <w:rsid w:val="0064582C"/>
    <w:rsid w:val="006464F7"/>
    <w:rsid w:val="00650752"/>
    <w:rsid w:val="00654EED"/>
    <w:rsid w:val="0065766B"/>
    <w:rsid w:val="00662C08"/>
    <w:rsid w:val="00665DDF"/>
    <w:rsid w:val="00666F2D"/>
    <w:rsid w:val="0067297A"/>
    <w:rsid w:val="00673723"/>
    <w:rsid w:val="00675709"/>
    <w:rsid w:val="006770B2"/>
    <w:rsid w:val="006778D4"/>
    <w:rsid w:val="00680878"/>
    <w:rsid w:val="00686A48"/>
    <w:rsid w:val="0068760D"/>
    <w:rsid w:val="006906AC"/>
    <w:rsid w:val="00693F6C"/>
    <w:rsid w:val="006940E1"/>
    <w:rsid w:val="00695507"/>
    <w:rsid w:val="006A3C72"/>
    <w:rsid w:val="006A4C30"/>
    <w:rsid w:val="006A4F72"/>
    <w:rsid w:val="006A7392"/>
    <w:rsid w:val="006B03A1"/>
    <w:rsid w:val="006B398E"/>
    <w:rsid w:val="006B4426"/>
    <w:rsid w:val="006B5E91"/>
    <w:rsid w:val="006B643B"/>
    <w:rsid w:val="006B67D9"/>
    <w:rsid w:val="006B69A7"/>
    <w:rsid w:val="006B77B6"/>
    <w:rsid w:val="006C008F"/>
    <w:rsid w:val="006C54B9"/>
    <w:rsid w:val="006C5535"/>
    <w:rsid w:val="006C7490"/>
    <w:rsid w:val="006D0589"/>
    <w:rsid w:val="006D067E"/>
    <w:rsid w:val="006D3699"/>
    <w:rsid w:val="006D52AE"/>
    <w:rsid w:val="006E0E88"/>
    <w:rsid w:val="006E143C"/>
    <w:rsid w:val="006E564B"/>
    <w:rsid w:val="006E7154"/>
    <w:rsid w:val="006E773F"/>
    <w:rsid w:val="006F0CFE"/>
    <w:rsid w:val="006F2FEC"/>
    <w:rsid w:val="006F55E2"/>
    <w:rsid w:val="006F6E8C"/>
    <w:rsid w:val="006F7DB1"/>
    <w:rsid w:val="007003CD"/>
    <w:rsid w:val="00700B01"/>
    <w:rsid w:val="00703589"/>
    <w:rsid w:val="00704426"/>
    <w:rsid w:val="00706D1A"/>
    <w:rsid w:val="0070701E"/>
    <w:rsid w:val="00707149"/>
    <w:rsid w:val="00707B3C"/>
    <w:rsid w:val="00715309"/>
    <w:rsid w:val="0071619D"/>
    <w:rsid w:val="00716EB0"/>
    <w:rsid w:val="00717F8D"/>
    <w:rsid w:val="00725ADA"/>
    <w:rsid w:val="0072632A"/>
    <w:rsid w:val="007267CF"/>
    <w:rsid w:val="007341F3"/>
    <w:rsid w:val="007358BB"/>
    <w:rsid w:val="007358E8"/>
    <w:rsid w:val="00736ECE"/>
    <w:rsid w:val="007402F9"/>
    <w:rsid w:val="007405D7"/>
    <w:rsid w:val="0074346C"/>
    <w:rsid w:val="0074533B"/>
    <w:rsid w:val="00746976"/>
    <w:rsid w:val="007523E7"/>
    <w:rsid w:val="007549D4"/>
    <w:rsid w:val="0075687B"/>
    <w:rsid w:val="0076035C"/>
    <w:rsid w:val="0076067A"/>
    <w:rsid w:val="007609CC"/>
    <w:rsid w:val="00760B2E"/>
    <w:rsid w:val="00761C04"/>
    <w:rsid w:val="007643BC"/>
    <w:rsid w:val="00767335"/>
    <w:rsid w:val="00767E36"/>
    <w:rsid w:val="00770624"/>
    <w:rsid w:val="00770A62"/>
    <w:rsid w:val="00771782"/>
    <w:rsid w:val="00773FF2"/>
    <w:rsid w:val="00780C68"/>
    <w:rsid w:val="00782629"/>
    <w:rsid w:val="0079363E"/>
    <w:rsid w:val="007959FE"/>
    <w:rsid w:val="007966D2"/>
    <w:rsid w:val="007967B3"/>
    <w:rsid w:val="007A0566"/>
    <w:rsid w:val="007A0CF1"/>
    <w:rsid w:val="007A28F9"/>
    <w:rsid w:val="007A3295"/>
    <w:rsid w:val="007A43EE"/>
    <w:rsid w:val="007A7E25"/>
    <w:rsid w:val="007B2DFA"/>
    <w:rsid w:val="007B69FF"/>
    <w:rsid w:val="007B6BA5"/>
    <w:rsid w:val="007B6D83"/>
    <w:rsid w:val="007B6FA9"/>
    <w:rsid w:val="007C31AE"/>
    <w:rsid w:val="007C3390"/>
    <w:rsid w:val="007C3500"/>
    <w:rsid w:val="007C42D8"/>
    <w:rsid w:val="007C4F4B"/>
    <w:rsid w:val="007C7AE2"/>
    <w:rsid w:val="007D20A6"/>
    <w:rsid w:val="007D4EA7"/>
    <w:rsid w:val="007D5912"/>
    <w:rsid w:val="007D7362"/>
    <w:rsid w:val="007E50FF"/>
    <w:rsid w:val="007E68D8"/>
    <w:rsid w:val="007F1176"/>
    <w:rsid w:val="007F1A63"/>
    <w:rsid w:val="007F1F8D"/>
    <w:rsid w:val="007F311B"/>
    <w:rsid w:val="007F5CE2"/>
    <w:rsid w:val="007F6611"/>
    <w:rsid w:val="007F6B66"/>
    <w:rsid w:val="00805AE4"/>
    <w:rsid w:val="00806C81"/>
    <w:rsid w:val="008078A8"/>
    <w:rsid w:val="00810BAC"/>
    <w:rsid w:val="00811CDE"/>
    <w:rsid w:val="008175E9"/>
    <w:rsid w:val="00820BE1"/>
    <w:rsid w:val="008219C0"/>
    <w:rsid w:val="0082330A"/>
    <w:rsid w:val="00823939"/>
    <w:rsid w:val="008242D7"/>
    <w:rsid w:val="008252FD"/>
    <w:rsid w:val="0082577B"/>
    <w:rsid w:val="00830059"/>
    <w:rsid w:val="0083189E"/>
    <w:rsid w:val="00842A30"/>
    <w:rsid w:val="00845F7E"/>
    <w:rsid w:val="00855A36"/>
    <w:rsid w:val="00855B60"/>
    <w:rsid w:val="00855E7B"/>
    <w:rsid w:val="008561D5"/>
    <w:rsid w:val="00857CB1"/>
    <w:rsid w:val="00863EFF"/>
    <w:rsid w:val="00866893"/>
    <w:rsid w:val="00866F02"/>
    <w:rsid w:val="00867534"/>
    <w:rsid w:val="00867D18"/>
    <w:rsid w:val="00871CBE"/>
    <w:rsid w:val="00871F9A"/>
    <w:rsid w:val="00871FD5"/>
    <w:rsid w:val="00872B6B"/>
    <w:rsid w:val="00874BEB"/>
    <w:rsid w:val="00880C11"/>
    <w:rsid w:val="0088172E"/>
    <w:rsid w:val="00881EFA"/>
    <w:rsid w:val="00885976"/>
    <w:rsid w:val="008879CB"/>
    <w:rsid w:val="00887F4D"/>
    <w:rsid w:val="00893E60"/>
    <w:rsid w:val="008971CA"/>
    <w:rsid w:val="008979B1"/>
    <w:rsid w:val="008A4212"/>
    <w:rsid w:val="008A4ACB"/>
    <w:rsid w:val="008A5768"/>
    <w:rsid w:val="008A680D"/>
    <w:rsid w:val="008A6B25"/>
    <w:rsid w:val="008A6C4F"/>
    <w:rsid w:val="008A6F0A"/>
    <w:rsid w:val="008B389E"/>
    <w:rsid w:val="008B3B83"/>
    <w:rsid w:val="008B6CD1"/>
    <w:rsid w:val="008B7E77"/>
    <w:rsid w:val="008C097E"/>
    <w:rsid w:val="008C1A4F"/>
    <w:rsid w:val="008C3822"/>
    <w:rsid w:val="008C434F"/>
    <w:rsid w:val="008C6FA6"/>
    <w:rsid w:val="008D045E"/>
    <w:rsid w:val="008D13F5"/>
    <w:rsid w:val="008D3F25"/>
    <w:rsid w:val="008D4D82"/>
    <w:rsid w:val="008D5232"/>
    <w:rsid w:val="008D59B6"/>
    <w:rsid w:val="008E04C0"/>
    <w:rsid w:val="008E0E46"/>
    <w:rsid w:val="008E7116"/>
    <w:rsid w:val="008E78EF"/>
    <w:rsid w:val="008F00D3"/>
    <w:rsid w:val="008F143B"/>
    <w:rsid w:val="008F3882"/>
    <w:rsid w:val="008F4B7C"/>
    <w:rsid w:val="008F5E90"/>
    <w:rsid w:val="00903445"/>
    <w:rsid w:val="00904310"/>
    <w:rsid w:val="009056F0"/>
    <w:rsid w:val="00912010"/>
    <w:rsid w:val="009122D1"/>
    <w:rsid w:val="009141CA"/>
    <w:rsid w:val="009164D5"/>
    <w:rsid w:val="00920C4C"/>
    <w:rsid w:val="00923D23"/>
    <w:rsid w:val="00925239"/>
    <w:rsid w:val="00926E47"/>
    <w:rsid w:val="009276CE"/>
    <w:rsid w:val="00931314"/>
    <w:rsid w:val="00941630"/>
    <w:rsid w:val="0094684F"/>
    <w:rsid w:val="00947162"/>
    <w:rsid w:val="00947E4A"/>
    <w:rsid w:val="00952F12"/>
    <w:rsid w:val="009610D0"/>
    <w:rsid w:val="00961C0E"/>
    <w:rsid w:val="0096375C"/>
    <w:rsid w:val="00964FC2"/>
    <w:rsid w:val="009662E6"/>
    <w:rsid w:val="009707E4"/>
    <w:rsid w:val="0097095E"/>
    <w:rsid w:val="009718E5"/>
    <w:rsid w:val="009739D3"/>
    <w:rsid w:val="00975043"/>
    <w:rsid w:val="009756D6"/>
    <w:rsid w:val="00975838"/>
    <w:rsid w:val="009763F2"/>
    <w:rsid w:val="009775CC"/>
    <w:rsid w:val="00980C10"/>
    <w:rsid w:val="0098592B"/>
    <w:rsid w:val="00985E37"/>
    <w:rsid w:val="00985FC4"/>
    <w:rsid w:val="009870A3"/>
    <w:rsid w:val="00990766"/>
    <w:rsid w:val="00991261"/>
    <w:rsid w:val="0099137A"/>
    <w:rsid w:val="00993C2A"/>
    <w:rsid w:val="00995079"/>
    <w:rsid w:val="00995284"/>
    <w:rsid w:val="00995323"/>
    <w:rsid w:val="009964C4"/>
    <w:rsid w:val="009A58CC"/>
    <w:rsid w:val="009A6EE6"/>
    <w:rsid w:val="009A75AA"/>
    <w:rsid w:val="009A7B81"/>
    <w:rsid w:val="009B0CD4"/>
    <w:rsid w:val="009B3C70"/>
    <w:rsid w:val="009B4FFF"/>
    <w:rsid w:val="009C391C"/>
    <w:rsid w:val="009C7142"/>
    <w:rsid w:val="009C7DA0"/>
    <w:rsid w:val="009D01C0"/>
    <w:rsid w:val="009D26F2"/>
    <w:rsid w:val="009D3D5E"/>
    <w:rsid w:val="009D6A08"/>
    <w:rsid w:val="009D6C20"/>
    <w:rsid w:val="009D7080"/>
    <w:rsid w:val="009E0991"/>
    <w:rsid w:val="009E0A16"/>
    <w:rsid w:val="009E35F0"/>
    <w:rsid w:val="009E4BBF"/>
    <w:rsid w:val="009E5A6B"/>
    <w:rsid w:val="009E5B72"/>
    <w:rsid w:val="009E69B6"/>
    <w:rsid w:val="009E6CB7"/>
    <w:rsid w:val="009E7970"/>
    <w:rsid w:val="009F0080"/>
    <w:rsid w:val="009F0A90"/>
    <w:rsid w:val="009F0C43"/>
    <w:rsid w:val="009F2129"/>
    <w:rsid w:val="009F2EAC"/>
    <w:rsid w:val="009F3D33"/>
    <w:rsid w:val="009F57E3"/>
    <w:rsid w:val="009F5C4B"/>
    <w:rsid w:val="009F5CA4"/>
    <w:rsid w:val="00A01125"/>
    <w:rsid w:val="00A10F4F"/>
    <w:rsid w:val="00A11067"/>
    <w:rsid w:val="00A11134"/>
    <w:rsid w:val="00A143D6"/>
    <w:rsid w:val="00A1589A"/>
    <w:rsid w:val="00A16111"/>
    <w:rsid w:val="00A1704A"/>
    <w:rsid w:val="00A21121"/>
    <w:rsid w:val="00A253B4"/>
    <w:rsid w:val="00A267C0"/>
    <w:rsid w:val="00A3099F"/>
    <w:rsid w:val="00A3159B"/>
    <w:rsid w:val="00A32FD1"/>
    <w:rsid w:val="00A337ED"/>
    <w:rsid w:val="00A3637C"/>
    <w:rsid w:val="00A36C12"/>
    <w:rsid w:val="00A37D02"/>
    <w:rsid w:val="00A408C5"/>
    <w:rsid w:val="00A425EB"/>
    <w:rsid w:val="00A42BA3"/>
    <w:rsid w:val="00A44203"/>
    <w:rsid w:val="00A50CE0"/>
    <w:rsid w:val="00A51790"/>
    <w:rsid w:val="00A630FB"/>
    <w:rsid w:val="00A64F4C"/>
    <w:rsid w:val="00A650C1"/>
    <w:rsid w:val="00A71F14"/>
    <w:rsid w:val="00A72F22"/>
    <w:rsid w:val="00A733BC"/>
    <w:rsid w:val="00A73577"/>
    <w:rsid w:val="00A748A6"/>
    <w:rsid w:val="00A7614C"/>
    <w:rsid w:val="00A76A69"/>
    <w:rsid w:val="00A8203B"/>
    <w:rsid w:val="00A83017"/>
    <w:rsid w:val="00A86A6A"/>
    <w:rsid w:val="00A86CDB"/>
    <w:rsid w:val="00A879A4"/>
    <w:rsid w:val="00A904D5"/>
    <w:rsid w:val="00A905BB"/>
    <w:rsid w:val="00A91A3C"/>
    <w:rsid w:val="00A92138"/>
    <w:rsid w:val="00A96816"/>
    <w:rsid w:val="00A96E95"/>
    <w:rsid w:val="00A97D02"/>
    <w:rsid w:val="00AA0FF8"/>
    <w:rsid w:val="00AA44F4"/>
    <w:rsid w:val="00AB21F9"/>
    <w:rsid w:val="00AB2ADE"/>
    <w:rsid w:val="00AC07C4"/>
    <w:rsid w:val="00AC0F2C"/>
    <w:rsid w:val="00AC2782"/>
    <w:rsid w:val="00AC41DE"/>
    <w:rsid w:val="00AC502A"/>
    <w:rsid w:val="00AC756E"/>
    <w:rsid w:val="00AD0CFC"/>
    <w:rsid w:val="00AD2B82"/>
    <w:rsid w:val="00AE6738"/>
    <w:rsid w:val="00AF21D6"/>
    <w:rsid w:val="00AF49FF"/>
    <w:rsid w:val="00AF4BB5"/>
    <w:rsid w:val="00AF58C1"/>
    <w:rsid w:val="00AF620A"/>
    <w:rsid w:val="00AF6E26"/>
    <w:rsid w:val="00B0156D"/>
    <w:rsid w:val="00B039DD"/>
    <w:rsid w:val="00B041A1"/>
    <w:rsid w:val="00B048BA"/>
    <w:rsid w:val="00B04A3F"/>
    <w:rsid w:val="00B05A45"/>
    <w:rsid w:val="00B06643"/>
    <w:rsid w:val="00B066C8"/>
    <w:rsid w:val="00B145A0"/>
    <w:rsid w:val="00B14E8D"/>
    <w:rsid w:val="00B15055"/>
    <w:rsid w:val="00B20551"/>
    <w:rsid w:val="00B215A2"/>
    <w:rsid w:val="00B21B98"/>
    <w:rsid w:val="00B229DC"/>
    <w:rsid w:val="00B22A29"/>
    <w:rsid w:val="00B263CE"/>
    <w:rsid w:val="00B30179"/>
    <w:rsid w:val="00B32588"/>
    <w:rsid w:val="00B33FC7"/>
    <w:rsid w:val="00B35AFD"/>
    <w:rsid w:val="00B37B15"/>
    <w:rsid w:val="00B40203"/>
    <w:rsid w:val="00B412A6"/>
    <w:rsid w:val="00B45C02"/>
    <w:rsid w:val="00B53E44"/>
    <w:rsid w:val="00B542EA"/>
    <w:rsid w:val="00B54DFE"/>
    <w:rsid w:val="00B55E3F"/>
    <w:rsid w:val="00B56BA7"/>
    <w:rsid w:val="00B656E8"/>
    <w:rsid w:val="00B70B63"/>
    <w:rsid w:val="00B72A1E"/>
    <w:rsid w:val="00B75363"/>
    <w:rsid w:val="00B772AE"/>
    <w:rsid w:val="00B801D3"/>
    <w:rsid w:val="00B81E12"/>
    <w:rsid w:val="00B83475"/>
    <w:rsid w:val="00B969EC"/>
    <w:rsid w:val="00BA339B"/>
    <w:rsid w:val="00BA3A7A"/>
    <w:rsid w:val="00BA4859"/>
    <w:rsid w:val="00BA68FB"/>
    <w:rsid w:val="00BB34F0"/>
    <w:rsid w:val="00BB3CD0"/>
    <w:rsid w:val="00BB5839"/>
    <w:rsid w:val="00BC012F"/>
    <w:rsid w:val="00BC1E7E"/>
    <w:rsid w:val="00BC74E9"/>
    <w:rsid w:val="00BD67B7"/>
    <w:rsid w:val="00BD6DC1"/>
    <w:rsid w:val="00BE3266"/>
    <w:rsid w:val="00BE36A9"/>
    <w:rsid w:val="00BE618E"/>
    <w:rsid w:val="00BE766C"/>
    <w:rsid w:val="00BE7BEC"/>
    <w:rsid w:val="00BE7FE6"/>
    <w:rsid w:val="00BF0A5A"/>
    <w:rsid w:val="00BF0E63"/>
    <w:rsid w:val="00BF0F76"/>
    <w:rsid w:val="00BF12A3"/>
    <w:rsid w:val="00BF16D7"/>
    <w:rsid w:val="00BF2373"/>
    <w:rsid w:val="00BF2648"/>
    <w:rsid w:val="00BF2BA6"/>
    <w:rsid w:val="00BF3E4F"/>
    <w:rsid w:val="00BF4301"/>
    <w:rsid w:val="00BF5E5B"/>
    <w:rsid w:val="00BF6664"/>
    <w:rsid w:val="00C044E2"/>
    <w:rsid w:val="00C048CB"/>
    <w:rsid w:val="00C05CDB"/>
    <w:rsid w:val="00C066F3"/>
    <w:rsid w:val="00C1064C"/>
    <w:rsid w:val="00C1641E"/>
    <w:rsid w:val="00C2034E"/>
    <w:rsid w:val="00C227EB"/>
    <w:rsid w:val="00C325F0"/>
    <w:rsid w:val="00C32CF3"/>
    <w:rsid w:val="00C33DCF"/>
    <w:rsid w:val="00C34E10"/>
    <w:rsid w:val="00C34FCD"/>
    <w:rsid w:val="00C412EE"/>
    <w:rsid w:val="00C4298E"/>
    <w:rsid w:val="00C447F0"/>
    <w:rsid w:val="00C463DD"/>
    <w:rsid w:val="00C46439"/>
    <w:rsid w:val="00C53056"/>
    <w:rsid w:val="00C54D32"/>
    <w:rsid w:val="00C5502C"/>
    <w:rsid w:val="00C5782D"/>
    <w:rsid w:val="00C57D9E"/>
    <w:rsid w:val="00C616C6"/>
    <w:rsid w:val="00C65C34"/>
    <w:rsid w:val="00C67327"/>
    <w:rsid w:val="00C745C3"/>
    <w:rsid w:val="00C7507C"/>
    <w:rsid w:val="00C75C4E"/>
    <w:rsid w:val="00C82A31"/>
    <w:rsid w:val="00C82C69"/>
    <w:rsid w:val="00C82C9B"/>
    <w:rsid w:val="00C879C7"/>
    <w:rsid w:val="00C90D3C"/>
    <w:rsid w:val="00C972E8"/>
    <w:rsid w:val="00C978F5"/>
    <w:rsid w:val="00CA08EF"/>
    <w:rsid w:val="00CA24A4"/>
    <w:rsid w:val="00CA2F54"/>
    <w:rsid w:val="00CA360C"/>
    <w:rsid w:val="00CA518C"/>
    <w:rsid w:val="00CA5694"/>
    <w:rsid w:val="00CA59C5"/>
    <w:rsid w:val="00CB1574"/>
    <w:rsid w:val="00CB348D"/>
    <w:rsid w:val="00CB3E15"/>
    <w:rsid w:val="00CB3EDF"/>
    <w:rsid w:val="00CB533F"/>
    <w:rsid w:val="00CB723E"/>
    <w:rsid w:val="00CB728F"/>
    <w:rsid w:val="00CC0B95"/>
    <w:rsid w:val="00CC117B"/>
    <w:rsid w:val="00CC18CB"/>
    <w:rsid w:val="00CC2071"/>
    <w:rsid w:val="00CC235E"/>
    <w:rsid w:val="00CC73AA"/>
    <w:rsid w:val="00CD0CB7"/>
    <w:rsid w:val="00CD1219"/>
    <w:rsid w:val="00CD2B74"/>
    <w:rsid w:val="00CD46F5"/>
    <w:rsid w:val="00CD533B"/>
    <w:rsid w:val="00CD746C"/>
    <w:rsid w:val="00CE01FA"/>
    <w:rsid w:val="00CE0379"/>
    <w:rsid w:val="00CE4602"/>
    <w:rsid w:val="00CE4A8F"/>
    <w:rsid w:val="00CE7907"/>
    <w:rsid w:val="00CF071D"/>
    <w:rsid w:val="00CF2E51"/>
    <w:rsid w:val="00CF3D6E"/>
    <w:rsid w:val="00CF6CB9"/>
    <w:rsid w:val="00CF769D"/>
    <w:rsid w:val="00D00EC0"/>
    <w:rsid w:val="00D0123D"/>
    <w:rsid w:val="00D114BE"/>
    <w:rsid w:val="00D15200"/>
    <w:rsid w:val="00D15B04"/>
    <w:rsid w:val="00D2031B"/>
    <w:rsid w:val="00D2469C"/>
    <w:rsid w:val="00D25FE2"/>
    <w:rsid w:val="00D37DA9"/>
    <w:rsid w:val="00D406A7"/>
    <w:rsid w:val="00D42E91"/>
    <w:rsid w:val="00D43252"/>
    <w:rsid w:val="00D438FA"/>
    <w:rsid w:val="00D44D86"/>
    <w:rsid w:val="00D50B7D"/>
    <w:rsid w:val="00D52012"/>
    <w:rsid w:val="00D60DBB"/>
    <w:rsid w:val="00D61979"/>
    <w:rsid w:val="00D64758"/>
    <w:rsid w:val="00D647DC"/>
    <w:rsid w:val="00D64CE9"/>
    <w:rsid w:val="00D65D5D"/>
    <w:rsid w:val="00D66219"/>
    <w:rsid w:val="00D704E5"/>
    <w:rsid w:val="00D71270"/>
    <w:rsid w:val="00D72080"/>
    <w:rsid w:val="00D72727"/>
    <w:rsid w:val="00D7378D"/>
    <w:rsid w:val="00D84770"/>
    <w:rsid w:val="00D913F9"/>
    <w:rsid w:val="00D92821"/>
    <w:rsid w:val="00D949DA"/>
    <w:rsid w:val="00D978C6"/>
    <w:rsid w:val="00D97AC2"/>
    <w:rsid w:val="00DA0956"/>
    <w:rsid w:val="00DA2A23"/>
    <w:rsid w:val="00DA357F"/>
    <w:rsid w:val="00DA3E12"/>
    <w:rsid w:val="00DA5E9C"/>
    <w:rsid w:val="00DA6D43"/>
    <w:rsid w:val="00DB426A"/>
    <w:rsid w:val="00DC0ADA"/>
    <w:rsid w:val="00DC18AD"/>
    <w:rsid w:val="00DC2B27"/>
    <w:rsid w:val="00DD07DB"/>
    <w:rsid w:val="00DD1264"/>
    <w:rsid w:val="00DE0196"/>
    <w:rsid w:val="00DE570E"/>
    <w:rsid w:val="00DE6557"/>
    <w:rsid w:val="00DF049A"/>
    <w:rsid w:val="00DF13DC"/>
    <w:rsid w:val="00DF1A50"/>
    <w:rsid w:val="00DF1EFC"/>
    <w:rsid w:val="00DF5474"/>
    <w:rsid w:val="00DF5845"/>
    <w:rsid w:val="00DF7CAE"/>
    <w:rsid w:val="00E0010B"/>
    <w:rsid w:val="00E01CD7"/>
    <w:rsid w:val="00E029A2"/>
    <w:rsid w:val="00E037C3"/>
    <w:rsid w:val="00E04A6B"/>
    <w:rsid w:val="00E05550"/>
    <w:rsid w:val="00E060E4"/>
    <w:rsid w:val="00E0793B"/>
    <w:rsid w:val="00E1270E"/>
    <w:rsid w:val="00E23FA6"/>
    <w:rsid w:val="00E248EA"/>
    <w:rsid w:val="00E27857"/>
    <w:rsid w:val="00E3148D"/>
    <w:rsid w:val="00E325C2"/>
    <w:rsid w:val="00E32666"/>
    <w:rsid w:val="00E33419"/>
    <w:rsid w:val="00E35674"/>
    <w:rsid w:val="00E37109"/>
    <w:rsid w:val="00E41DC9"/>
    <w:rsid w:val="00E423C0"/>
    <w:rsid w:val="00E51CF8"/>
    <w:rsid w:val="00E531BA"/>
    <w:rsid w:val="00E55D2F"/>
    <w:rsid w:val="00E609EF"/>
    <w:rsid w:val="00E62028"/>
    <w:rsid w:val="00E638F5"/>
    <w:rsid w:val="00E6414C"/>
    <w:rsid w:val="00E66E89"/>
    <w:rsid w:val="00E67650"/>
    <w:rsid w:val="00E7109B"/>
    <w:rsid w:val="00E7260F"/>
    <w:rsid w:val="00E75CC6"/>
    <w:rsid w:val="00E86F5E"/>
    <w:rsid w:val="00E8702D"/>
    <w:rsid w:val="00E875C0"/>
    <w:rsid w:val="00E905F4"/>
    <w:rsid w:val="00E90B7A"/>
    <w:rsid w:val="00E914C4"/>
    <w:rsid w:val="00E916A9"/>
    <w:rsid w:val="00E916DE"/>
    <w:rsid w:val="00E91750"/>
    <w:rsid w:val="00E925AD"/>
    <w:rsid w:val="00E94284"/>
    <w:rsid w:val="00E95705"/>
    <w:rsid w:val="00E96630"/>
    <w:rsid w:val="00EA16FC"/>
    <w:rsid w:val="00EA47C0"/>
    <w:rsid w:val="00EA4CCE"/>
    <w:rsid w:val="00EB14D1"/>
    <w:rsid w:val="00EB25CA"/>
    <w:rsid w:val="00EB273C"/>
    <w:rsid w:val="00EB31B4"/>
    <w:rsid w:val="00EB4E9F"/>
    <w:rsid w:val="00EB693F"/>
    <w:rsid w:val="00EB72D6"/>
    <w:rsid w:val="00EC67F0"/>
    <w:rsid w:val="00EC78EF"/>
    <w:rsid w:val="00ED1878"/>
    <w:rsid w:val="00ED18DC"/>
    <w:rsid w:val="00ED2ECA"/>
    <w:rsid w:val="00ED4845"/>
    <w:rsid w:val="00ED6201"/>
    <w:rsid w:val="00ED7621"/>
    <w:rsid w:val="00ED7872"/>
    <w:rsid w:val="00ED7A2A"/>
    <w:rsid w:val="00EE01BC"/>
    <w:rsid w:val="00EE3E77"/>
    <w:rsid w:val="00EE4614"/>
    <w:rsid w:val="00EF1711"/>
    <w:rsid w:val="00EF1D7F"/>
    <w:rsid w:val="00EF5022"/>
    <w:rsid w:val="00EF52A6"/>
    <w:rsid w:val="00EF5E72"/>
    <w:rsid w:val="00EF7002"/>
    <w:rsid w:val="00EF71BC"/>
    <w:rsid w:val="00F0137E"/>
    <w:rsid w:val="00F04977"/>
    <w:rsid w:val="00F04FCE"/>
    <w:rsid w:val="00F10239"/>
    <w:rsid w:val="00F11840"/>
    <w:rsid w:val="00F144DE"/>
    <w:rsid w:val="00F14C18"/>
    <w:rsid w:val="00F17335"/>
    <w:rsid w:val="00F21786"/>
    <w:rsid w:val="00F221FC"/>
    <w:rsid w:val="00F22A75"/>
    <w:rsid w:val="00F23070"/>
    <w:rsid w:val="00F233BD"/>
    <w:rsid w:val="00F31A4F"/>
    <w:rsid w:val="00F32C54"/>
    <w:rsid w:val="00F3742B"/>
    <w:rsid w:val="00F41FDB"/>
    <w:rsid w:val="00F422DB"/>
    <w:rsid w:val="00F51E1D"/>
    <w:rsid w:val="00F533DF"/>
    <w:rsid w:val="00F53C0C"/>
    <w:rsid w:val="00F541B9"/>
    <w:rsid w:val="00F55B3B"/>
    <w:rsid w:val="00F566D1"/>
    <w:rsid w:val="00F56D63"/>
    <w:rsid w:val="00F609A9"/>
    <w:rsid w:val="00F65183"/>
    <w:rsid w:val="00F652E8"/>
    <w:rsid w:val="00F715C8"/>
    <w:rsid w:val="00F75582"/>
    <w:rsid w:val="00F75D1A"/>
    <w:rsid w:val="00F77ED4"/>
    <w:rsid w:val="00F80AD8"/>
    <w:rsid w:val="00F80B2E"/>
    <w:rsid w:val="00F80C99"/>
    <w:rsid w:val="00F8361B"/>
    <w:rsid w:val="00F84E4B"/>
    <w:rsid w:val="00F85AD2"/>
    <w:rsid w:val="00F867EC"/>
    <w:rsid w:val="00F86A01"/>
    <w:rsid w:val="00F87F0E"/>
    <w:rsid w:val="00F902F4"/>
    <w:rsid w:val="00F91AD5"/>
    <w:rsid w:val="00F91B2B"/>
    <w:rsid w:val="00F9559D"/>
    <w:rsid w:val="00F9702D"/>
    <w:rsid w:val="00F975C7"/>
    <w:rsid w:val="00FA1326"/>
    <w:rsid w:val="00FA334A"/>
    <w:rsid w:val="00FA4AED"/>
    <w:rsid w:val="00FA5485"/>
    <w:rsid w:val="00FB1ADD"/>
    <w:rsid w:val="00FB2286"/>
    <w:rsid w:val="00FB2939"/>
    <w:rsid w:val="00FB2B27"/>
    <w:rsid w:val="00FB3912"/>
    <w:rsid w:val="00FB75F9"/>
    <w:rsid w:val="00FB7E0E"/>
    <w:rsid w:val="00FC00BC"/>
    <w:rsid w:val="00FC03CD"/>
    <w:rsid w:val="00FC0646"/>
    <w:rsid w:val="00FC1223"/>
    <w:rsid w:val="00FC33BE"/>
    <w:rsid w:val="00FC4373"/>
    <w:rsid w:val="00FC47A6"/>
    <w:rsid w:val="00FC5BE5"/>
    <w:rsid w:val="00FC68B7"/>
    <w:rsid w:val="00FC6DC5"/>
    <w:rsid w:val="00FD207C"/>
    <w:rsid w:val="00FD2CC4"/>
    <w:rsid w:val="00FD4E8A"/>
    <w:rsid w:val="00FE1467"/>
    <w:rsid w:val="00FE399E"/>
    <w:rsid w:val="00FE44A5"/>
    <w:rsid w:val="00FE6985"/>
    <w:rsid w:val="00FF3C9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DD78"/>
  <w15:docId w15:val="{DA0EEEE8-F6E9-4986-9FF4-1AADBDCB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543"/>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FootnoteTextChar">
    <w:name w:val="Footnote Text Char"/>
    <w:aliases w:val="5_G Char"/>
    <w:basedOn w:val="DefaultParagraphFont"/>
    <w:link w:val="FootnoteText"/>
    <w:rsid w:val="0024421C"/>
    <w:rPr>
      <w:sz w:val="18"/>
      <w:lang w:val="en-GB"/>
    </w:rPr>
  </w:style>
  <w:style w:type="character" w:customStyle="1" w:styleId="SingleTxtGChar">
    <w:name w:val="_ Single Txt_G Char"/>
    <w:link w:val="SingleTxtG"/>
    <w:rsid w:val="005E661C"/>
    <w:rPr>
      <w:lang w:val="en-GB"/>
    </w:rPr>
  </w:style>
  <w:style w:type="character" w:customStyle="1" w:styleId="FooterChar">
    <w:name w:val="Footer Char"/>
    <w:aliases w:val="3_G Char"/>
    <w:basedOn w:val="DefaultParagraphFont"/>
    <w:link w:val="Footer"/>
    <w:uiPriority w:val="99"/>
    <w:rsid w:val="002E7F29"/>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699255B1-7258-42FF-BD8B-2BABBE883F37}">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5735BFC2-3FF2-4E63-942B-E162B4794224}">
  <ds:schemaRefs>
    <ds:schemaRef ds:uri="http://schemas.microsoft.com/sharepoint/v3/contenttype/forms"/>
  </ds:schemaRefs>
</ds:datastoreItem>
</file>

<file path=customXml/itemProps4.xml><?xml version="1.0" encoding="utf-8"?>
<ds:datastoreItem xmlns:ds="http://schemas.openxmlformats.org/officeDocument/2006/customXml" ds:itemID="{B58F6A2E-6B30-4C02-B36E-CE263B243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1</TotalTime>
  <Pages>7</Pages>
  <Words>3545</Words>
  <Characters>19783</Characters>
  <Application>Microsoft Office Word</Application>
  <DocSecurity>0</DocSecurity>
  <Lines>314</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ECE/MP.EIA/WG.2/2021/INF.10</vt:lpstr>
      <vt:lpstr/>
    </vt:vector>
  </TitlesOfParts>
  <Company>CSD</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ECE/MP.EIA/WG.2/2021/INF.10</dc:title>
  <dc:subject/>
  <dc:creator>Maricar De_La_Cruz</dc:creator>
  <cp:keywords/>
  <cp:lastModifiedBy>Maricar De La Cruz</cp:lastModifiedBy>
  <cp:revision>2</cp:revision>
  <cp:lastPrinted>2009-02-18T09:36:00Z</cp:lastPrinted>
  <dcterms:created xsi:type="dcterms:W3CDTF">2022-11-08T13:39:00Z</dcterms:created>
  <dcterms:modified xsi:type="dcterms:W3CDTF">2022-11-08T13:39:00Z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99492f2d828a7a804e66d43b453d56390c38e3581d1c22a883d7e013a25f2693</vt:lpwstr>
  </property>
</Properties>
</file>