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124"/>
        <w:gridCol w:w="3239"/>
      </w:tblGrid>
      <w:tr w:rsidR="0072209F" w:rsidRPr="00EB6489" w14:paraId="1A755C0E" w14:textId="77777777" w:rsidTr="002512FF">
        <w:trPr>
          <w:cantSplit/>
          <w:trHeight w:hRule="exact" w:val="426"/>
        </w:trPr>
        <w:tc>
          <w:tcPr>
            <w:tcW w:w="1276" w:type="dxa"/>
            <w:shd w:val="clear" w:color="auto" w:fill="auto"/>
            <w:vAlign w:val="bottom"/>
          </w:tcPr>
          <w:p w14:paraId="5C02402F" w14:textId="77777777" w:rsidR="0072209F" w:rsidRPr="00EB6489" w:rsidRDefault="0072209F" w:rsidP="0072209F">
            <w:pPr>
              <w:spacing w:after="80"/>
            </w:pPr>
          </w:p>
        </w:tc>
        <w:tc>
          <w:tcPr>
            <w:tcW w:w="5124" w:type="dxa"/>
            <w:shd w:val="clear" w:color="auto" w:fill="auto"/>
            <w:vAlign w:val="bottom"/>
          </w:tcPr>
          <w:p w14:paraId="5D652549" w14:textId="77777777" w:rsidR="0072209F" w:rsidRPr="00EB6489" w:rsidRDefault="0072209F" w:rsidP="0072209F">
            <w:pPr>
              <w:spacing w:after="80" w:line="240" w:lineRule="auto"/>
              <w:rPr>
                <w:b/>
                <w:sz w:val="44"/>
                <w:szCs w:val="44"/>
              </w:rPr>
            </w:pPr>
          </w:p>
        </w:tc>
        <w:tc>
          <w:tcPr>
            <w:tcW w:w="3239" w:type="dxa"/>
            <w:shd w:val="clear" w:color="auto" w:fill="auto"/>
            <w:vAlign w:val="bottom"/>
          </w:tcPr>
          <w:p w14:paraId="0C545609" w14:textId="77777777" w:rsidR="0072209F" w:rsidRPr="00EB6489" w:rsidRDefault="002512FF" w:rsidP="00D32D9B">
            <w:pPr>
              <w:ind w:right="600"/>
              <w:jc w:val="right"/>
            </w:pPr>
            <w:r>
              <w:t>ECE/</w:t>
            </w:r>
            <w:r w:rsidR="0072209F" w:rsidRPr="00EB6489">
              <w:t>MP.EIA/WG.2/20</w:t>
            </w:r>
            <w:r w:rsidR="00BF2B74">
              <w:t>22</w:t>
            </w:r>
            <w:r w:rsidR="0072209F" w:rsidRPr="00EB6489">
              <w:t>/INF.</w:t>
            </w:r>
            <w:r w:rsidR="008C6CC0">
              <w:t>8</w:t>
            </w:r>
          </w:p>
        </w:tc>
      </w:tr>
      <w:tr w:rsidR="0072209F" w:rsidRPr="00EB6489" w14:paraId="1FEECB38" w14:textId="77777777" w:rsidTr="002512FF">
        <w:trPr>
          <w:cantSplit/>
          <w:trHeight w:hRule="exact" w:val="714"/>
        </w:trPr>
        <w:tc>
          <w:tcPr>
            <w:tcW w:w="1276" w:type="dxa"/>
            <w:tcBorders>
              <w:bottom w:val="single" w:sz="4" w:space="0" w:color="auto"/>
            </w:tcBorders>
            <w:shd w:val="clear" w:color="auto" w:fill="auto"/>
            <w:vAlign w:val="bottom"/>
          </w:tcPr>
          <w:p w14:paraId="23595530" w14:textId="77777777" w:rsidR="0072209F" w:rsidRPr="00EB6489" w:rsidRDefault="0072209F" w:rsidP="0072209F">
            <w:pPr>
              <w:spacing w:after="80"/>
              <w:rPr>
                <w:b/>
                <w:sz w:val="24"/>
                <w:szCs w:val="24"/>
              </w:rPr>
            </w:pPr>
          </w:p>
        </w:tc>
        <w:tc>
          <w:tcPr>
            <w:tcW w:w="5124" w:type="dxa"/>
            <w:tcBorders>
              <w:bottom w:val="single" w:sz="4" w:space="0" w:color="auto"/>
            </w:tcBorders>
            <w:shd w:val="clear" w:color="auto" w:fill="auto"/>
            <w:vAlign w:val="bottom"/>
          </w:tcPr>
          <w:p w14:paraId="3525CC95" w14:textId="77777777" w:rsidR="0072209F" w:rsidRPr="00EB6489" w:rsidRDefault="0072209F" w:rsidP="0072209F">
            <w:pPr>
              <w:spacing w:after="80" w:line="240" w:lineRule="auto"/>
              <w:rPr>
                <w:b/>
                <w:sz w:val="44"/>
                <w:szCs w:val="44"/>
              </w:rPr>
            </w:pPr>
          </w:p>
        </w:tc>
        <w:tc>
          <w:tcPr>
            <w:tcW w:w="3239" w:type="dxa"/>
            <w:tcBorders>
              <w:bottom w:val="single" w:sz="4" w:space="0" w:color="auto"/>
            </w:tcBorders>
            <w:shd w:val="clear" w:color="auto" w:fill="auto"/>
          </w:tcPr>
          <w:p w14:paraId="0626482C" w14:textId="77777777" w:rsidR="0072209F" w:rsidRPr="00EB6489" w:rsidRDefault="00B97418" w:rsidP="00E01133">
            <w:pPr>
              <w:spacing w:line="240" w:lineRule="exact"/>
            </w:pPr>
            <w:r>
              <w:t xml:space="preserve">1 November </w:t>
            </w:r>
            <w:r w:rsidR="0072209F" w:rsidRPr="00EB6489">
              <w:t>20</w:t>
            </w:r>
            <w:r w:rsidR="00BF2B74">
              <w:t>22</w:t>
            </w:r>
          </w:p>
          <w:p w14:paraId="05AB83E0" w14:textId="77777777" w:rsidR="0072209F" w:rsidRPr="00EB6489" w:rsidRDefault="0072209F" w:rsidP="0072209F">
            <w:pPr>
              <w:spacing w:line="240" w:lineRule="exact"/>
              <w:rPr>
                <w:sz w:val="40"/>
              </w:rPr>
            </w:pPr>
            <w:r w:rsidRPr="00EB6489">
              <w:t>English only</w:t>
            </w:r>
          </w:p>
        </w:tc>
      </w:tr>
    </w:tbl>
    <w:p w14:paraId="26F6E894" w14:textId="77777777" w:rsidR="004260D7" w:rsidRPr="0044648C" w:rsidRDefault="004260D7" w:rsidP="004260D7">
      <w:pPr>
        <w:spacing w:before="120"/>
        <w:rPr>
          <w:b/>
          <w:sz w:val="28"/>
          <w:szCs w:val="28"/>
        </w:rPr>
      </w:pPr>
      <w:r w:rsidRPr="0044648C">
        <w:rPr>
          <w:b/>
          <w:sz w:val="28"/>
          <w:szCs w:val="28"/>
        </w:rPr>
        <w:t>Economic Commission for Europe</w:t>
      </w:r>
    </w:p>
    <w:p w14:paraId="6945494F" w14:textId="77777777" w:rsidR="004260D7" w:rsidRPr="0044648C" w:rsidRDefault="004260D7" w:rsidP="004260D7">
      <w:pPr>
        <w:spacing w:before="120" w:line="240" w:lineRule="auto"/>
        <w:rPr>
          <w:bCs/>
          <w:sz w:val="28"/>
          <w:szCs w:val="28"/>
        </w:rPr>
      </w:pPr>
      <w:r w:rsidRPr="0044648C">
        <w:rPr>
          <w:bCs/>
          <w:sz w:val="28"/>
          <w:szCs w:val="28"/>
        </w:rPr>
        <w:t xml:space="preserve">Meeting of the Parties to the Convention </w:t>
      </w:r>
      <w:r w:rsidRPr="0044648C">
        <w:rPr>
          <w:bCs/>
          <w:sz w:val="28"/>
          <w:szCs w:val="28"/>
        </w:rPr>
        <w:br/>
        <w:t xml:space="preserve">on Environmental Impact Assessment in </w:t>
      </w:r>
      <w:r>
        <w:rPr>
          <w:bCs/>
          <w:sz w:val="28"/>
          <w:szCs w:val="28"/>
        </w:rPr>
        <w:br/>
      </w:r>
      <w:r w:rsidRPr="0044648C">
        <w:rPr>
          <w:bCs/>
          <w:sz w:val="28"/>
          <w:szCs w:val="28"/>
        </w:rPr>
        <w:t>a Transboundary Context</w:t>
      </w:r>
    </w:p>
    <w:p w14:paraId="221A49D9" w14:textId="77777777" w:rsidR="004260D7" w:rsidRPr="0008090F" w:rsidRDefault="004260D7" w:rsidP="004260D7">
      <w:pPr>
        <w:spacing w:before="120" w:line="240" w:lineRule="auto"/>
        <w:rPr>
          <w:bCs/>
          <w:sz w:val="28"/>
          <w:szCs w:val="28"/>
        </w:rPr>
      </w:pPr>
      <w:r w:rsidRPr="0008090F">
        <w:rPr>
          <w:bCs/>
          <w:sz w:val="28"/>
          <w:szCs w:val="28"/>
        </w:rPr>
        <w:t xml:space="preserve">Meeting of the Parties to the Convention </w:t>
      </w:r>
      <w:r w:rsidRPr="0008090F">
        <w:rPr>
          <w:bCs/>
          <w:sz w:val="28"/>
          <w:szCs w:val="28"/>
        </w:rPr>
        <w:br/>
        <w:t>serving as</w:t>
      </w:r>
      <w:r>
        <w:rPr>
          <w:bCs/>
          <w:sz w:val="28"/>
          <w:szCs w:val="28"/>
        </w:rPr>
        <w:t xml:space="preserve"> </w:t>
      </w:r>
      <w:r w:rsidRPr="0008090F">
        <w:rPr>
          <w:bCs/>
          <w:sz w:val="28"/>
          <w:szCs w:val="28"/>
        </w:rPr>
        <w:t xml:space="preserve">the Meeting of the Parties </w:t>
      </w:r>
      <w:r>
        <w:rPr>
          <w:bCs/>
          <w:sz w:val="28"/>
          <w:szCs w:val="28"/>
        </w:rPr>
        <w:br/>
      </w:r>
      <w:r w:rsidRPr="0008090F">
        <w:rPr>
          <w:bCs/>
          <w:sz w:val="28"/>
          <w:szCs w:val="28"/>
        </w:rPr>
        <w:t>to the Protocol</w:t>
      </w:r>
      <w:r>
        <w:rPr>
          <w:bCs/>
          <w:sz w:val="28"/>
          <w:szCs w:val="28"/>
        </w:rPr>
        <w:t xml:space="preserve"> </w:t>
      </w:r>
      <w:r w:rsidRPr="0008090F">
        <w:rPr>
          <w:bCs/>
          <w:sz w:val="28"/>
          <w:szCs w:val="28"/>
        </w:rPr>
        <w:t xml:space="preserve">on Strategic </w:t>
      </w:r>
      <w:r>
        <w:rPr>
          <w:bCs/>
          <w:sz w:val="28"/>
          <w:szCs w:val="28"/>
        </w:rPr>
        <w:br/>
      </w:r>
      <w:r w:rsidRPr="0008090F">
        <w:rPr>
          <w:bCs/>
          <w:sz w:val="28"/>
          <w:szCs w:val="28"/>
        </w:rPr>
        <w:t>Environmental Assessment</w:t>
      </w:r>
    </w:p>
    <w:p w14:paraId="658FBDC1" w14:textId="77777777" w:rsidR="004260D7" w:rsidRPr="00414483" w:rsidRDefault="004260D7" w:rsidP="004260D7">
      <w:pPr>
        <w:spacing w:before="120" w:line="240" w:lineRule="auto"/>
        <w:rPr>
          <w:b/>
          <w:sz w:val="24"/>
          <w:szCs w:val="24"/>
        </w:rPr>
      </w:pPr>
      <w:r w:rsidRPr="00414483">
        <w:rPr>
          <w:b/>
          <w:sz w:val="24"/>
          <w:szCs w:val="24"/>
        </w:rPr>
        <w:t xml:space="preserve">Working Group </w:t>
      </w:r>
      <w:bookmarkStart w:id="0" w:name="_Hlk20327998"/>
      <w:r w:rsidRPr="00414483">
        <w:rPr>
          <w:b/>
          <w:sz w:val="24"/>
          <w:szCs w:val="24"/>
        </w:rPr>
        <w:t>on Environmental Impact Assessment</w:t>
      </w:r>
      <w:r w:rsidRPr="00414483">
        <w:rPr>
          <w:b/>
          <w:sz w:val="24"/>
          <w:szCs w:val="24"/>
        </w:rPr>
        <w:br/>
        <w:t>and Strategic Environmental Assessment</w:t>
      </w:r>
      <w:bookmarkEnd w:id="0"/>
    </w:p>
    <w:p w14:paraId="110AFE40" w14:textId="77777777" w:rsidR="004260D7" w:rsidRPr="00055E82" w:rsidRDefault="004260D7" w:rsidP="004260D7">
      <w:pPr>
        <w:spacing w:before="120"/>
        <w:rPr>
          <w:b/>
        </w:rPr>
      </w:pPr>
      <w:r>
        <w:rPr>
          <w:b/>
        </w:rPr>
        <w:t>E</w:t>
      </w:r>
      <w:r w:rsidR="00BF2B74">
        <w:rPr>
          <w:b/>
        </w:rPr>
        <w:t>leventh</w:t>
      </w:r>
      <w:r w:rsidRPr="00055E82">
        <w:rPr>
          <w:b/>
        </w:rPr>
        <w:t xml:space="preserve"> meeting</w:t>
      </w:r>
    </w:p>
    <w:p w14:paraId="6DC8875B" w14:textId="77777777" w:rsidR="004260D7" w:rsidRPr="00055E82" w:rsidRDefault="004260D7" w:rsidP="004260D7">
      <w:r w:rsidRPr="00055E82">
        <w:t xml:space="preserve">Geneva, </w:t>
      </w:r>
      <w:r w:rsidR="00BF2B74">
        <w:t>19-21</w:t>
      </w:r>
      <w:r w:rsidRPr="00055E82">
        <w:t xml:space="preserve"> </w:t>
      </w:r>
      <w:r w:rsidR="00BF2B74">
        <w:t>December</w:t>
      </w:r>
      <w:r w:rsidRPr="00055E82">
        <w:t xml:space="preserve"> 20</w:t>
      </w:r>
      <w:r w:rsidR="00BF2B74">
        <w:t>22</w:t>
      </w:r>
    </w:p>
    <w:p w14:paraId="40FDB168" w14:textId="77777777" w:rsidR="0072209F" w:rsidRPr="00EB6489" w:rsidRDefault="0072209F" w:rsidP="0072209F">
      <w:r w:rsidRPr="00FC4723">
        <w:t xml:space="preserve">Item </w:t>
      </w:r>
      <w:r w:rsidR="004260D7" w:rsidRPr="00FC4723">
        <w:t>4</w:t>
      </w:r>
      <w:r w:rsidRPr="00FC4723">
        <w:t xml:space="preserve"> of the provisional agenda</w:t>
      </w:r>
      <w:r w:rsidRPr="00FC4723">
        <w:br/>
      </w:r>
      <w:r w:rsidR="009D62BD" w:rsidRPr="00FC4723">
        <w:rPr>
          <w:b/>
          <w:bCs/>
        </w:rPr>
        <w:t>Compliance and implementation</w:t>
      </w:r>
    </w:p>
    <w:p w14:paraId="5F8BCCA7" w14:textId="77777777" w:rsidR="009D62BD" w:rsidRPr="00EB6489" w:rsidRDefault="00EB6489" w:rsidP="0032434E">
      <w:pPr>
        <w:pStyle w:val="HChG"/>
      </w:pPr>
      <w:r>
        <w:tab/>
      </w:r>
      <w:r>
        <w:tab/>
      </w:r>
      <w:r w:rsidR="006F028B" w:rsidRPr="0032434E">
        <w:t>Additional</w:t>
      </w:r>
      <w:r w:rsidR="006F028B">
        <w:t xml:space="preserve"> i</w:t>
      </w:r>
      <w:r w:rsidR="0065631B">
        <w:t xml:space="preserve">nformation on Parties’ practical application of the </w:t>
      </w:r>
      <w:r w:rsidR="008C6CC0">
        <w:t>Protocol</w:t>
      </w:r>
    </w:p>
    <w:p w14:paraId="113715C3" w14:textId="77777777" w:rsidR="009D62BD" w:rsidRPr="00EB6489" w:rsidRDefault="00EB6489" w:rsidP="0032434E">
      <w:pPr>
        <w:pStyle w:val="H1G"/>
      </w:pPr>
      <w:r w:rsidRPr="00EB6489">
        <w:tab/>
      </w:r>
      <w:r w:rsidR="009D62BD" w:rsidRPr="00EB6489">
        <w:tab/>
      </w:r>
      <w:r w:rsidR="004E45B5">
        <w:t>Informal note prepared by the secretariat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7637DC" w14:paraId="30214E79" w14:textId="77777777" w:rsidTr="007637DC">
        <w:trPr>
          <w:jc w:val="center"/>
        </w:trPr>
        <w:tc>
          <w:tcPr>
            <w:tcW w:w="9637" w:type="dxa"/>
            <w:shd w:val="clear" w:color="auto" w:fill="auto"/>
          </w:tcPr>
          <w:p w14:paraId="0C1C2E1A" w14:textId="2CC2B40C" w:rsidR="007637DC" w:rsidRPr="00B51933" w:rsidRDefault="00D32D9B" w:rsidP="007637DC">
            <w:pPr>
              <w:rPr>
                <w:i/>
                <w:sz w:val="24"/>
              </w:rPr>
            </w:pPr>
            <w:r w:rsidRPr="00C6263E">
              <w:rPr>
                <w:i/>
                <w:sz w:val="24"/>
              </w:rPr>
              <w:t>Summary</w:t>
            </w:r>
          </w:p>
        </w:tc>
      </w:tr>
      <w:tr w:rsidR="007637DC" w14:paraId="4029C40D" w14:textId="77777777" w:rsidTr="007637DC">
        <w:trPr>
          <w:jc w:val="center"/>
        </w:trPr>
        <w:tc>
          <w:tcPr>
            <w:tcW w:w="9637" w:type="dxa"/>
            <w:shd w:val="clear" w:color="auto" w:fill="auto"/>
          </w:tcPr>
          <w:p w14:paraId="08CC4630" w14:textId="77777777" w:rsidR="00FD2672" w:rsidRDefault="007637DC" w:rsidP="007970F4">
            <w:pPr>
              <w:pStyle w:val="SingleTxtG"/>
              <w:ind w:firstLine="284"/>
            </w:pPr>
            <w:r w:rsidRPr="009B3776">
              <w:tab/>
            </w:r>
            <w:r w:rsidR="00FD2672">
              <w:t>This</w:t>
            </w:r>
            <w:r w:rsidR="00E07ED4" w:rsidRPr="009B3776">
              <w:t xml:space="preserve"> document presents a</w:t>
            </w:r>
            <w:r w:rsidR="0065631B">
              <w:t>dditional</w:t>
            </w:r>
            <w:r w:rsidR="00E07ED4" w:rsidRPr="009B3776">
              <w:t xml:space="preserve"> </w:t>
            </w:r>
            <w:r w:rsidR="0065631B">
              <w:t xml:space="preserve">information on Parties’ practical application of the </w:t>
            </w:r>
            <w:r w:rsidR="008C6CC0">
              <w:t>Protocol</w:t>
            </w:r>
            <w:r w:rsidR="0065631B">
              <w:t xml:space="preserve">, supplementing the Draft </w:t>
            </w:r>
            <w:r w:rsidR="008C6CC0">
              <w:t>fourth</w:t>
            </w:r>
            <w:r w:rsidR="0065631B">
              <w:t xml:space="preserve"> </w:t>
            </w:r>
            <w:r w:rsidR="0065631B" w:rsidRPr="00EE23C4">
              <w:rPr>
                <w:lang w:val="sv-SE"/>
              </w:rPr>
              <w:t xml:space="preserve">review of the implementation of the </w:t>
            </w:r>
            <w:r w:rsidR="008C6CC0">
              <w:rPr>
                <w:lang w:val="sv-SE"/>
              </w:rPr>
              <w:t xml:space="preserve">Protocol </w:t>
            </w:r>
            <w:r w:rsidR="0065631B" w:rsidRPr="00EE23C4">
              <w:rPr>
                <w:lang w:val="sv-SE"/>
              </w:rPr>
              <w:t xml:space="preserve">on </w:t>
            </w:r>
            <w:r w:rsidR="008C6CC0" w:rsidRPr="004F763F">
              <w:t>Strategic Environmental</w:t>
            </w:r>
            <w:r w:rsidR="008C6CC0">
              <w:t xml:space="preserve"> </w:t>
            </w:r>
            <w:r w:rsidR="008C6CC0" w:rsidRPr="004F763F">
              <w:t xml:space="preserve">Assessment </w:t>
            </w:r>
            <w:r w:rsidR="0065631B">
              <w:rPr>
                <w:lang w:val="sv-SE"/>
              </w:rPr>
              <w:t>(</w:t>
            </w:r>
            <w:r w:rsidR="0065631B" w:rsidRPr="0065631B">
              <w:rPr>
                <w:lang w:val="sv-SE"/>
              </w:rPr>
              <w:t>ECE/MP.EIA/WG.2/2022/</w:t>
            </w:r>
            <w:r w:rsidR="008C6CC0">
              <w:rPr>
                <w:lang w:val="sv-SE"/>
              </w:rPr>
              <w:t>4</w:t>
            </w:r>
            <w:r w:rsidR="0015776E">
              <w:rPr>
                <w:lang w:val="sv-SE"/>
              </w:rPr>
              <w:t>, paragraph</w:t>
            </w:r>
            <w:r w:rsidR="00D14506">
              <w:rPr>
                <w:lang w:val="sv-SE"/>
              </w:rPr>
              <w:t xml:space="preserve"> 77</w:t>
            </w:r>
            <w:r w:rsidR="0065631B">
              <w:rPr>
                <w:lang w:val="sv-SE"/>
              </w:rPr>
              <w:t>)</w:t>
            </w:r>
            <w:r w:rsidR="0060630D">
              <w:t xml:space="preserve">. </w:t>
            </w:r>
          </w:p>
          <w:p w14:paraId="1FAD44D4" w14:textId="77777777" w:rsidR="00DD2EB3" w:rsidRDefault="0091644A" w:rsidP="00983AEA">
            <w:pPr>
              <w:pStyle w:val="SingleTxtG"/>
              <w:ind w:firstLine="566"/>
            </w:pPr>
            <w:r>
              <w:t>The document is based on P</w:t>
            </w:r>
            <w:r w:rsidR="00FD2672">
              <w:t xml:space="preserve">arties’ </w:t>
            </w:r>
            <w:r w:rsidR="00E07ED4" w:rsidRPr="009B3776">
              <w:t xml:space="preserve">responses to question </w:t>
            </w:r>
            <w:r w:rsidR="008E114A">
              <w:t>II.</w:t>
            </w:r>
            <w:r w:rsidR="00D14506">
              <w:t>10</w:t>
            </w:r>
            <w:r w:rsidR="000503E4">
              <w:t>.</w:t>
            </w:r>
            <w:r w:rsidR="00E84B2C">
              <w:t xml:space="preserve"> (b)</w:t>
            </w:r>
            <w:r w:rsidR="00E07ED4" w:rsidRPr="009B3776">
              <w:t xml:space="preserve"> of the questionnaire </w:t>
            </w:r>
            <w:bookmarkStart w:id="1" w:name="_Hlk22923682"/>
            <w:r w:rsidR="00BC6FFC">
              <w:t xml:space="preserve">on the </w:t>
            </w:r>
            <w:r w:rsidR="00E07ED4" w:rsidRPr="009B3776">
              <w:t xml:space="preserve">implementation of the </w:t>
            </w:r>
            <w:bookmarkEnd w:id="1"/>
            <w:r w:rsidR="00D14506">
              <w:t>Protocol</w:t>
            </w:r>
            <w:r w:rsidR="00BC6FFC">
              <w:t xml:space="preserve"> </w:t>
            </w:r>
            <w:r w:rsidR="00FD2672">
              <w:t xml:space="preserve">in the period </w:t>
            </w:r>
            <w:r w:rsidR="00E07ED4" w:rsidRPr="009B3776">
              <w:t>201</w:t>
            </w:r>
            <w:r w:rsidR="00BF2B74">
              <w:t>9</w:t>
            </w:r>
            <w:r w:rsidR="00FD2672">
              <w:t>–</w:t>
            </w:r>
            <w:r w:rsidR="00E07ED4" w:rsidRPr="009B3776">
              <w:t>20</w:t>
            </w:r>
            <w:r w:rsidR="00BF2B74">
              <w:t>21</w:t>
            </w:r>
            <w:r w:rsidR="00D207F1">
              <w:t xml:space="preserve"> </w:t>
            </w:r>
            <w:r w:rsidR="00983AEA">
              <w:t>in conjunction with</w:t>
            </w:r>
            <w:r w:rsidR="00D207F1">
              <w:t xml:space="preserve"> </w:t>
            </w:r>
            <w:r w:rsidR="006F028B">
              <w:t>a</w:t>
            </w:r>
            <w:r w:rsidR="0065631B">
              <w:t xml:space="preserve">nnex III </w:t>
            </w:r>
            <w:r w:rsidR="00D207F1">
              <w:t>of the questionnaire</w:t>
            </w:r>
            <w:r w:rsidR="00D32D9B">
              <w:t>,</w:t>
            </w:r>
            <w:r w:rsidR="000503E4">
              <w:t xml:space="preserve"> </w:t>
            </w:r>
            <w:r w:rsidR="0015776E">
              <w:t xml:space="preserve">as well as to </w:t>
            </w:r>
            <w:r w:rsidR="0015776E" w:rsidRPr="000503E4">
              <w:t>question II.</w:t>
            </w:r>
            <w:r w:rsidR="00D14506" w:rsidRPr="000503E4">
              <w:t>11</w:t>
            </w:r>
            <w:r w:rsidR="0015776E">
              <w:t xml:space="preserve">, </w:t>
            </w:r>
            <w:r>
              <w:t>inviting Parties</w:t>
            </w:r>
            <w:r w:rsidR="00FD2672">
              <w:t xml:space="preserve"> </w:t>
            </w:r>
            <w:r w:rsidR="00E07ED4" w:rsidRPr="009B3776">
              <w:t xml:space="preserve">to provide </w:t>
            </w:r>
            <w:r w:rsidR="0065631B" w:rsidRPr="005F56E9">
              <w:t>example</w:t>
            </w:r>
            <w:r w:rsidR="0015776E">
              <w:t>s</w:t>
            </w:r>
            <w:r w:rsidR="0065631B" w:rsidRPr="005F56E9">
              <w:t xml:space="preserve"> </w:t>
            </w:r>
            <w:r w:rsidR="0065631B" w:rsidRPr="0011679F">
              <w:t xml:space="preserve">of </w:t>
            </w:r>
            <w:r w:rsidR="001375B4">
              <w:t xml:space="preserve">their </w:t>
            </w:r>
            <w:r w:rsidR="00D14506">
              <w:t xml:space="preserve">experience with </w:t>
            </w:r>
            <w:r w:rsidR="0015776E" w:rsidRPr="0011679F">
              <w:t xml:space="preserve">transboundary </w:t>
            </w:r>
            <w:r w:rsidR="0015776E">
              <w:t>procedure</w:t>
            </w:r>
            <w:r w:rsidR="00D14506">
              <w:t>s</w:t>
            </w:r>
            <w:r w:rsidR="00DD2EB3">
              <w:t xml:space="preserve"> </w:t>
            </w:r>
            <w:r w:rsidR="00D14506">
              <w:t xml:space="preserve">and </w:t>
            </w:r>
            <w:r w:rsidR="006F028B">
              <w:t>to describe any</w:t>
            </w:r>
            <w:r w:rsidR="00D14506">
              <w:t xml:space="preserve"> lessons learned.</w:t>
            </w:r>
          </w:p>
          <w:p w14:paraId="553644FE" w14:textId="77777777" w:rsidR="006C1934" w:rsidRDefault="00983AEA" w:rsidP="0091644A">
            <w:pPr>
              <w:pStyle w:val="SingleTxtG"/>
              <w:ind w:firstLine="566"/>
            </w:pPr>
            <w:r>
              <w:t>Th</w:t>
            </w:r>
            <w:r w:rsidR="00DD2EB3">
              <w:t>e</w:t>
            </w:r>
            <w:r>
              <w:t>s</w:t>
            </w:r>
            <w:r w:rsidR="00DD2EB3">
              <w:t>e</w:t>
            </w:r>
            <w:r>
              <w:t xml:space="preserve"> </w:t>
            </w:r>
            <w:r w:rsidR="006F028B">
              <w:t>questions</w:t>
            </w:r>
            <w:r>
              <w:t xml:space="preserve"> w</w:t>
            </w:r>
            <w:r w:rsidR="00DD2EB3">
              <w:t>ere</w:t>
            </w:r>
            <w:r>
              <w:t xml:space="preserve"> not considered to be a reporting obligation according to the </w:t>
            </w:r>
            <w:r w:rsidR="004F55B1">
              <w:t>Protocol</w:t>
            </w:r>
            <w:r>
              <w:t xml:space="preserve">, but Parties were encouraged to </w:t>
            </w:r>
            <w:r w:rsidR="002512FF">
              <w:t>provide</w:t>
            </w:r>
            <w:r>
              <w:t xml:space="preserve"> examples of good practice, with a view to sharing solutions and innovative approaches</w:t>
            </w:r>
            <w:r w:rsidR="002512FF">
              <w:t xml:space="preserve"> to improving the application of the </w:t>
            </w:r>
            <w:r w:rsidR="004F55B1">
              <w:t>Protocol</w:t>
            </w:r>
            <w:r>
              <w:t>.</w:t>
            </w:r>
            <w:r w:rsidR="00B715A3">
              <w:t xml:space="preserve"> Further to the goals of the long-term strategy</w:t>
            </w:r>
            <w:r w:rsidR="00F57D01">
              <w:t xml:space="preserve">, </w:t>
            </w:r>
            <w:r w:rsidR="005A5AF6">
              <w:t>(VIII/3–IV/3, annex, item A.9),</w:t>
            </w:r>
            <w:r w:rsidR="00F57D01">
              <w:t xml:space="preserve"> </w:t>
            </w:r>
            <w:r w:rsidR="005A5AF6">
              <w:t>the objectives of workplan for 2019–2021 were t</w:t>
            </w:r>
            <w:r w:rsidR="00B715A3">
              <w:t>o improve the information obtained through the questionnaire</w:t>
            </w:r>
            <w:r w:rsidR="00F57D01">
              <w:t xml:space="preserve"> regarding progress achieved and remaining challenges; and to contribute to making the reviews of implementation more informative, turning them into tools for collecting and disseminating good practice</w:t>
            </w:r>
            <w:r w:rsidR="005A5AF6">
              <w:t>.</w:t>
            </w:r>
          </w:p>
          <w:p w14:paraId="1E01A528" w14:textId="77777777" w:rsidR="009B3776" w:rsidRPr="009B3776" w:rsidRDefault="00E07ED4" w:rsidP="0091644A">
            <w:pPr>
              <w:pStyle w:val="SingleTxtG"/>
              <w:ind w:firstLine="566"/>
            </w:pPr>
            <w:r w:rsidRPr="006C1934">
              <w:t xml:space="preserve">The </w:t>
            </w:r>
            <w:r w:rsidR="009B3776" w:rsidRPr="006C1934">
              <w:t xml:space="preserve">Working Group </w:t>
            </w:r>
            <w:r w:rsidR="00FD2672" w:rsidRPr="006C1934">
              <w:t>may wish to</w:t>
            </w:r>
            <w:r w:rsidR="00983AEA" w:rsidRPr="006C1934">
              <w:t xml:space="preserve"> welcome the </w:t>
            </w:r>
            <w:r w:rsidR="005A5AF6" w:rsidRPr="006C1934">
              <w:t xml:space="preserve">willingness of </w:t>
            </w:r>
            <w:r w:rsidR="002512FF" w:rsidRPr="006C1934">
              <w:t xml:space="preserve">several </w:t>
            </w:r>
            <w:r w:rsidR="005A5AF6" w:rsidRPr="006C1934">
              <w:t>Parties to share</w:t>
            </w:r>
            <w:r w:rsidR="005D024B" w:rsidRPr="006C1934">
              <w:t xml:space="preserve"> practical</w:t>
            </w:r>
            <w:r w:rsidR="005A5AF6" w:rsidRPr="006C1934">
              <w:t xml:space="preserve"> </w:t>
            </w:r>
            <w:r w:rsidR="00983AEA" w:rsidRPr="006C1934">
              <w:t>examples</w:t>
            </w:r>
            <w:r w:rsidR="005A5AF6" w:rsidRPr="006C1934">
              <w:t>, to comment the</w:t>
            </w:r>
            <w:r w:rsidR="005D024B" w:rsidRPr="006C1934">
              <w:t xml:space="preserve"> </w:t>
            </w:r>
            <w:r w:rsidR="005A5AF6" w:rsidRPr="006C1934">
              <w:t xml:space="preserve">examples </w:t>
            </w:r>
            <w:r w:rsidR="00983AEA" w:rsidRPr="006C1934">
              <w:t>provided</w:t>
            </w:r>
            <w:r w:rsidR="005D024B" w:rsidRPr="006C1934">
              <w:t xml:space="preserve">, to identify the most relevant of them, </w:t>
            </w:r>
            <w:r w:rsidR="00983AEA" w:rsidRPr="006C1934">
              <w:t xml:space="preserve">and </w:t>
            </w:r>
            <w:r w:rsidR="002512FF" w:rsidRPr="006C1934">
              <w:t xml:space="preserve">to </w:t>
            </w:r>
            <w:r w:rsidR="00983AEA" w:rsidRPr="006C1934">
              <w:t xml:space="preserve">propose </w:t>
            </w:r>
            <w:r w:rsidR="005A5AF6" w:rsidRPr="006C1934">
              <w:t xml:space="preserve">ways </w:t>
            </w:r>
            <w:r w:rsidR="00983AEA" w:rsidRPr="006C1934">
              <w:t>to</w:t>
            </w:r>
            <w:r w:rsidR="002512FF" w:rsidRPr="006C1934">
              <w:t xml:space="preserve"> present and </w:t>
            </w:r>
            <w:r w:rsidR="005D024B" w:rsidRPr="006C1934">
              <w:t xml:space="preserve">to </w:t>
            </w:r>
            <w:r w:rsidR="00983AEA" w:rsidRPr="006C1934">
              <w:t xml:space="preserve">further </w:t>
            </w:r>
            <w:r w:rsidR="002512FF" w:rsidRPr="006C1934">
              <w:t xml:space="preserve">substantiate </w:t>
            </w:r>
            <w:r w:rsidR="00983AEA" w:rsidRPr="006C1934">
              <w:t>them</w:t>
            </w:r>
            <w:r w:rsidR="002512FF" w:rsidRPr="006C1934">
              <w:t xml:space="preserve"> </w:t>
            </w:r>
            <w:r w:rsidR="00C77902" w:rsidRPr="006C1934">
              <w:t xml:space="preserve">with a view </w:t>
            </w:r>
            <w:r w:rsidR="002512FF" w:rsidRPr="006C1934">
              <w:t xml:space="preserve">to </w:t>
            </w:r>
            <w:r w:rsidR="00B13ECB" w:rsidRPr="006C1934">
              <w:t>maximizing</w:t>
            </w:r>
            <w:r w:rsidR="002512FF" w:rsidRPr="006C1934">
              <w:t xml:space="preserve"> the usefulness of the information for Parties and future Parties to the </w:t>
            </w:r>
            <w:r w:rsidR="00D14506">
              <w:t>Protocol</w:t>
            </w:r>
            <w:r w:rsidR="002512FF" w:rsidRPr="006C1934">
              <w:t>.</w:t>
            </w:r>
            <w:r w:rsidR="00983AEA">
              <w:t xml:space="preserve"> </w:t>
            </w:r>
            <w:r w:rsidR="00FD2672">
              <w:t xml:space="preserve"> </w:t>
            </w:r>
          </w:p>
        </w:tc>
      </w:tr>
      <w:tr w:rsidR="007637DC" w14:paraId="13A86D3B" w14:textId="77777777" w:rsidTr="007637DC">
        <w:trPr>
          <w:jc w:val="center"/>
        </w:trPr>
        <w:tc>
          <w:tcPr>
            <w:tcW w:w="9637" w:type="dxa"/>
            <w:shd w:val="clear" w:color="auto" w:fill="auto"/>
          </w:tcPr>
          <w:p w14:paraId="1D52FC5E" w14:textId="77777777" w:rsidR="007637DC" w:rsidRDefault="007637DC" w:rsidP="007637DC"/>
        </w:tc>
      </w:tr>
    </w:tbl>
    <w:p w14:paraId="3F3B330F" w14:textId="77777777" w:rsidR="000503E4" w:rsidRDefault="000503E4" w:rsidP="007970F4">
      <w:pPr>
        <w:pStyle w:val="HChG"/>
      </w:pPr>
      <w:r>
        <w:lastRenderedPageBreak/>
        <w:tab/>
      </w:r>
      <w:r>
        <w:tab/>
      </w:r>
      <w:r w:rsidR="00AA11E9">
        <w:t>G</w:t>
      </w:r>
      <w:r w:rsidR="00D93B52" w:rsidRPr="000503E4">
        <w:t xml:space="preserve">ood practice examples </w:t>
      </w:r>
      <w:r w:rsidR="000C31DA">
        <w:t xml:space="preserve">and lessons learned </w:t>
      </w:r>
      <w:r w:rsidR="00AA11E9">
        <w:t>in the period 2019–2021 as provided by Parties</w:t>
      </w:r>
    </w:p>
    <w:p w14:paraId="131E978F" w14:textId="77777777" w:rsidR="00D93B52" w:rsidRDefault="00E84B2C" w:rsidP="00E84B2C">
      <w:pPr>
        <w:pStyle w:val="SingleTxtG"/>
      </w:pPr>
      <w:r>
        <w:t>1.</w:t>
      </w:r>
      <w:r>
        <w:tab/>
      </w:r>
      <w:r w:rsidR="00D93B52" w:rsidRPr="00B213D8">
        <w:t>1</w:t>
      </w:r>
      <w:r w:rsidR="00D93B52">
        <w:t>0</w:t>
      </w:r>
      <w:r w:rsidR="00D93B52" w:rsidRPr="00B213D8">
        <w:t xml:space="preserve"> Parties</w:t>
      </w:r>
      <w:r w:rsidR="00AA11E9">
        <w:t xml:space="preserve"> to the Protocol</w:t>
      </w:r>
      <w:r w:rsidR="00D93B52" w:rsidRPr="00B213D8">
        <w:t xml:space="preserve"> </w:t>
      </w:r>
      <w:r w:rsidR="00153C6C">
        <w:t xml:space="preserve">(Albania, Armenia, Croatia, Denmark, Estonia, Malta, Montenegro, Poland, </w:t>
      </w:r>
      <w:r w:rsidR="00B97418">
        <w:t>Romania,</w:t>
      </w:r>
      <w:r w:rsidR="00153C6C">
        <w:t xml:space="preserve"> and Spain) </w:t>
      </w:r>
      <w:r w:rsidR="00D93B52">
        <w:t>provided examples</w:t>
      </w:r>
      <w:r w:rsidR="000C31DA">
        <w:t xml:space="preserve"> </w:t>
      </w:r>
      <w:r w:rsidR="000C31DA" w:rsidRPr="0011679F">
        <w:t xml:space="preserve">of </w:t>
      </w:r>
      <w:r w:rsidR="000C31DA">
        <w:t xml:space="preserve">their experience with </w:t>
      </w:r>
      <w:r w:rsidR="000C31DA" w:rsidRPr="0011679F">
        <w:t xml:space="preserve">transboundary </w:t>
      </w:r>
      <w:r w:rsidR="000C31DA">
        <w:t>procedures</w:t>
      </w:r>
      <w:r w:rsidR="00D93B52">
        <w:t xml:space="preserve"> by using the template in </w:t>
      </w:r>
      <w:r w:rsidR="00AA11E9">
        <w:t>a</w:t>
      </w:r>
      <w:r w:rsidR="00D93B52">
        <w:t xml:space="preserve">nnex III to the questionnaire. </w:t>
      </w:r>
      <w:r w:rsidR="00D93B52" w:rsidRPr="00B213D8">
        <w:t>The Parties were also asked to describe “the procedural step(s) considered to represent good practice and then explain why” (questionnaire, annex III, sect. III).</w:t>
      </w:r>
      <w:r w:rsidR="00D93B52" w:rsidRPr="0023140B">
        <w:t xml:space="preserve"> </w:t>
      </w:r>
      <w:r w:rsidR="00D93B52" w:rsidRPr="00F21717">
        <w:t>However, the information provided in the majority of examples contained insufficient evidence of good practice</w:t>
      </w:r>
      <w:r w:rsidR="00D93B52">
        <w:t xml:space="preserve">. </w:t>
      </w:r>
    </w:p>
    <w:p w14:paraId="17A90DA9" w14:textId="77777777" w:rsidR="00531D25" w:rsidRDefault="00E84B2C" w:rsidP="00531D25">
      <w:pPr>
        <w:pStyle w:val="SingleTxtG"/>
      </w:pPr>
      <w:r>
        <w:t>2.</w:t>
      </w:r>
      <w:r>
        <w:tab/>
      </w:r>
      <w:r w:rsidR="00E259F8">
        <w:t xml:space="preserve">Two Parties </w:t>
      </w:r>
      <w:r w:rsidR="00F65EE0">
        <w:t>(</w:t>
      </w:r>
      <w:r w:rsidR="00E259F8">
        <w:t xml:space="preserve">Finland and </w:t>
      </w:r>
      <w:r w:rsidR="00F65EE0">
        <w:t xml:space="preserve">Lithuania) </w:t>
      </w:r>
      <w:r w:rsidR="009809CF">
        <w:t>provided further good practice examples in response to question II.1</w:t>
      </w:r>
      <w:r w:rsidR="00F65EE0">
        <w:t>0 (b)</w:t>
      </w:r>
      <w:r w:rsidR="00AA11E9">
        <w:t xml:space="preserve">, which </w:t>
      </w:r>
      <w:r w:rsidR="00F65EE0">
        <w:t>reads “</w:t>
      </w:r>
      <w:r w:rsidR="00F65EE0" w:rsidRPr="00AA11E9">
        <w:rPr>
          <w:i/>
          <w:iCs/>
        </w:rPr>
        <w:t xml:space="preserve">To contribute to the sharing of knowledge and experience on themes outlined in the workplan for 2021–2023, please provide at least one example of your country’s application of strategic environmental assessment in one or several of the following areas: </w:t>
      </w:r>
      <w:r w:rsidR="00304E1C">
        <w:rPr>
          <w:i/>
          <w:iCs/>
        </w:rPr>
        <w:t>b</w:t>
      </w:r>
      <w:r w:rsidR="00F65EE0" w:rsidRPr="00AA11E9">
        <w:rPr>
          <w:i/>
          <w:iCs/>
        </w:rPr>
        <w:t xml:space="preserve">iodiversity; </w:t>
      </w:r>
      <w:r w:rsidR="00304E1C">
        <w:rPr>
          <w:i/>
          <w:iCs/>
        </w:rPr>
        <w:t>c</w:t>
      </w:r>
      <w:r w:rsidR="00F65EE0" w:rsidRPr="00AA11E9">
        <w:rPr>
          <w:i/>
          <w:iCs/>
        </w:rPr>
        <w:t xml:space="preserve">ircular economy; </w:t>
      </w:r>
      <w:r w:rsidR="00304E1C">
        <w:rPr>
          <w:i/>
          <w:iCs/>
        </w:rPr>
        <w:t>e</w:t>
      </w:r>
      <w:r w:rsidR="00F65EE0" w:rsidRPr="00AA11E9">
        <w:rPr>
          <w:i/>
          <w:iCs/>
        </w:rPr>
        <w:t xml:space="preserve">nergy transition; </w:t>
      </w:r>
      <w:r w:rsidR="00304E1C">
        <w:rPr>
          <w:i/>
          <w:iCs/>
        </w:rPr>
        <w:t>d</w:t>
      </w:r>
      <w:r w:rsidR="00F65EE0" w:rsidRPr="00AA11E9">
        <w:rPr>
          <w:i/>
          <w:iCs/>
        </w:rPr>
        <w:t xml:space="preserve">evelopment cooperation; </w:t>
      </w:r>
      <w:r w:rsidR="00304E1C">
        <w:rPr>
          <w:i/>
          <w:iCs/>
        </w:rPr>
        <w:t>s</w:t>
      </w:r>
      <w:r w:rsidR="00F65EE0" w:rsidRPr="00AA11E9">
        <w:rPr>
          <w:i/>
          <w:iCs/>
        </w:rPr>
        <w:t xml:space="preserve">mart and sustainable cities; </w:t>
      </w:r>
      <w:r w:rsidR="00304E1C">
        <w:rPr>
          <w:i/>
          <w:iCs/>
        </w:rPr>
        <w:t>s</w:t>
      </w:r>
      <w:r w:rsidR="00F65EE0" w:rsidRPr="00AA11E9">
        <w:rPr>
          <w:i/>
          <w:iCs/>
        </w:rPr>
        <w:t xml:space="preserve">ustainable infrastructure; </w:t>
      </w:r>
      <w:r w:rsidR="00AA11E9" w:rsidRPr="00AA11E9">
        <w:rPr>
          <w:i/>
          <w:iCs/>
        </w:rPr>
        <w:t xml:space="preserve">and </w:t>
      </w:r>
      <w:r w:rsidR="00304E1C">
        <w:rPr>
          <w:i/>
          <w:iCs/>
        </w:rPr>
        <w:t>m</w:t>
      </w:r>
      <w:r w:rsidR="00F65EE0" w:rsidRPr="00AA11E9">
        <w:rPr>
          <w:i/>
          <w:iCs/>
        </w:rPr>
        <w:t>aritime spatial planning”.</w:t>
      </w:r>
      <w:r w:rsidR="00F65EE0">
        <w:t xml:space="preserve"> </w:t>
      </w:r>
    </w:p>
    <w:p w14:paraId="4B7DD586" w14:textId="77777777" w:rsidR="00531D25" w:rsidRDefault="00531D25" w:rsidP="00E84B2C">
      <w:pPr>
        <w:pStyle w:val="SingleTxtG"/>
      </w:pPr>
      <w:r>
        <w:t>3.</w:t>
      </w:r>
      <w:r>
        <w:tab/>
      </w:r>
      <w:r w:rsidR="00F65EE0">
        <w:t>Two Parties (Estonia and Romania) provided further good practice examples in response to question II.1</w:t>
      </w:r>
      <w:r w:rsidR="002C7E84">
        <w:t>1</w:t>
      </w:r>
      <w:r w:rsidR="00AA11E9">
        <w:t xml:space="preserve">, which reads: </w:t>
      </w:r>
      <w:r w:rsidR="009809CF" w:rsidRPr="00AA11E9">
        <w:rPr>
          <w:i/>
          <w:iCs/>
        </w:rPr>
        <w:t>“Please indicate whether your country has been carrying out monitoring according to article 12.”</w:t>
      </w:r>
      <w:r w:rsidR="00F65EE0" w:rsidRPr="00F65EE0">
        <w:t xml:space="preserve"> </w:t>
      </w:r>
    </w:p>
    <w:p w14:paraId="35755A4F" w14:textId="77777777" w:rsidR="00531D25" w:rsidRDefault="00531D25" w:rsidP="00531D25">
      <w:pPr>
        <w:pStyle w:val="SingleTxtG"/>
      </w:pPr>
      <w:r>
        <w:t>4.</w:t>
      </w:r>
      <w:r>
        <w:tab/>
        <w:t>T</w:t>
      </w:r>
      <w:r w:rsidR="004E4CE8">
        <w:t>he t</w:t>
      </w:r>
      <w:r w:rsidR="004E4CE8" w:rsidRPr="002B6A89">
        <w:t>able below</w:t>
      </w:r>
      <w:r w:rsidRPr="002B6A89">
        <w:t xml:space="preserve"> compiles the information provided. Some of the text has gone through light </w:t>
      </w:r>
      <w:r w:rsidR="000A2069">
        <w:t xml:space="preserve">(informal) </w:t>
      </w:r>
      <w:r w:rsidRPr="002B6A89">
        <w:t>English editing. The last column of the table provides a link to the questionnaires</w:t>
      </w:r>
      <w:r>
        <w:t xml:space="preserve"> as filled in by the Parties. </w:t>
      </w:r>
    </w:p>
    <w:p w14:paraId="5F7BBD8E" w14:textId="30CB613F" w:rsidR="00531D25" w:rsidRPr="00531D25" w:rsidRDefault="00531D25" w:rsidP="007970F4">
      <w:pPr>
        <w:pStyle w:val="SingleTxtG"/>
        <w:rPr>
          <w:b/>
          <w:bCs/>
        </w:rPr>
      </w:pPr>
      <w:r>
        <w:t>Table</w:t>
      </w:r>
      <w:r w:rsidR="007970F4">
        <w:br/>
      </w:r>
      <w:r w:rsidRPr="00531D25">
        <w:rPr>
          <w:b/>
          <w:bCs/>
        </w:rPr>
        <w:t>Parties providing good practice examples and lessons learned</w:t>
      </w:r>
    </w:p>
    <w:tbl>
      <w:tblPr>
        <w:tblW w:w="9637" w:type="dxa"/>
        <w:tblLayout w:type="fixed"/>
        <w:tblCellMar>
          <w:left w:w="0" w:type="dxa"/>
          <w:right w:w="0" w:type="dxa"/>
        </w:tblCellMar>
        <w:tblLook w:val="04A0" w:firstRow="1" w:lastRow="0" w:firstColumn="1" w:lastColumn="0" w:noHBand="0" w:noVBand="1"/>
      </w:tblPr>
      <w:tblGrid>
        <w:gridCol w:w="1246"/>
        <w:gridCol w:w="1605"/>
        <w:gridCol w:w="1427"/>
        <w:gridCol w:w="1069"/>
        <w:gridCol w:w="2032"/>
        <w:gridCol w:w="2258"/>
      </w:tblGrid>
      <w:tr w:rsidR="005E10A4" w:rsidRPr="007970F4" w14:paraId="1E58B904" w14:textId="77777777" w:rsidTr="0057020D">
        <w:trPr>
          <w:tblHeader/>
        </w:trPr>
        <w:tc>
          <w:tcPr>
            <w:tcW w:w="1173" w:type="dxa"/>
            <w:tcBorders>
              <w:top w:val="single" w:sz="4" w:space="0" w:color="auto"/>
              <w:bottom w:val="single" w:sz="12" w:space="0" w:color="auto"/>
            </w:tcBorders>
            <w:shd w:val="clear" w:color="auto" w:fill="auto"/>
            <w:vAlign w:val="bottom"/>
          </w:tcPr>
          <w:p w14:paraId="2923CE79" w14:textId="77777777" w:rsidR="00705E38" w:rsidRPr="007970F4" w:rsidRDefault="00705E38" w:rsidP="007970F4">
            <w:pPr>
              <w:spacing w:before="80" w:after="80" w:line="200" w:lineRule="exact"/>
              <w:ind w:right="113"/>
              <w:rPr>
                <w:rFonts w:eastAsia="Calibri"/>
                <w:i/>
                <w:sz w:val="16"/>
                <w:lang w:val="nb-NO"/>
              </w:rPr>
            </w:pPr>
            <w:r w:rsidRPr="007970F4">
              <w:rPr>
                <w:rFonts w:eastAsia="Calibri"/>
                <w:i/>
                <w:sz w:val="16"/>
                <w:lang w:val="nb-NO"/>
              </w:rPr>
              <w:t>Respondent</w:t>
            </w:r>
          </w:p>
        </w:tc>
        <w:tc>
          <w:tcPr>
            <w:tcW w:w="1511" w:type="dxa"/>
            <w:tcBorders>
              <w:top w:val="single" w:sz="4" w:space="0" w:color="auto"/>
              <w:bottom w:val="single" w:sz="12" w:space="0" w:color="auto"/>
            </w:tcBorders>
            <w:shd w:val="clear" w:color="auto" w:fill="auto"/>
            <w:vAlign w:val="bottom"/>
          </w:tcPr>
          <w:p w14:paraId="5DB4C249" w14:textId="77777777" w:rsidR="00705E38" w:rsidRPr="007970F4" w:rsidRDefault="00705E38" w:rsidP="007970F4">
            <w:pPr>
              <w:spacing w:before="80" w:after="80" w:line="200" w:lineRule="exact"/>
              <w:ind w:right="113"/>
              <w:rPr>
                <w:rFonts w:eastAsia="Calibri"/>
                <w:i/>
                <w:sz w:val="16"/>
                <w:lang w:val="nb-NO"/>
              </w:rPr>
            </w:pPr>
            <w:r w:rsidRPr="007970F4">
              <w:rPr>
                <w:rFonts w:eastAsia="Calibri"/>
                <w:i/>
                <w:sz w:val="16"/>
                <w:lang w:val="nb-NO"/>
              </w:rPr>
              <w:t>Project type</w:t>
            </w:r>
          </w:p>
        </w:tc>
        <w:tc>
          <w:tcPr>
            <w:tcW w:w="1343" w:type="dxa"/>
            <w:tcBorders>
              <w:top w:val="single" w:sz="4" w:space="0" w:color="auto"/>
              <w:bottom w:val="single" w:sz="12" w:space="0" w:color="auto"/>
            </w:tcBorders>
            <w:shd w:val="clear" w:color="auto" w:fill="auto"/>
            <w:vAlign w:val="bottom"/>
          </w:tcPr>
          <w:p w14:paraId="7A8E4B8C" w14:textId="77777777" w:rsidR="003B6012" w:rsidRPr="007970F4" w:rsidRDefault="003B6012" w:rsidP="007970F4">
            <w:pPr>
              <w:spacing w:before="80" w:after="80" w:line="200" w:lineRule="exact"/>
              <w:ind w:right="113"/>
              <w:rPr>
                <w:rFonts w:eastAsia="Calibri"/>
                <w:i/>
                <w:sz w:val="16"/>
                <w:lang w:val="en-US"/>
              </w:rPr>
            </w:pPr>
            <w:r w:rsidRPr="007970F4">
              <w:rPr>
                <w:rFonts w:eastAsia="Calibri"/>
                <w:i/>
                <w:sz w:val="16"/>
                <w:lang w:val="en-US"/>
              </w:rPr>
              <w:t>Domestic or transboundary</w:t>
            </w:r>
            <w:r w:rsidR="00B908D4" w:rsidRPr="007970F4">
              <w:rPr>
                <w:rFonts w:eastAsia="Calibri"/>
                <w:i/>
                <w:sz w:val="16"/>
                <w:lang w:val="en-US"/>
              </w:rPr>
              <w:t xml:space="preserve"> </w:t>
            </w:r>
            <w:r w:rsidRPr="007970F4">
              <w:rPr>
                <w:rFonts w:eastAsia="Calibri"/>
                <w:i/>
                <w:sz w:val="16"/>
                <w:lang w:val="en-US"/>
              </w:rPr>
              <w:t>procedure</w:t>
            </w:r>
          </w:p>
        </w:tc>
        <w:tc>
          <w:tcPr>
            <w:tcW w:w="1006" w:type="dxa"/>
            <w:tcBorders>
              <w:top w:val="single" w:sz="4" w:space="0" w:color="auto"/>
              <w:bottom w:val="single" w:sz="12" w:space="0" w:color="auto"/>
            </w:tcBorders>
            <w:shd w:val="clear" w:color="auto" w:fill="auto"/>
            <w:vAlign w:val="bottom"/>
          </w:tcPr>
          <w:p w14:paraId="3FF542AE" w14:textId="77777777" w:rsidR="00705E38" w:rsidRPr="007970F4" w:rsidRDefault="00705E38" w:rsidP="007970F4">
            <w:pPr>
              <w:spacing w:before="80" w:after="80" w:line="200" w:lineRule="exact"/>
              <w:ind w:right="113"/>
              <w:rPr>
                <w:rFonts w:eastAsia="Calibri"/>
                <w:i/>
                <w:sz w:val="16"/>
                <w:lang w:val="en-US"/>
              </w:rPr>
            </w:pPr>
            <w:r w:rsidRPr="007970F4">
              <w:rPr>
                <w:rFonts w:eastAsia="Calibri"/>
                <w:i/>
                <w:sz w:val="16"/>
                <w:lang w:val="en-US"/>
              </w:rPr>
              <w:t>Stages covered in good practice example</w:t>
            </w:r>
          </w:p>
        </w:tc>
        <w:tc>
          <w:tcPr>
            <w:tcW w:w="1913" w:type="dxa"/>
            <w:tcBorders>
              <w:top w:val="single" w:sz="4" w:space="0" w:color="auto"/>
              <w:bottom w:val="single" w:sz="12" w:space="0" w:color="auto"/>
            </w:tcBorders>
            <w:shd w:val="clear" w:color="auto" w:fill="auto"/>
            <w:vAlign w:val="bottom"/>
          </w:tcPr>
          <w:p w14:paraId="3F0BDAC3" w14:textId="77777777" w:rsidR="00705E38" w:rsidRPr="007970F4" w:rsidRDefault="00705E38" w:rsidP="007970F4">
            <w:pPr>
              <w:spacing w:before="80" w:after="80" w:line="200" w:lineRule="exact"/>
              <w:ind w:right="113"/>
              <w:rPr>
                <w:rFonts w:eastAsia="Calibri"/>
                <w:i/>
                <w:sz w:val="16"/>
                <w:lang w:val="en-US"/>
              </w:rPr>
            </w:pPr>
            <w:r w:rsidRPr="007970F4">
              <w:rPr>
                <w:rFonts w:eastAsia="Calibri"/>
                <w:i/>
                <w:sz w:val="16"/>
                <w:lang w:val="en-US"/>
              </w:rPr>
              <w:t>Lessons learned</w:t>
            </w:r>
          </w:p>
        </w:tc>
        <w:tc>
          <w:tcPr>
            <w:tcW w:w="2126" w:type="dxa"/>
            <w:tcBorders>
              <w:top w:val="single" w:sz="4" w:space="0" w:color="auto"/>
              <w:bottom w:val="single" w:sz="12" w:space="0" w:color="auto"/>
            </w:tcBorders>
            <w:shd w:val="clear" w:color="auto" w:fill="auto"/>
            <w:vAlign w:val="bottom"/>
          </w:tcPr>
          <w:p w14:paraId="44D4449B" w14:textId="77777777" w:rsidR="00705E38" w:rsidRPr="007970F4" w:rsidRDefault="00705E38" w:rsidP="007970F4">
            <w:pPr>
              <w:spacing w:before="80" w:after="80" w:line="200" w:lineRule="exact"/>
              <w:ind w:right="113"/>
              <w:rPr>
                <w:rFonts w:eastAsia="Calibri"/>
                <w:i/>
                <w:sz w:val="16"/>
                <w:lang w:val="en-US"/>
              </w:rPr>
            </w:pPr>
            <w:r w:rsidRPr="007970F4">
              <w:rPr>
                <w:rFonts w:eastAsia="Calibri"/>
                <w:i/>
                <w:sz w:val="16"/>
                <w:lang w:val="en-US"/>
              </w:rPr>
              <w:t xml:space="preserve">Link to </w:t>
            </w:r>
            <w:r w:rsidR="005D024B" w:rsidRPr="007970F4">
              <w:rPr>
                <w:rFonts w:eastAsia="Calibri"/>
                <w:i/>
                <w:sz w:val="16"/>
                <w:lang w:val="en-US"/>
              </w:rPr>
              <w:t xml:space="preserve">the </w:t>
            </w:r>
            <w:r w:rsidRPr="007970F4">
              <w:rPr>
                <w:rFonts w:eastAsia="Calibri"/>
                <w:i/>
                <w:sz w:val="16"/>
                <w:lang w:val="en-US"/>
              </w:rPr>
              <w:t>questionnaire</w:t>
            </w:r>
            <w:r w:rsidR="005D024B" w:rsidRPr="007970F4">
              <w:rPr>
                <w:rFonts w:eastAsia="Calibri"/>
                <w:i/>
                <w:sz w:val="16"/>
                <w:lang w:val="en-US"/>
              </w:rPr>
              <w:t xml:space="preserve"> response</w:t>
            </w:r>
          </w:p>
        </w:tc>
      </w:tr>
      <w:tr w:rsidR="007970F4" w:rsidRPr="007970F4" w14:paraId="61BEB052" w14:textId="77777777" w:rsidTr="0057020D">
        <w:trPr>
          <w:trHeight w:hRule="exact" w:val="113"/>
        </w:trPr>
        <w:tc>
          <w:tcPr>
            <w:tcW w:w="1173" w:type="dxa"/>
            <w:tcBorders>
              <w:top w:val="single" w:sz="12" w:space="0" w:color="auto"/>
            </w:tcBorders>
            <w:shd w:val="clear" w:color="auto" w:fill="auto"/>
          </w:tcPr>
          <w:p w14:paraId="3068A977" w14:textId="77777777" w:rsidR="007970F4" w:rsidRPr="007970F4" w:rsidRDefault="007970F4" w:rsidP="007970F4">
            <w:pPr>
              <w:spacing w:before="40" w:after="120"/>
              <w:ind w:right="113"/>
              <w:rPr>
                <w:rFonts w:eastAsia="Calibri"/>
                <w:lang w:val="nb-NO"/>
              </w:rPr>
            </w:pPr>
          </w:p>
        </w:tc>
        <w:tc>
          <w:tcPr>
            <w:tcW w:w="1511" w:type="dxa"/>
            <w:tcBorders>
              <w:top w:val="single" w:sz="12" w:space="0" w:color="auto"/>
            </w:tcBorders>
            <w:shd w:val="clear" w:color="auto" w:fill="auto"/>
          </w:tcPr>
          <w:p w14:paraId="3A3A0F80" w14:textId="77777777" w:rsidR="007970F4" w:rsidRPr="007970F4" w:rsidRDefault="007970F4" w:rsidP="007970F4">
            <w:pPr>
              <w:spacing w:before="40" w:after="120"/>
              <w:ind w:right="113"/>
              <w:rPr>
                <w:rFonts w:eastAsia="Calibri"/>
                <w:lang w:val="nb-NO"/>
              </w:rPr>
            </w:pPr>
          </w:p>
        </w:tc>
        <w:tc>
          <w:tcPr>
            <w:tcW w:w="1343" w:type="dxa"/>
            <w:tcBorders>
              <w:top w:val="single" w:sz="12" w:space="0" w:color="auto"/>
            </w:tcBorders>
            <w:shd w:val="clear" w:color="auto" w:fill="auto"/>
          </w:tcPr>
          <w:p w14:paraId="60717019" w14:textId="77777777" w:rsidR="007970F4" w:rsidRPr="007970F4" w:rsidRDefault="007970F4" w:rsidP="007970F4">
            <w:pPr>
              <w:spacing w:before="40" w:after="120"/>
              <w:ind w:right="113"/>
              <w:rPr>
                <w:rFonts w:eastAsia="Calibri"/>
                <w:lang w:val="en-US"/>
              </w:rPr>
            </w:pPr>
          </w:p>
        </w:tc>
        <w:tc>
          <w:tcPr>
            <w:tcW w:w="1006" w:type="dxa"/>
            <w:tcBorders>
              <w:top w:val="single" w:sz="12" w:space="0" w:color="auto"/>
            </w:tcBorders>
            <w:shd w:val="clear" w:color="auto" w:fill="auto"/>
          </w:tcPr>
          <w:p w14:paraId="7AE65DAC" w14:textId="77777777" w:rsidR="007970F4" w:rsidRPr="007970F4" w:rsidRDefault="007970F4" w:rsidP="007970F4">
            <w:pPr>
              <w:spacing w:before="40" w:after="120"/>
              <w:ind w:right="113"/>
              <w:rPr>
                <w:rFonts w:eastAsia="Calibri"/>
                <w:lang w:val="en-US"/>
              </w:rPr>
            </w:pPr>
          </w:p>
        </w:tc>
        <w:tc>
          <w:tcPr>
            <w:tcW w:w="1913" w:type="dxa"/>
            <w:tcBorders>
              <w:top w:val="single" w:sz="12" w:space="0" w:color="auto"/>
            </w:tcBorders>
            <w:shd w:val="clear" w:color="auto" w:fill="auto"/>
          </w:tcPr>
          <w:p w14:paraId="72A49395" w14:textId="77777777" w:rsidR="007970F4" w:rsidRPr="007970F4" w:rsidRDefault="007970F4" w:rsidP="007970F4">
            <w:pPr>
              <w:spacing w:before="40" w:after="120"/>
              <w:ind w:right="113"/>
              <w:rPr>
                <w:rFonts w:eastAsia="Calibri"/>
                <w:lang w:val="en-US"/>
              </w:rPr>
            </w:pPr>
          </w:p>
        </w:tc>
        <w:tc>
          <w:tcPr>
            <w:tcW w:w="2126" w:type="dxa"/>
            <w:tcBorders>
              <w:top w:val="single" w:sz="12" w:space="0" w:color="auto"/>
            </w:tcBorders>
            <w:shd w:val="clear" w:color="auto" w:fill="auto"/>
          </w:tcPr>
          <w:p w14:paraId="2EBE9DF6" w14:textId="77777777" w:rsidR="007970F4" w:rsidRPr="007970F4" w:rsidRDefault="007970F4" w:rsidP="007970F4">
            <w:pPr>
              <w:spacing w:before="40" w:after="120"/>
              <w:ind w:right="113"/>
              <w:rPr>
                <w:rFonts w:eastAsia="Calibri"/>
                <w:lang w:val="en-US"/>
              </w:rPr>
            </w:pPr>
          </w:p>
        </w:tc>
      </w:tr>
      <w:tr w:rsidR="0057020D" w:rsidRPr="007970F4" w14:paraId="19E449F3" w14:textId="77777777" w:rsidTr="0057020D">
        <w:tc>
          <w:tcPr>
            <w:tcW w:w="1173" w:type="dxa"/>
            <w:shd w:val="clear" w:color="auto" w:fill="auto"/>
          </w:tcPr>
          <w:p w14:paraId="4CBE859A" w14:textId="77777777" w:rsidR="003B6012" w:rsidRPr="007970F4" w:rsidRDefault="003B6012" w:rsidP="007970F4">
            <w:pPr>
              <w:spacing w:before="40" w:after="120"/>
              <w:ind w:right="113"/>
              <w:rPr>
                <w:rFonts w:eastAsia="Calibri"/>
                <w:bCs/>
                <w:lang w:val="nb-NO"/>
              </w:rPr>
            </w:pPr>
            <w:r w:rsidRPr="007970F4">
              <w:rPr>
                <w:rFonts w:eastAsia="Calibri"/>
                <w:bCs/>
                <w:lang w:val="nb-NO"/>
              </w:rPr>
              <w:t>Albania</w:t>
            </w:r>
          </w:p>
        </w:tc>
        <w:tc>
          <w:tcPr>
            <w:tcW w:w="1511" w:type="dxa"/>
            <w:shd w:val="clear" w:color="auto" w:fill="auto"/>
          </w:tcPr>
          <w:p w14:paraId="441832CC" w14:textId="77777777" w:rsidR="003B6012" w:rsidRPr="007970F4" w:rsidRDefault="00E232F6" w:rsidP="007970F4">
            <w:pPr>
              <w:spacing w:before="40" w:after="120"/>
              <w:ind w:right="113"/>
              <w:rPr>
                <w:rFonts w:eastAsia="Calibri"/>
                <w:bCs/>
                <w:lang w:val="nb-NO"/>
              </w:rPr>
            </w:pPr>
            <w:r w:rsidRPr="007970F4">
              <w:rPr>
                <w:rFonts w:eastAsia="Calibri"/>
                <w:bCs/>
                <w:lang w:val="nb-NO"/>
              </w:rPr>
              <w:t xml:space="preserve">Detailed </w:t>
            </w:r>
            <w:r w:rsidR="00531D25" w:rsidRPr="007970F4">
              <w:rPr>
                <w:rFonts w:eastAsia="Calibri"/>
                <w:bCs/>
                <w:lang w:val="nb-NO"/>
              </w:rPr>
              <w:t>p</w:t>
            </w:r>
            <w:r w:rsidRPr="007970F4">
              <w:rPr>
                <w:rFonts w:eastAsia="Calibri"/>
                <w:bCs/>
                <w:lang w:val="nb-NO"/>
              </w:rPr>
              <w:t xml:space="preserve">lan of </w:t>
            </w:r>
            <w:r w:rsidR="00531D25" w:rsidRPr="007970F4">
              <w:rPr>
                <w:rFonts w:eastAsia="Calibri"/>
                <w:bCs/>
                <w:lang w:val="nb-NO"/>
              </w:rPr>
              <w:t>t</w:t>
            </w:r>
            <w:r w:rsidRPr="007970F4">
              <w:rPr>
                <w:rFonts w:eastAsia="Calibri"/>
                <w:bCs/>
                <w:lang w:val="nb-NO"/>
              </w:rPr>
              <w:t xml:space="preserve">he </w:t>
            </w:r>
            <w:r w:rsidR="00531D25" w:rsidRPr="007970F4">
              <w:rPr>
                <w:rFonts w:eastAsia="Calibri"/>
                <w:bCs/>
                <w:lang w:val="nb-NO"/>
              </w:rPr>
              <w:t>a</w:t>
            </w:r>
            <w:r w:rsidRPr="007970F4">
              <w:rPr>
                <w:rFonts w:eastAsia="Calibri"/>
                <w:bCs/>
                <w:lang w:val="nb-NO"/>
              </w:rPr>
              <w:t xml:space="preserve">rea of </w:t>
            </w:r>
            <w:r w:rsidR="00531D25" w:rsidRPr="007970F4">
              <w:rPr>
                <w:rFonts w:eastAsia="Calibri"/>
                <w:bCs/>
                <w:lang w:val="nb-NO"/>
              </w:rPr>
              <w:t>n</w:t>
            </w:r>
            <w:r w:rsidRPr="007970F4">
              <w:rPr>
                <w:rFonts w:eastAsia="Calibri"/>
                <w:bCs/>
                <w:lang w:val="nb-NO"/>
              </w:rPr>
              <w:t xml:space="preserve">ational </w:t>
            </w:r>
            <w:r w:rsidR="00531D25" w:rsidRPr="007970F4">
              <w:rPr>
                <w:rFonts w:eastAsia="Calibri"/>
                <w:bCs/>
                <w:lang w:val="nb-NO"/>
              </w:rPr>
              <w:t>i</w:t>
            </w:r>
            <w:r w:rsidRPr="007970F4">
              <w:rPr>
                <w:rFonts w:eastAsia="Calibri"/>
                <w:bCs/>
                <w:lang w:val="nb-NO"/>
              </w:rPr>
              <w:t xml:space="preserve">mportance </w:t>
            </w:r>
            <w:r w:rsidR="000A2069" w:rsidRPr="007970F4">
              <w:rPr>
                <w:rFonts w:eastAsia="Calibri"/>
                <w:bCs/>
                <w:lang w:val="nb-NO"/>
              </w:rPr>
              <w:t>(</w:t>
            </w:r>
            <w:r w:rsidRPr="007970F4">
              <w:rPr>
                <w:rFonts w:eastAsia="Calibri"/>
                <w:bCs/>
                <w:lang w:val="nb-NO"/>
              </w:rPr>
              <w:t>S</w:t>
            </w:r>
            <w:r w:rsidR="00B97418" w:rsidRPr="007970F4">
              <w:rPr>
                <w:rFonts w:eastAsia="Calibri"/>
                <w:bCs/>
                <w:lang w:val="nb-NO"/>
              </w:rPr>
              <w:t>pille</w:t>
            </w:r>
            <w:r w:rsidR="000A2069" w:rsidRPr="007970F4">
              <w:rPr>
                <w:rFonts w:eastAsia="Calibri"/>
                <w:bCs/>
                <w:lang w:val="nb-NO"/>
              </w:rPr>
              <w:t>)</w:t>
            </w:r>
          </w:p>
        </w:tc>
        <w:tc>
          <w:tcPr>
            <w:tcW w:w="1343" w:type="dxa"/>
            <w:shd w:val="clear" w:color="auto" w:fill="auto"/>
          </w:tcPr>
          <w:p w14:paraId="6F618B62" w14:textId="77777777" w:rsidR="003B6012" w:rsidRPr="007970F4" w:rsidRDefault="00E232F6" w:rsidP="007970F4">
            <w:pPr>
              <w:spacing w:before="40" w:after="120"/>
              <w:ind w:right="113"/>
              <w:rPr>
                <w:rFonts w:eastAsia="Calibri"/>
                <w:bCs/>
                <w:lang w:val="en-US"/>
              </w:rPr>
            </w:pPr>
            <w:r w:rsidRPr="007970F4">
              <w:rPr>
                <w:rFonts w:eastAsia="Calibri"/>
                <w:bCs/>
                <w:lang w:val="en-US"/>
              </w:rPr>
              <w:t>Domestic</w:t>
            </w:r>
          </w:p>
        </w:tc>
        <w:tc>
          <w:tcPr>
            <w:tcW w:w="1006" w:type="dxa"/>
            <w:shd w:val="clear" w:color="auto" w:fill="auto"/>
          </w:tcPr>
          <w:p w14:paraId="0C2D0F30" w14:textId="77777777" w:rsidR="003B6012" w:rsidRPr="007970F4" w:rsidRDefault="00E232F6" w:rsidP="007970F4">
            <w:pPr>
              <w:spacing w:before="40" w:after="120"/>
              <w:ind w:right="113"/>
              <w:rPr>
                <w:rFonts w:eastAsia="Calibri"/>
                <w:bCs/>
                <w:lang w:val="en-US"/>
              </w:rPr>
            </w:pPr>
            <w:r w:rsidRPr="007970F4">
              <w:rPr>
                <w:rFonts w:eastAsia="Calibri"/>
                <w:bCs/>
                <w:lang w:val="en-US"/>
              </w:rPr>
              <w:t>Entire procedure</w:t>
            </w:r>
          </w:p>
        </w:tc>
        <w:tc>
          <w:tcPr>
            <w:tcW w:w="1913" w:type="dxa"/>
            <w:shd w:val="clear" w:color="auto" w:fill="auto"/>
          </w:tcPr>
          <w:p w14:paraId="37AC5D29" w14:textId="77777777" w:rsidR="003B6012" w:rsidRPr="007970F4" w:rsidRDefault="00D93B52" w:rsidP="007970F4">
            <w:pPr>
              <w:spacing w:before="40" w:after="120"/>
              <w:ind w:right="113"/>
              <w:rPr>
                <w:rFonts w:eastAsia="Calibri"/>
                <w:bCs/>
                <w:lang w:val="en-US"/>
              </w:rPr>
            </w:pPr>
            <w:r w:rsidRPr="007970F4">
              <w:rPr>
                <w:rFonts w:eastAsia="Calibri"/>
                <w:bCs/>
                <w:lang w:val="en-US"/>
              </w:rPr>
              <w:t>-</w:t>
            </w:r>
          </w:p>
        </w:tc>
        <w:tc>
          <w:tcPr>
            <w:tcW w:w="2126" w:type="dxa"/>
            <w:shd w:val="clear" w:color="auto" w:fill="auto"/>
          </w:tcPr>
          <w:p w14:paraId="6A7EB4A0" w14:textId="77777777" w:rsidR="003B6012" w:rsidRPr="007970F4" w:rsidRDefault="00D93B52" w:rsidP="007970F4">
            <w:pPr>
              <w:spacing w:before="40" w:after="120"/>
              <w:ind w:right="113"/>
              <w:rPr>
                <w:rFonts w:eastAsia="Calibri"/>
                <w:bCs/>
                <w:lang w:val="en-US"/>
              </w:rPr>
            </w:pPr>
            <w:r w:rsidRPr="007970F4">
              <w:rPr>
                <w:rFonts w:eastAsia="Calibri"/>
                <w:bCs/>
                <w:lang w:val="en-US"/>
              </w:rPr>
              <w:t>https://unece.org/sites/default/files/2022-07/Albania_SEA%20.pdf</w:t>
            </w:r>
          </w:p>
        </w:tc>
      </w:tr>
      <w:tr w:rsidR="003B6012" w:rsidRPr="007970F4" w14:paraId="3E6964F9" w14:textId="77777777" w:rsidTr="0057020D">
        <w:tc>
          <w:tcPr>
            <w:tcW w:w="1173" w:type="dxa"/>
            <w:shd w:val="clear" w:color="auto" w:fill="auto"/>
          </w:tcPr>
          <w:p w14:paraId="65F5B15D" w14:textId="77777777" w:rsidR="003B6012" w:rsidRPr="007970F4" w:rsidRDefault="003B6012" w:rsidP="007970F4">
            <w:pPr>
              <w:spacing w:before="40" w:after="120"/>
              <w:ind w:right="113"/>
              <w:rPr>
                <w:rFonts w:eastAsia="Calibri"/>
                <w:bCs/>
                <w:lang w:val="nb-NO"/>
              </w:rPr>
            </w:pPr>
            <w:r w:rsidRPr="007970F4">
              <w:rPr>
                <w:rFonts w:eastAsia="Calibri"/>
                <w:bCs/>
                <w:lang w:val="nb-NO"/>
              </w:rPr>
              <w:t>Armenia</w:t>
            </w:r>
          </w:p>
        </w:tc>
        <w:tc>
          <w:tcPr>
            <w:tcW w:w="1511" w:type="dxa"/>
            <w:shd w:val="clear" w:color="auto" w:fill="auto"/>
          </w:tcPr>
          <w:p w14:paraId="1DA21E92" w14:textId="77777777" w:rsidR="003B6012" w:rsidRPr="007970F4" w:rsidRDefault="00E232F6" w:rsidP="007970F4">
            <w:pPr>
              <w:spacing w:before="40" w:after="120"/>
              <w:ind w:right="113"/>
              <w:rPr>
                <w:rFonts w:eastAsia="Calibri"/>
                <w:bCs/>
                <w:lang w:val="nb-NO"/>
              </w:rPr>
            </w:pPr>
            <w:r w:rsidRPr="007970F4">
              <w:rPr>
                <w:rFonts w:eastAsia="Calibri"/>
                <w:bCs/>
                <w:lang w:val="nb-NO"/>
              </w:rPr>
              <w:t>Document of territorial-sp</w:t>
            </w:r>
            <w:r w:rsidR="00531D25" w:rsidRPr="007970F4">
              <w:rPr>
                <w:rFonts w:eastAsia="Calibri"/>
                <w:bCs/>
                <w:lang w:val="nb-NO"/>
              </w:rPr>
              <w:t xml:space="preserve">atial </w:t>
            </w:r>
            <w:r w:rsidRPr="007970F4">
              <w:rPr>
                <w:rFonts w:eastAsia="Calibri"/>
                <w:bCs/>
                <w:lang w:val="nb-NO"/>
              </w:rPr>
              <w:t xml:space="preserve">planning Dilizan community of </w:t>
            </w:r>
            <w:r w:rsidR="00531D25" w:rsidRPr="007970F4">
              <w:rPr>
                <w:rFonts w:eastAsia="Calibri"/>
                <w:bCs/>
                <w:lang w:val="nb-NO"/>
              </w:rPr>
              <w:t xml:space="preserve">Tavushskoy </w:t>
            </w:r>
            <w:r w:rsidRPr="007970F4">
              <w:rPr>
                <w:rFonts w:eastAsia="Calibri"/>
                <w:bCs/>
                <w:lang w:val="nb-NO"/>
              </w:rPr>
              <w:t>oblast</w:t>
            </w:r>
          </w:p>
        </w:tc>
        <w:tc>
          <w:tcPr>
            <w:tcW w:w="1343" w:type="dxa"/>
            <w:shd w:val="clear" w:color="auto" w:fill="auto"/>
          </w:tcPr>
          <w:p w14:paraId="6F7B7C16" w14:textId="77777777" w:rsidR="003B6012" w:rsidRPr="007970F4" w:rsidRDefault="00E232F6" w:rsidP="007970F4">
            <w:pPr>
              <w:spacing w:before="40" w:after="120"/>
              <w:ind w:right="113"/>
              <w:rPr>
                <w:rFonts w:eastAsia="Calibri"/>
                <w:bCs/>
                <w:lang w:val="en-US"/>
              </w:rPr>
            </w:pPr>
            <w:r w:rsidRPr="007970F4">
              <w:rPr>
                <w:rFonts w:eastAsia="Calibri"/>
                <w:bCs/>
                <w:lang w:val="en-US"/>
              </w:rPr>
              <w:t>Domestic</w:t>
            </w:r>
          </w:p>
        </w:tc>
        <w:tc>
          <w:tcPr>
            <w:tcW w:w="1006" w:type="dxa"/>
            <w:shd w:val="clear" w:color="auto" w:fill="auto"/>
          </w:tcPr>
          <w:p w14:paraId="6F5448E8" w14:textId="77777777" w:rsidR="003B6012" w:rsidRPr="007970F4" w:rsidRDefault="00E232F6" w:rsidP="007970F4">
            <w:pPr>
              <w:spacing w:before="40" w:after="120"/>
              <w:ind w:right="113"/>
              <w:rPr>
                <w:rFonts w:eastAsia="Calibri"/>
                <w:bCs/>
                <w:lang w:val="en-US"/>
              </w:rPr>
            </w:pPr>
            <w:r w:rsidRPr="007970F4">
              <w:rPr>
                <w:rFonts w:eastAsia="Calibri"/>
                <w:bCs/>
                <w:lang w:val="en-US"/>
              </w:rPr>
              <w:t>Entire procedure</w:t>
            </w:r>
          </w:p>
        </w:tc>
        <w:tc>
          <w:tcPr>
            <w:tcW w:w="1913" w:type="dxa"/>
            <w:shd w:val="clear" w:color="auto" w:fill="auto"/>
          </w:tcPr>
          <w:p w14:paraId="0F7DE24C" w14:textId="77777777" w:rsidR="003B6012" w:rsidRPr="007970F4" w:rsidRDefault="00D93B52" w:rsidP="007970F4">
            <w:pPr>
              <w:spacing w:before="40" w:after="120"/>
              <w:ind w:right="113"/>
              <w:rPr>
                <w:rFonts w:eastAsia="Calibri"/>
                <w:bCs/>
                <w:lang w:val="en-US"/>
              </w:rPr>
            </w:pPr>
            <w:r w:rsidRPr="007970F4">
              <w:rPr>
                <w:rFonts w:eastAsia="Calibri"/>
                <w:bCs/>
                <w:lang w:val="en-US"/>
              </w:rPr>
              <w:t>-</w:t>
            </w:r>
          </w:p>
        </w:tc>
        <w:tc>
          <w:tcPr>
            <w:tcW w:w="2126" w:type="dxa"/>
            <w:shd w:val="clear" w:color="auto" w:fill="auto"/>
          </w:tcPr>
          <w:p w14:paraId="6B5F3461" w14:textId="77777777" w:rsidR="003B6012" w:rsidRPr="007970F4" w:rsidRDefault="00D93B52" w:rsidP="007970F4">
            <w:pPr>
              <w:spacing w:before="40" w:after="120"/>
              <w:ind w:right="113"/>
              <w:rPr>
                <w:rFonts w:eastAsia="Calibri"/>
                <w:bCs/>
                <w:lang w:val="en-US"/>
              </w:rPr>
            </w:pPr>
            <w:r w:rsidRPr="007970F4">
              <w:rPr>
                <w:rFonts w:eastAsia="Calibri"/>
                <w:bCs/>
                <w:lang w:val="en-US"/>
              </w:rPr>
              <w:t>https://unece.org/sites/default/files/2022-07/Armenia_SEA_EN.pdf</w:t>
            </w:r>
          </w:p>
        </w:tc>
      </w:tr>
      <w:tr w:rsidR="003B6012" w:rsidRPr="007970F4" w14:paraId="345BE16A" w14:textId="77777777" w:rsidTr="0057020D">
        <w:tc>
          <w:tcPr>
            <w:tcW w:w="1173" w:type="dxa"/>
            <w:shd w:val="clear" w:color="auto" w:fill="auto"/>
          </w:tcPr>
          <w:p w14:paraId="6C53887C" w14:textId="77777777" w:rsidR="003B6012" w:rsidRPr="007970F4" w:rsidRDefault="003B6012" w:rsidP="007970F4">
            <w:pPr>
              <w:spacing w:before="40" w:after="120"/>
              <w:ind w:right="113"/>
              <w:rPr>
                <w:rFonts w:eastAsia="Calibri"/>
                <w:bCs/>
                <w:lang w:val="nb-NO"/>
              </w:rPr>
            </w:pPr>
            <w:r w:rsidRPr="007970F4">
              <w:rPr>
                <w:rFonts w:eastAsia="Calibri"/>
                <w:bCs/>
                <w:lang w:val="nb-NO"/>
              </w:rPr>
              <w:t>Croatia</w:t>
            </w:r>
          </w:p>
        </w:tc>
        <w:tc>
          <w:tcPr>
            <w:tcW w:w="1511" w:type="dxa"/>
            <w:shd w:val="clear" w:color="auto" w:fill="auto"/>
          </w:tcPr>
          <w:p w14:paraId="5BA7E9B1" w14:textId="77777777" w:rsidR="003B6012" w:rsidRPr="007970F4" w:rsidRDefault="00E232F6" w:rsidP="007970F4">
            <w:pPr>
              <w:spacing w:before="40" w:after="120"/>
              <w:ind w:right="113"/>
              <w:rPr>
                <w:rFonts w:eastAsia="Calibri"/>
                <w:bCs/>
                <w:lang w:val="nb-NO"/>
              </w:rPr>
            </w:pPr>
            <w:r w:rsidRPr="007970F4">
              <w:rPr>
                <w:rFonts w:eastAsia="Calibri"/>
                <w:bCs/>
                <w:lang w:val="nb-NO"/>
              </w:rPr>
              <w:t xml:space="preserve">Development Plan of </w:t>
            </w:r>
            <w:r w:rsidRPr="007970F4">
              <w:rPr>
                <w:rFonts w:eastAsia="Calibri"/>
                <w:bCs/>
                <w:i/>
                <w:iCs/>
                <w:lang w:val="nb-NO"/>
              </w:rPr>
              <w:t xml:space="preserve">xy </w:t>
            </w:r>
            <w:r w:rsidRPr="007970F4">
              <w:rPr>
                <w:rFonts w:eastAsia="Calibri"/>
                <w:bCs/>
                <w:lang w:val="nb-NO"/>
              </w:rPr>
              <w:t>County for the 2021 - 2027 Period</w:t>
            </w:r>
          </w:p>
        </w:tc>
        <w:tc>
          <w:tcPr>
            <w:tcW w:w="1343" w:type="dxa"/>
            <w:shd w:val="clear" w:color="auto" w:fill="auto"/>
          </w:tcPr>
          <w:p w14:paraId="53BD13D3" w14:textId="77777777" w:rsidR="003B6012" w:rsidRPr="007970F4" w:rsidRDefault="00E232F6" w:rsidP="007970F4">
            <w:pPr>
              <w:spacing w:before="40" w:after="120"/>
              <w:ind w:right="113"/>
              <w:rPr>
                <w:rFonts w:eastAsia="Calibri"/>
                <w:bCs/>
                <w:lang w:val="en-US"/>
              </w:rPr>
            </w:pPr>
            <w:r w:rsidRPr="007970F4">
              <w:rPr>
                <w:rFonts w:eastAsia="Calibri"/>
                <w:bCs/>
                <w:lang w:val="en-US"/>
              </w:rPr>
              <w:t>Domestic</w:t>
            </w:r>
          </w:p>
        </w:tc>
        <w:tc>
          <w:tcPr>
            <w:tcW w:w="1006" w:type="dxa"/>
            <w:shd w:val="clear" w:color="auto" w:fill="auto"/>
          </w:tcPr>
          <w:p w14:paraId="17AE6E68" w14:textId="77777777" w:rsidR="003B6012" w:rsidRPr="007970F4" w:rsidRDefault="00D97A30" w:rsidP="007970F4">
            <w:pPr>
              <w:spacing w:before="40" w:after="120"/>
              <w:ind w:right="113"/>
              <w:rPr>
                <w:rFonts w:eastAsia="Calibri"/>
                <w:bCs/>
                <w:lang w:val="en-US"/>
              </w:rPr>
            </w:pPr>
            <w:r w:rsidRPr="007970F4">
              <w:rPr>
                <w:rFonts w:eastAsia="Calibri"/>
                <w:bCs/>
                <w:lang w:val="en-US"/>
              </w:rPr>
              <w:t>Entire procedure</w:t>
            </w:r>
          </w:p>
        </w:tc>
        <w:tc>
          <w:tcPr>
            <w:tcW w:w="1913" w:type="dxa"/>
            <w:shd w:val="clear" w:color="auto" w:fill="auto"/>
          </w:tcPr>
          <w:p w14:paraId="19CE3CB6" w14:textId="77777777" w:rsidR="003B6012" w:rsidRPr="007970F4" w:rsidRDefault="003B6012" w:rsidP="007970F4">
            <w:pPr>
              <w:spacing w:before="40" w:after="120"/>
              <w:ind w:right="113"/>
              <w:rPr>
                <w:rFonts w:eastAsia="Calibri"/>
                <w:bCs/>
                <w:lang w:val="en-US"/>
              </w:rPr>
            </w:pPr>
          </w:p>
        </w:tc>
        <w:tc>
          <w:tcPr>
            <w:tcW w:w="2126" w:type="dxa"/>
            <w:shd w:val="clear" w:color="auto" w:fill="auto"/>
          </w:tcPr>
          <w:p w14:paraId="17FBDD0C" w14:textId="77777777" w:rsidR="003B6012" w:rsidRPr="007970F4" w:rsidRDefault="00D93B52" w:rsidP="007970F4">
            <w:pPr>
              <w:spacing w:before="40" w:after="120"/>
              <w:ind w:right="113"/>
              <w:rPr>
                <w:rFonts w:eastAsia="Calibri"/>
                <w:bCs/>
                <w:lang w:val="en-US"/>
              </w:rPr>
            </w:pPr>
            <w:r w:rsidRPr="007970F4">
              <w:rPr>
                <w:rFonts w:eastAsia="Calibri"/>
                <w:bCs/>
                <w:lang w:val="en-US"/>
              </w:rPr>
              <w:t>https://unece.org/sites/default/files/2022-05/Croatia_SEA.pdf</w:t>
            </w:r>
          </w:p>
        </w:tc>
      </w:tr>
      <w:tr w:rsidR="003B6012" w:rsidRPr="007970F4" w14:paraId="55873FBD" w14:textId="77777777" w:rsidTr="0057020D">
        <w:tc>
          <w:tcPr>
            <w:tcW w:w="1173" w:type="dxa"/>
            <w:shd w:val="clear" w:color="auto" w:fill="auto"/>
          </w:tcPr>
          <w:p w14:paraId="43E360FF" w14:textId="77777777" w:rsidR="003B6012" w:rsidRPr="007970F4" w:rsidRDefault="003B6012" w:rsidP="007970F4">
            <w:pPr>
              <w:spacing w:before="40" w:after="120"/>
              <w:ind w:right="113"/>
              <w:rPr>
                <w:rFonts w:eastAsia="Calibri"/>
                <w:bCs/>
                <w:lang w:val="nb-NO"/>
              </w:rPr>
            </w:pPr>
            <w:r w:rsidRPr="007970F4">
              <w:rPr>
                <w:rFonts w:eastAsia="Calibri"/>
                <w:bCs/>
                <w:lang w:val="nb-NO"/>
              </w:rPr>
              <w:t>Denmark</w:t>
            </w:r>
          </w:p>
        </w:tc>
        <w:tc>
          <w:tcPr>
            <w:tcW w:w="1511" w:type="dxa"/>
            <w:shd w:val="clear" w:color="auto" w:fill="auto"/>
          </w:tcPr>
          <w:p w14:paraId="050CE70A" w14:textId="77777777" w:rsidR="003B6012" w:rsidRPr="007970F4" w:rsidRDefault="003579CD" w:rsidP="007970F4">
            <w:pPr>
              <w:spacing w:before="40" w:after="120"/>
              <w:ind w:right="113"/>
              <w:rPr>
                <w:rFonts w:eastAsia="Calibri"/>
                <w:bCs/>
                <w:lang w:val="nb-NO"/>
              </w:rPr>
            </w:pPr>
            <w:r w:rsidRPr="007970F4">
              <w:rPr>
                <w:rFonts w:eastAsia="Calibri"/>
                <w:bCs/>
                <w:lang w:val="nb-NO"/>
              </w:rPr>
              <w:t>Danish Maritime Spatial Plan</w:t>
            </w:r>
          </w:p>
        </w:tc>
        <w:tc>
          <w:tcPr>
            <w:tcW w:w="1343" w:type="dxa"/>
            <w:shd w:val="clear" w:color="auto" w:fill="auto"/>
          </w:tcPr>
          <w:p w14:paraId="5B081A49" w14:textId="77777777" w:rsidR="003B6012" w:rsidRPr="007970F4" w:rsidRDefault="003579CD" w:rsidP="007970F4">
            <w:pPr>
              <w:spacing w:before="40" w:after="120"/>
              <w:ind w:right="113"/>
              <w:rPr>
                <w:rFonts w:eastAsia="Calibri"/>
                <w:bCs/>
                <w:lang w:val="en-US"/>
              </w:rPr>
            </w:pPr>
            <w:r w:rsidRPr="007970F4">
              <w:rPr>
                <w:rFonts w:eastAsia="Calibri"/>
                <w:bCs/>
                <w:lang w:val="en-US"/>
              </w:rPr>
              <w:t>Domestic and transboundary</w:t>
            </w:r>
          </w:p>
        </w:tc>
        <w:tc>
          <w:tcPr>
            <w:tcW w:w="1006" w:type="dxa"/>
            <w:shd w:val="clear" w:color="auto" w:fill="auto"/>
          </w:tcPr>
          <w:p w14:paraId="60E55070" w14:textId="77777777" w:rsidR="003B6012" w:rsidRPr="007970F4" w:rsidRDefault="003579CD" w:rsidP="007970F4">
            <w:pPr>
              <w:spacing w:before="40" w:after="120"/>
              <w:ind w:right="113"/>
              <w:rPr>
                <w:rFonts w:eastAsia="Calibri"/>
                <w:bCs/>
                <w:lang w:val="en-US"/>
              </w:rPr>
            </w:pPr>
            <w:r w:rsidRPr="007970F4">
              <w:rPr>
                <w:rFonts w:eastAsia="Calibri"/>
                <w:bCs/>
                <w:lang w:val="en-US"/>
              </w:rPr>
              <w:t xml:space="preserve">Public </w:t>
            </w:r>
            <w:r w:rsidR="00E232F6" w:rsidRPr="007970F4">
              <w:rPr>
                <w:rFonts w:eastAsia="Calibri"/>
                <w:bCs/>
                <w:lang w:val="en-US"/>
              </w:rPr>
              <w:t>participation</w:t>
            </w:r>
          </w:p>
        </w:tc>
        <w:tc>
          <w:tcPr>
            <w:tcW w:w="1913" w:type="dxa"/>
            <w:shd w:val="clear" w:color="auto" w:fill="auto"/>
          </w:tcPr>
          <w:p w14:paraId="584BC46F" w14:textId="77777777" w:rsidR="003B6012" w:rsidRPr="007970F4" w:rsidRDefault="003579CD" w:rsidP="007970F4">
            <w:pPr>
              <w:spacing w:before="40" w:after="120"/>
              <w:ind w:right="113"/>
              <w:rPr>
                <w:rFonts w:eastAsia="Calibri"/>
                <w:bCs/>
                <w:lang w:val="en-US"/>
              </w:rPr>
            </w:pPr>
            <w:r w:rsidRPr="007970F4">
              <w:rPr>
                <w:rFonts w:eastAsia="Calibri"/>
                <w:bCs/>
                <w:lang w:val="en-US"/>
              </w:rPr>
              <w:t>-</w:t>
            </w:r>
          </w:p>
        </w:tc>
        <w:tc>
          <w:tcPr>
            <w:tcW w:w="2126" w:type="dxa"/>
            <w:shd w:val="clear" w:color="auto" w:fill="auto"/>
          </w:tcPr>
          <w:p w14:paraId="6DBBB7CE" w14:textId="77777777" w:rsidR="003B6012" w:rsidRPr="007970F4" w:rsidRDefault="00D93B52" w:rsidP="007970F4">
            <w:pPr>
              <w:spacing w:before="40" w:after="120"/>
              <w:ind w:right="113"/>
              <w:rPr>
                <w:rFonts w:eastAsia="Calibri"/>
                <w:bCs/>
                <w:lang w:val="en-US"/>
              </w:rPr>
            </w:pPr>
            <w:r w:rsidRPr="007970F4">
              <w:rPr>
                <w:rFonts w:eastAsia="Calibri"/>
                <w:bCs/>
                <w:lang w:val="en-US"/>
              </w:rPr>
              <w:t>https://unece.org/sites/default/files/2022-06/Denmark_SEA.pdf</w:t>
            </w:r>
          </w:p>
        </w:tc>
      </w:tr>
      <w:tr w:rsidR="003B6012" w:rsidRPr="007970F4" w14:paraId="083DC1C1" w14:textId="77777777" w:rsidTr="0057020D">
        <w:tc>
          <w:tcPr>
            <w:tcW w:w="1173" w:type="dxa"/>
            <w:shd w:val="clear" w:color="auto" w:fill="auto"/>
          </w:tcPr>
          <w:p w14:paraId="40A510B3" w14:textId="77777777" w:rsidR="003B6012" w:rsidRPr="007970F4" w:rsidRDefault="003B6012" w:rsidP="007970F4">
            <w:pPr>
              <w:spacing w:before="40" w:after="120"/>
              <w:ind w:right="113"/>
              <w:rPr>
                <w:rFonts w:eastAsia="Calibri"/>
                <w:bCs/>
                <w:lang w:val="nb-NO"/>
              </w:rPr>
            </w:pPr>
            <w:r w:rsidRPr="007970F4">
              <w:rPr>
                <w:rFonts w:eastAsia="Calibri"/>
                <w:bCs/>
                <w:lang w:val="nb-NO"/>
              </w:rPr>
              <w:lastRenderedPageBreak/>
              <w:t>Estonia</w:t>
            </w:r>
          </w:p>
          <w:p w14:paraId="177E711B" w14:textId="77777777" w:rsidR="003B6012" w:rsidRPr="007970F4" w:rsidRDefault="003B6012" w:rsidP="007970F4">
            <w:pPr>
              <w:spacing w:before="40" w:after="120"/>
              <w:ind w:right="113"/>
              <w:rPr>
                <w:rFonts w:eastAsia="Calibri"/>
                <w:bCs/>
                <w:lang w:val="nb-NO"/>
              </w:rPr>
            </w:pPr>
          </w:p>
        </w:tc>
        <w:tc>
          <w:tcPr>
            <w:tcW w:w="1511" w:type="dxa"/>
            <w:shd w:val="clear" w:color="auto" w:fill="auto"/>
          </w:tcPr>
          <w:p w14:paraId="68C5D69F" w14:textId="77777777" w:rsidR="003B6012" w:rsidRPr="007970F4" w:rsidRDefault="007A2C0C" w:rsidP="007970F4">
            <w:pPr>
              <w:spacing w:before="40" w:after="120"/>
              <w:ind w:right="113"/>
              <w:rPr>
                <w:rFonts w:eastAsia="Calibri"/>
                <w:bCs/>
                <w:lang w:val="nb-NO"/>
              </w:rPr>
            </w:pPr>
            <w:r w:rsidRPr="007970F4">
              <w:rPr>
                <w:rFonts w:eastAsia="Calibri"/>
                <w:bCs/>
                <w:lang w:val="nb-NO"/>
              </w:rPr>
              <w:t xml:space="preserve">Estonian Maritime Spatial Plan </w:t>
            </w:r>
          </w:p>
        </w:tc>
        <w:tc>
          <w:tcPr>
            <w:tcW w:w="1343" w:type="dxa"/>
            <w:shd w:val="clear" w:color="auto" w:fill="auto"/>
          </w:tcPr>
          <w:p w14:paraId="08C78C59" w14:textId="77777777" w:rsidR="003B6012" w:rsidRPr="007970F4" w:rsidRDefault="007A2C0C" w:rsidP="007970F4">
            <w:pPr>
              <w:spacing w:before="40" w:after="120"/>
              <w:ind w:right="113"/>
              <w:rPr>
                <w:rFonts w:eastAsia="Calibri"/>
                <w:bCs/>
                <w:lang w:val="en-US"/>
              </w:rPr>
            </w:pPr>
            <w:r w:rsidRPr="007970F4">
              <w:rPr>
                <w:rFonts w:eastAsia="Calibri"/>
                <w:bCs/>
                <w:lang w:val="en-US"/>
              </w:rPr>
              <w:t>Domestic and transboundary</w:t>
            </w:r>
          </w:p>
        </w:tc>
        <w:tc>
          <w:tcPr>
            <w:tcW w:w="1006" w:type="dxa"/>
            <w:shd w:val="clear" w:color="auto" w:fill="auto"/>
          </w:tcPr>
          <w:p w14:paraId="6A5FEC19" w14:textId="77777777" w:rsidR="003B6012" w:rsidRPr="007970F4" w:rsidRDefault="007A2C0C" w:rsidP="007970F4">
            <w:pPr>
              <w:spacing w:before="40" w:after="120"/>
              <w:ind w:right="113"/>
              <w:rPr>
                <w:rFonts w:eastAsia="Calibri"/>
                <w:bCs/>
                <w:lang w:val="en-US"/>
              </w:rPr>
            </w:pPr>
            <w:r w:rsidRPr="007970F4">
              <w:rPr>
                <w:rFonts w:eastAsia="Calibri"/>
                <w:bCs/>
                <w:lang w:val="en-US"/>
              </w:rPr>
              <w:t>Trans</w:t>
            </w:r>
            <w:r w:rsidR="000A2069" w:rsidRPr="007970F4">
              <w:rPr>
                <w:rFonts w:eastAsia="Calibri"/>
                <w:bCs/>
                <w:lang w:val="en-US"/>
              </w:rPr>
              <w:t>-</w:t>
            </w:r>
            <w:r w:rsidRPr="007970F4">
              <w:rPr>
                <w:rFonts w:eastAsia="Calibri"/>
                <w:bCs/>
                <w:lang w:val="en-US"/>
              </w:rPr>
              <w:t>boundary consultations</w:t>
            </w:r>
          </w:p>
        </w:tc>
        <w:tc>
          <w:tcPr>
            <w:tcW w:w="1913" w:type="dxa"/>
            <w:shd w:val="clear" w:color="auto" w:fill="auto"/>
          </w:tcPr>
          <w:p w14:paraId="7CF17D01" w14:textId="77777777" w:rsidR="003B6012" w:rsidRPr="007970F4" w:rsidRDefault="007A2C0C" w:rsidP="007970F4">
            <w:pPr>
              <w:spacing w:before="40" w:after="120"/>
              <w:ind w:right="113"/>
              <w:rPr>
                <w:rFonts w:eastAsia="Calibri"/>
                <w:bCs/>
                <w:lang w:val="en-US"/>
              </w:rPr>
            </w:pPr>
            <w:r w:rsidRPr="007970F4">
              <w:rPr>
                <w:rFonts w:eastAsia="Calibri"/>
                <w:bCs/>
                <w:lang w:val="en-US"/>
              </w:rPr>
              <w:t>“Comprehensive planning of the whole procedure by the Party of origin (i.e. between the relevant national authorities, also in terms of transboundary consultations) is the key to overcome potential challenges (e.g. related to time frames, translations, etc). At the same time also some flexibility is necessary.”</w:t>
            </w:r>
          </w:p>
        </w:tc>
        <w:tc>
          <w:tcPr>
            <w:tcW w:w="2126" w:type="dxa"/>
            <w:shd w:val="clear" w:color="auto" w:fill="auto"/>
          </w:tcPr>
          <w:p w14:paraId="57558E37" w14:textId="77777777" w:rsidR="003B6012" w:rsidRPr="007970F4" w:rsidRDefault="00D93B52" w:rsidP="007970F4">
            <w:pPr>
              <w:spacing w:before="40" w:after="120"/>
              <w:ind w:right="113"/>
              <w:rPr>
                <w:rFonts w:eastAsia="Calibri"/>
                <w:bCs/>
                <w:lang w:val="en-US"/>
              </w:rPr>
            </w:pPr>
            <w:r w:rsidRPr="007970F4">
              <w:rPr>
                <w:rFonts w:eastAsia="Calibri"/>
                <w:bCs/>
                <w:lang w:val="en-US"/>
              </w:rPr>
              <w:t>https://unece.org/sites/default/files/2022-05/Estonia_SEA.pdf</w:t>
            </w:r>
          </w:p>
        </w:tc>
      </w:tr>
      <w:tr w:rsidR="009809CF" w:rsidRPr="007970F4" w14:paraId="5B44B7CE" w14:textId="77777777" w:rsidTr="0057020D">
        <w:tc>
          <w:tcPr>
            <w:tcW w:w="1173" w:type="dxa"/>
            <w:shd w:val="clear" w:color="auto" w:fill="auto"/>
          </w:tcPr>
          <w:p w14:paraId="443EC08F" w14:textId="77777777" w:rsidR="009809CF" w:rsidRPr="007970F4" w:rsidRDefault="009809CF" w:rsidP="007970F4">
            <w:pPr>
              <w:spacing w:before="40" w:after="120"/>
              <w:ind w:right="113"/>
              <w:rPr>
                <w:rFonts w:eastAsia="Calibri"/>
                <w:bCs/>
                <w:lang w:val="nb-NO"/>
              </w:rPr>
            </w:pPr>
            <w:r w:rsidRPr="007970F4">
              <w:rPr>
                <w:rFonts w:eastAsia="Calibri"/>
                <w:bCs/>
                <w:lang w:val="nb-NO"/>
              </w:rPr>
              <w:t>Estonia (Question II.11)</w:t>
            </w:r>
          </w:p>
        </w:tc>
        <w:tc>
          <w:tcPr>
            <w:tcW w:w="1511" w:type="dxa"/>
            <w:shd w:val="clear" w:color="auto" w:fill="auto"/>
          </w:tcPr>
          <w:p w14:paraId="366E17AD" w14:textId="77777777" w:rsidR="009809CF" w:rsidRPr="007970F4" w:rsidRDefault="00CF28AE" w:rsidP="007970F4">
            <w:pPr>
              <w:spacing w:before="40" w:after="120"/>
              <w:ind w:right="113"/>
              <w:rPr>
                <w:rFonts w:eastAsia="Calibri"/>
                <w:bCs/>
                <w:lang w:val="nb-NO"/>
              </w:rPr>
            </w:pPr>
            <w:r w:rsidRPr="007970F4">
              <w:rPr>
                <w:rFonts w:eastAsia="Calibri"/>
                <w:bCs/>
                <w:lang w:val="en-US"/>
              </w:rPr>
              <w:t>National Radiation Safety Development Plan (NRSDP)</w:t>
            </w:r>
          </w:p>
        </w:tc>
        <w:tc>
          <w:tcPr>
            <w:tcW w:w="1343" w:type="dxa"/>
            <w:shd w:val="clear" w:color="auto" w:fill="auto"/>
          </w:tcPr>
          <w:p w14:paraId="388F06A3" w14:textId="77777777" w:rsidR="009809CF" w:rsidRPr="007970F4" w:rsidRDefault="00B908D4" w:rsidP="007970F4">
            <w:pPr>
              <w:spacing w:before="40" w:after="120"/>
              <w:ind w:right="113"/>
              <w:rPr>
                <w:rFonts w:eastAsia="Calibri"/>
                <w:bCs/>
                <w:lang w:val="en-US"/>
              </w:rPr>
            </w:pPr>
            <w:r w:rsidRPr="007970F4">
              <w:rPr>
                <w:rFonts w:eastAsia="Calibri"/>
                <w:bCs/>
                <w:lang w:val="en-US"/>
              </w:rPr>
              <w:t>Domestic</w:t>
            </w:r>
          </w:p>
        </w:tc>
        <w:tc>
          <w:tcPr>
            <w:tcW w:w="1006" w:type="dxa"/>
            <w:shd w:val="clear" w:color="auto" w:fill="auto"/>
          </w:tcPr>
          <w:p w14:paraId="61FE7D4B" w14:textId="77777777" w:rsidR="009809CF" w:rsidRPr="007970F4" w:rsidRDefault="00B908D4" w:rsidP="007970F4">
            <w:pPr>
              <w:spacing w:before="40" w:after="120"/>
              <w:ind w:right="113"/>
              <w:rPr>
                <w:rFonts w:eastAsia="Calibri"/>
                <w:bCs/>
                <w:lang w:val="en-US"/>
              </w:rPr>
            </w:pPr>
            <w:r w:rsidRPr="007970F4">
              <w:rPr>
                <w:rFonts w:eastAsia="Calibri"/>
                <w:bCs/>
                <w:lang w:val="en-US"/>
              </w:rPr>
              <w:t>Monitoring</w:t>
            </w:r>
          </w:p>
        </w:tc>
        <w:tc>
          <w:tcPr>
            <w:tcW w:w="1913" w:type="dxa"/>
            <w:shd w:val="clear" w:color="auto" w:fill="auto"/>
          </w:tcPr>
          <w:p w14:paraId="7B199D87" w14:textId="77777777" w:rsidR="006009CA" w:rsidRPr="007970F4" w:rsidRDefault="006009CA" w:rsidP="007970F4">
            <w:pPr>
              <w:spacing w:before="40" w:after="120"/>
              <w:ind w:right="113"/>
              <w:rPr>
                <w:rFonts w:eastAsia="Calibri"/>
                <w:bCs/>
                <w:lang w:val="en-US"/>
              </w:rPr>
            </w:pPr>
            <w:r w:rsidRPr="007970F4">
              <w:rPr>
                <w:rFonts w:eastAsia="Calibri"/>
                <w:bCs/>
                <w:i/>
                <w:lang w:val="en-US"/>
              </w:rPr>
              <w:t>G</w:t>
            </w:r>
            <w:r w:rsidR="00DC0124" w:rsidRPr="007970F4">
              <w:rPr>
                <w:rFonts w:eastAsia="Calibri"/>
                <w:bCs/>
                <w:i/>
                <w:lang w:val="en-US"/>
              </w:rPr>
              <w:t>ood practice example</w:t>
            </w:r>
            <w:r w:rsidRPr="007970F4">
              <w:rPr>
                <w:rFonts w:eastAsia="Calibri"/>
                <w:bCs/>
                <w:lang w:val="en-US"/>
              </w:rPr>
              <w:t>.</w:t>
            </w:r>
          </w:p>
          <w:p w14:paraId="20BD4AD7" w14:textId="77777777" w:rsidR="00DC0124" w:rsidRPr="007970F4" w:rsidRDefault="006009CA" w:rsidP="007970F4">
            <w:pPr>
              <w:spacing w:before="40" w:after="120"/>
              <w:ind w:right="113"/>
              <w:rPr>
                <w:rFonts w:eastAsia="Calibri"/>
                <w:bCs/>
                <w:lang w:val="en-US"/>
              </w:rPr>
            </w:pPr>
            <w:r w:rsidRPr="007970F4">
              <w:rPr>
                <w:rFonts w:eastAsia="Calibri"/>
                <w:bCs/>
                <w:lang w:val="en-US"/>
              </w:rPr>
              <w:t>“</w:t>
            </w:r>
            <w:r w:rsidR="00E417F5" w:rsidRPr="007970F4">
              <w:rPr>
                <w:rFonts w:eastAsia="Calibri"/>
                <w:bCs/>
                <w:lang w:val="en-US"/>
              </w:rPr>
              <w:t>[</w:t>
            </w:r>
            <w:r w:rsidRPr="007970F4">
              <w:rPr>
                <w:rFonts w:eastAsia="Calibri"/>
                <w:bCs/>
                <w:lang w:val="en-US"/>
              </w:rPr>
              <w:t>T</w:t>
            </w:r>
            <w:r w:rsidR="00E417F5" w:rsidRPr="007970F4">
              <w:rPr>
                <w:rFonts w:eastAsia="Calibri"/>
                <w:bCs/>
                <w:lang w:val="en-US"/>
              </w:rPr>
              <w:t>]</w:t>
            </w:r>
            <w:r w:rsidR="00DC0124" w:rsidRPr="007970F4">
              <w:rPr>
                <w:rFonts w:eastAsia="Calibri"/>
                <w:bCs/>
                <w:lang w:val="en-US"/>
              </w:rPr>
              <w:t>he National Radiation Safety Development Plan (NRSDP)</w:t>
            </w:r>
            <w:r w:rsidR="00D97A30" w:rsidRPr="007970F4">
              <w:rPr>
                <w:rFonts w:eastAsia="Calibri"/>
                <w:bCs/>
                <w:lang w:val="en-US"/>
              </w:rPr>
              <w:t xml:space="preserve">, adopted in </w:t>
            </w:r>
            <w:r w:rsidR="000C31DA" w:rsidRPr="007970F4">
              <w:rPr>
                <w:rFonts w:eastAsia="Calibri"/>
                <w:bCs/>
                <w:lang w:val="en-US"/>
              </w:rPr>
              <w:t xml:space="preserve">2020, </w:t>
            </w:r>
            <w:r w:rsidR="00DC0124" w:rsidRPr="007970F4">
              <w:rPr>
                <w:rFonts w:eastAsia="Calibri"/>
                <w:bCs/>
                <w:lang w:val="en-US"/>
              </w:rPr>
              <w:t>illustrate</w:t>
            </w:r>
            <w:r w:rsidR="000A2069" w:rsidRPr="007970F4">
              <w:rPr>
                <w:rFonts w:eastAsia="Calibri"/>
                <w:bCs/>
                <w:lang w:val="en-US"/>
              </w:rPr>
              <w:t>s</w:t>
            </w:r>
            <w:r w:rsidR="00DC0124" w:rsidRPr="007970F4">
              <w:rPr>
                <w:rFonts w:eastAsia="Calibri"/>
                <w:bCs/>
                <w:lang w:val="en-US"/>
              </w:rPr>
              <w:t xml:space="preserve"> how also the existing environmental monitoring system can be used upon carrying</w:t>
            </w:r>
            <w:r w:rsidR="00B908D4" w:rsidRPr="007970F4">
              <w:rPr>
                <w:rFonts w:eastAsia="Calibri"/>
                <w:bCs/>
                <w:lang w:val="en-US"/>
              </w:rPr>
              <w:t xml:space="preserve"> </w:t>
            </w:r>
            <w:r w:rsidR="00DC0124" w:rsidRPr="007970F4">
              <w:rPr>
                <w:rFonts w:eastAsia="Calibri"/>
                <w:bCs/>
                <w:lang w:val="en-US"/>
              </w:rPr>
              <w:t xml:space="preserve">out monitoring. The purpose of the NRSDP is to ensure radiation safety. </w:t>
            </w:r>
            <w:r w:rsidR="005E3F0C" w:rsidRPr="007970F4">
              <w:rPr>
                <w:rFonts w:eastAsia="Calibri"/>
                <w:bCs/>
                <w:lang w:val="en-US"/>
              </w:rPr>
              <w:t xml:space="preserve">As part of </w:t>
            </w:r>
            <w:r w:rsidR="00B97418" w:rsidRPr="007970F4">
              <w:rPr>
                <w:rFonts w:eastAsia="Calibri"/>
                <w:bCs/>
                <w:lang w:val="en-US"/>
              </w:rPr>
              <w:t>SEA, carried</w:t>
            </w:r>
            <w:r w:rsidR="00DC0124" w:rsidRPr="007970F4">
              <w:rPr>
                <w:rFonts w:eastAsia="Calibri"/>
                <w:bCs/>
                <w:lang w:val="en-US"/>
              </w:rPr>
              <w:t xml:space="preserve"> out </w:t>
            </w:r>
            <w:r w:rsidR="005E3F0C" w:rsidRPr="007970F4">
              <w:rPr>
                <w:rFonts w:eastAsia="Calibri"/>
                <w:bCs/>
                <w:lang w:val="en-US"/>
              </w:rPr>
              <w:t xml:space="preserve">in </w:t>
            </w:r>
            <w:r w:rsidR="00DC0124" w:rsidRPr="007970F4">
              <w:rPr>
                <w:rFonts w:eastAsia="Calibri"/>
                <w:bCs/>
                <w:lang w:val="en-US"/>
              </w:rPr>
              <w:t>2017–2019</w:t>
            </w:r>
            <w:r w:rsidR="005E3F0C" w:rsidRPr="007970F4">
              <w:rPr>
                <w:rFonts w:eastAsia="Calibri"/>
                <w:bCs/>
                <w:lang w:val="en-US"/>
              </w:rPr>
              <w:t>,</w:t>
            </w:r>
            <w:r w:rsidR="00DC0124" w:rsidRPr="007970F4">
              <w:rPr>
                <w:rFonts w:eastAsia="Calibri"/>
                <w:bCs/>
                <w:lang w:val="en-US"/>
              </w:rPr>
              <w:t xml:space="preserve"> experts proposed prevention and mitigation</w:t>
            </w:r>
            <w:r w:rsidR="00B908D4" w:rsidRPr="007970F4">
              <w:rPr>
                <w:rFonts w:eastAsia="Calibri"/>
                <w:bCs/>
                <w:lang w:val="en-US"/>
              </w:rPr>
              <w:t xml:space="preserve"> </w:t>
            </w:r>
            <w:r w:rsidR="00DC0124" w:rsidRPr="007970F4">
              <w:rPr>
                <w:rFonts w:eastAsia="Calibri"/>
                <w:bCs/>
                <w:lang w:val="en-US"/>
              </w:rPr>
              <w:t>measures concerning potential adverse environmental effects. One of the main components for ensuring</w:t>
            </w:r>
            <w:r w:rsidR="00B908D4" w:rsidRPr="007970F4">
              <w:rPr>
                <w:rFonts w:eastAsia="Calibri"/>
                <w:bCs/>
                <w:lang w:val="en-US"/>
              </w:rPr>
              <w:t xml:space="preserve"> </w:t>
            </w:r>
            <w:r w:rsidR="00DC0124" w:rsidRPr="007970F4">
              <w:rPr>
                <w:rFonts w:eastAsia="Calibri"/>
                <w:bCs/>
                <w:lang w:val="en-US"/>
              </w:rPr>
              <w:t>national radiation safety is the national radiation monitoring programme (for instance, regular national</w:t>
            </w:r>
            <w:r w:rsidR="00B908D4" w:rsidRPr="007970F4">
              <w:rPr>
                <w:rFonts w:eastAsia="Calibri"/>
                <w:bCs/>
                <w:lang w:val="en-US"/>
              </w:rPr>
              <w:t xml:space="preserve"> </w:t>
            </w:r>
            <w:r w:rsidR="00DC0124" w:rsidRPr="007970F4">
              <w:rPr>
                <w:rFonts w:eastAsia="Calibri"/>
                <w:bCs/>
                <w:lang w:val="en-US"/>
              </w:rPr>
              <w:t xml:space="preserve">monitoring is conducted in atmosphere, drinking water, soil, areas close </w:t>
            </w:r>
            <w:r w:rsidR="00DC0124" w:rsidRPr="007970F4">
              <w:rPr>
                <w:rFonts w:eastAsia="Calibri"/>
                <w:bCs/>
                <w:lang w:val="en-US"/>
              </w:rPr>
              <w:lastRenderedPageBreak/>
              <w:t>to radiation practice sites, etc).</w:t>
            </w:r>
          </w:p>
          <w:p w14:paraId="18ECEB41" w14:textId="77777777" w:rsidR="00DC0124" w:rsidRPr="007970F4" w:rsidRDefault="00DC0124" w:rsidP="007970F4">
            <w:pPr>
              <w:spacing w:before="40" w:after="120"/>
              <w:ind w:right="113"/>
              <w:rPr>
                <w:rFonts w:eastAsia="Calibri"/>
                <w:bCs/>
                <w:lang w:val="en-US"/>
              </w:rPr>
            </w:pPr>
            <w:r w:rsidRPr="007970F4">
              <w:rPr>
                <w:rFonts w:eastAsia="Calibri"/>
                <w:bCs/>
                <w:lang w:val="en-US"/>
              </w:rPr>
              <w:t>The SEA concluded that to prevent or mitigate any negative effect on the environment, it is essential</w:t>
            </w:r>
            <w:r w:rsidR="00B908D4" w:rsidRPr="007970F4">
              <w:rPr>
                <w:rFonts w:eastAsia="Calibri"/>
                <w:bCs/>
                <w:lang w:val="en-US"/>
              </w:rPr>
              <w:t xml:space="preserve"> </w:t>
            </w:r>
            <w:r w:rsidRPr="007970F4">
              <w:rPr>
                <w:rFonts w:eastAsia="Calibri"/>
                <w:bCs/>
                <w:lang w:val="en-US"/>
              </w:rPr>
              <w:t xml:space="preserve">that </w:t>
            </w:r>
            <w:r w:rsidR="00D97A30" w:rsidRPr="007970F4">
              <w:rPr>
                <w:rFonts w:eastAsia="Calibri"/>
                <w:bCs/>
                <w:lang w:val="en-US"/>
              </w:rPr>
              <w:t xml:space="preserve">a </w:t>
            </w:r>
            <w:r w:rsidRPr="007970F4">
              <w:rPr>
                <w:rFonts w:eastAsia="Calibri"/>
                <w:bCs/>
                <w:lang w:val="en-US"/>
              </w:rPr>
              <w:t>national monitoring programme is maintained and continued. Every year, an annual report of the</w:t>
            </w:r>
          </w:p>
          <w:p w14:paraId="5409EB96" w14:textId="77777777" w:rsidR="009809CF" w:rsidRPr="007970F4" w:rsidRDefault="00DC0124" w:rsidP="007970F4">
            <w:pPr>
              <w:spacing w:before="40" w:after="120"/>
              <w:ind w:right="113"/>
              <w:rPr>
                <w:rFonts w:eastAsia="Calibri"/>
                <w:bCs/>
                <w:lang w:val="en-US"/>
              </w:rPr>
            </w:pPr>
            <w:r w:rsidRPr="007970F4">
              <w:rPr>
                <w:rFonts w:eastAsia="Calibri"/>
                <w:bCs/>
                <w:lang w:val="en-US"/>
              </w:rPr>
              <w:t xml:space="preserve">monitoring results is published on the website of the respective national authority. </w:t>
            </w:r>
            <w:r w:rsidR="000C31DA" w:rsidRPr="007970F4">
              <w:rPr>
                <w:rFonts w:eastAsia="Calibri"/>
                <w:bCs/>
                <w:lang w:val="en-US"/>
              </w:rPr>
              <w:t>[…]”</w:t>
            </w:r>
          </w:p>
        </w:tc>
        <w:tc>
          <w:tcPr>
            <w:tcW w:w="2126" w:type="dxa"/>
            <w:shd w:val="clear" w:color="auto" w:fill="auto"/>
          </w:tcPr>
          <w:p w14:paraId="1B9FC491" w14:textId="77777777" w:rsidR="009809CF" w:rsidRPr="007970F4" w:rsidRDefault="009809CF" w:rsidP="007970F4">
            <w:pPr>
              <w:spacing w:before="40" w:after="120"/>
              <w:ind w:right="113"/>
              <w:rPr>
                <w:rFonts w:eastAsia="Calibri"/>
                <w:bCs/>
                <w:lang w:val="en-US"/>
              </w:rPr>
            </w:pPr>
            <w:r w:rsidRPr="007970F4">
              <w:rPr>
                <w:rFonts w:eastAsia="Calibri"/>
                <w:bCs/>
                <w:lang w:val="en-US"/>
              </w:rPr>
              <w:lastRenderedPageBreak/>
              <w:t>https://unece.org/sites/default/files/2022-05/Estonia_SEA.pdf</w:t>
            </w:r>
          </w:p>
        </w:tc>
      </w:tr>
      <w:tr w:rsidR="008A4100" w:rsidRPr="007970F4" w14:paraId="085E8C7E" w14:textId="77777777" w:rsidTr="0057020D">
        <w:tc>
          <w:tcPr>
            <w:tcW w:w="1173" w:type="dxa"/>
            <w:shd w:val="clear" w:color="auto" w:fill="auto"/>
          </w:tcPr>
          <w:p w14:paraId="764C3E76" w14:textId="77777777" w:rsidR="008A4100" w:rsidRPr="007970F4" w:rsidRDefault="00B908D4" w:rsidP="007970F4">
            <w:pPr>
              <w:spacing w:before="40" w:after="120"/>
              <w:ind w:right="113"/>
              <w:rPr>
                <w:rFonts w:eastAsia="Calibri"/>
                <w:bCs/>
                <w:lang w:val="nb-NO"/>
              </w:rPr>
            </w:pPr>
            <w:r w:rsidRPr="007970F4">
              <w:rPr>
                <w:rFonts w:eastAsia="Calibri"/>
                <w:bCs/>
                <w:lang w:val="nb-NO"/>
              </w:rPr>
              <w:t>Finland</w:t>
            </w:r>
          </w:p>
          <w:p w14:paraId="660532E5" w14:textId="77777777" w:rsidR="001A40BA" w:rsidRPr="007970F4" w:rsidRDefault="001A40BA" w:rsidP="007970F4">
            <w:pPr>
              <w:spacing w:before="40" w:after="120"/>
              <w:ind w:right="113"/>
              <w:rPr>
                <w:rFonts w:eastAsia="Calibri"/>
                <w:bCs/>
                <w:lang w:val="nb-NO"/>
              </w:rPr>
            </w:pPr>
            <w:r w:rsidRPr="007970F4">
              <w:rPr>
                <w:rFonts w:eastAsia="Calibri"/>
                <w:bCs/>
                <w:lang w:val="nb-NO"/>
              </w:rPr>
              <w:t>(Question II.1</w:t>
            </w:r>
            <w:r w:rsidR="00560622" w:rsidRPr="007970F4">
              <w:rPr>
                <w:rFonts w:eastAsia="Calibri"/>
                <w:bCs/>
                <w:lang w:val="nb-NO"/>
              </w:rPr>
              <w:t>0 (b)</w:t>
            </w:r>
            <w:r w:rsidRPr="007970F4">
              <w:rPr>
                <w:rFonts w:eastAsia="Calibri"/>
                <w:bCs/>
                <w:lang w:val="nb-NO"/>
              </w:rPr>
              <w:t>)</w:t>
            </w:r>
          </w:p>
        </w:tc>
        <w:tc>
          <w:tcPr>
            <w:tcW w:w="1511" w:type="dxa"/>
            <w:shd w:val="clear" w:color="auto" w:fill="auto"/>
          </w:tcPr>
          <w:p w14:paraId="707E691C" w14:textId="77777777" w:rsidR="008A4100" w:rsidRPr="007970F4" w:rsidRDefault="00B908D4" w:rsidP="007970F4">
            <w:pPr>
              <w:spacing w:before="40" w:after="120"/>
              <w:ind w:right="113"/>
              <w:rPr>
                <w:rFonts w:eastAsia="Calibri"/>
                <w:bCs/>
                <w:lang w:val="nb-NO"/>
              </w:rPr>
            </w:pPr>
            <w:r w:rsidRPr="007970F4">
              <w:rPr>
                <w:rFonts w:eastAsia="Calibri"/>
                <w:bCs/>
                <w:lang w:val="en-US"/>
              </w:rPr>
              <w:t>Northern Ostrobothnia Climate Roadmap – Towards a carbon neutral Northern Ostrobothnia (regional plan)</w:t>
            </w:r>
          </w:p>
        </w:tc>
        <w:tc>
          <w:tcPr>
            <w:tcW w:w="1343" w:type="dxa"/>
            <w:shd w:val="clear" w:color="auto" w:fill="auto"/>
          </w:tcPr>
          <w:p w14:paraId="3C9342EB" w14:textId="77777777" w:rsidR="008A4100" w:rsidRPr="007970F4" w:rsidRDefault="001A40BA" w:rsidP="007970F4">
            <w:pPr>
              <w:spacing w:before="40" w:after="120"/>
              <w:ind w:right="113"/>
              <w:rPr>
                <w:rFonts w:eastAsia="Calibri"/>
                <w:bCs/>
                <w:lang w:val="en-US"/>
              </w:rPr>
            </w:pPr>
            <w:r w:rsidRPr="007970F4">
              <w:rPr>
                <w:rFonts w:eastAsia="Calibri"/>
                <w:bCs/>
                <w:lang w:val="en-US"/>
              </w:rPr>
              <w:t>Domestic</w:t>
            </w:r>
          </w:p>
        </w:tc>
        <w:tc>
          <w:tcPr>
            <w:tcW w:w="1006" w:type="dxa"/>
            <w:shd w:val="clear" w:color="auto" w:fill="auto"/>
          </w:tcPr>
          <w:p w14:paraId="787B1300" w14:textId="77777777" w:rsidR="008A4100" w:rsidRPr="007970F4" w:rsidRDefault="0027421F" w:rsidP="007970F4">
            <w:pPr>
              <w:spacing w:before="40" w:after="120"/>
              <w:ind w:right="113"/>
              <w:rPr>
                <w:rFonts w:eastAsia="Calibri"/>
                <w:bCs/>
                <w:lang w:val="en-US"/>
              </w:rPr>
            </w:pPr>
            <w:r w:rsidRPr="007970F4">
              <w:rPr>
                <w:rFonts w:eastAsia="Calibri"/>
                <w:bCs/>
                <w:lang w:val="en-US"/>
              </w:rPr>
              <w:t>E</w:t>
            </w:r>
            <w:r w:rsidR="001A40BA" w:rsidRPr="007970F4">
              <w:rPr>
                <w:rFonts w:eastAsia="Calibri"/>
                <w:bCs/>
                <w:lang w:val="en-US"/>
              </w:rPr>
              <w:t>ntire procedure</w:t>
            </w:r>
          </w:p>
        </w:tc>
        <w:tc>
          <w:tcPr>
            <w:tcW w:w="1913" w:type="dxa"/>
            <w:shd w:val="clear" w:color="auto" w:fill="auto"/>
          </w:tcPr>
          <w:p w14:paraId="2494DAD7" w14:textId="77777777" w:rsidR="008A4100" w:rsidRPr="007970F4" w:rsidRDefault="006009CA" w:rsidP="007970F4">
            <w:pPr>
              <w:spacing w:before="40" w:after="120"/>
              <w:ind w:right="113"/>
              <w:rPr>
                <w:rFonts w:eastAsia="Calibri"/>
                <w:bCs/>
                <w:lang w:val="en-US"/>
              </w:rPr>
            </w:pPr>
            <w:r w:rsidRPr="007970F4">
              <w:rPr>
                <w:rFonts w:eastAsia="Calibri"/>
                <w:bCs/>
                <w:i/>
                <w:lang w:val="en-US"/>
              </w:rPr>
              <w:t>Good practice example.</w:t>
            </w:r>
            <w:r w:rsidRPr="007970F4">
              <w:rPr>
                <w:rFonts w:eastAsia="Calibri"/>
                <w:bCs/>
                <w:lang w:val="en-US"/>
              </w:rPr>
              <w:t xml:space="preserve"> </w:t>
            </w:r>
            <w:r w:rsidR="001A40BA" w:rsidRPr="007970F4">
              <w:rPr>
                <w:rFonts w:eastAsia="Calibri"/>
                <w:bCs/>
                <w:lang w:val="en-US"/>
              </w:rPr>
              <w:t>Application</w:t>
            </w:r>
            <w:r w:rsidRPr="007970F4">
              <w:rPr>
                <w:rFonts w:eastAsia="Calibri"/>
                <w:bCs/>
                <w:lang w:val="en-US"/>
              </w:rPr>
              <w:t xml:space="preserve"> </w:t>
            </w:r>
            <w:r w:rsidR="001A40BA" w:rsidRPr="007970F4">
              <w:rPr>
                <w:rFonts w:eastAsia="Calibri"/>
                <w:bCs/>
                <w:lang w:val="en-US"/>
              </w:rPr>
              <w:t>of strategic environmental assessment in the following areas:</w:t>
            </w:r>
            <w:r w:rsidRPr="007970F4">
              <w:rPr>
                <w:rFonts w:eastAsia="Calibri"/>
                <w:bCs/>
                <w:lang w:val="en-US"/>
              </w:rPr>
              <w:t xml:space="preserve"> </w:t>
            </w:r>
            <w:r w:rsidR="005E3F0C" w:rsidRPr="007970F4">
              <w:rPr>
                <w:rFonts w:eastAsia="Calibri"/>
                <w:bCs/>
                <w:lang w:val="en-US"/>
              </w:rPr>
              <w:t>c</w:t>
            </w:r>
            <w:r w:rsidR="008A4100" w:rsidRPr="007970F4">
              <w:rPr>
                <w:rFonts w:eastAsia="Calibri"/>
                <w:bCs/>
                <w:lang w:val="en-US"/>
              </w:rPr>
              <w:t xml:space="preserve">ircular economy, </w:t>
            </w:r>
            <w:r w:rsidR="005E3F0C" w:rsidRPr="007970F4">
              <w:rPr>
                <w:rFonts w:eastAsia="Calibri"/>
                <w:bCs/>
                <w:lang w:val="en-US"/>
              </w:rPr>
              <w:t>e</w:t>
            </w:r>
            <w:r w:rsidR="008A4100" w:rsidRPr="007970F4">
              <w:rPr>
                <w:rFonts w:eastAsia="Calibri"/>
                <w:bCs/>
                <w:lang w:val="en-US"/>
              </w:rPr>
              <w:t>nergy transition,</w:t>
            </w:r>
            <w:r w:rsidR="005E3F0C" w:rsidRPr="007970F4">
              <w:rPr>
                <w:rFonts w:eastAsia="Calibri"/>
                <w:bCs/>
                <w:lang w:val="en-US"/>
              </w:rPr>
              <w:t xml:space="preserve"> and</w:t>
            </w:r>
            <w:r w:rsidR="00B97418" w:rsidRPr="007970F4">
              <w:rPr>
                <w:rFonts w:eastAsia="Calibri"/>
                <w:bCs/>
                <w:lang w:val="en-US"/>
              </w:rPr>
              <w:t xml:space="preserve"> </w:t>
            </w:r>
            <w:r w:rsidR="005E3F0C" w:rsidRPr="007970F4">
              <w:rPr>
                <w:rFonts w:eastAsia="Calibri"/>
                <w:bCs/>
                <w:lang w:val="en-US"/>
              </w:rPr>
              <w:t>s</w:t>
            </w:r>
            <w:r w:rsidR="008A4100" w:rsidRPr="007970F4">
              <w:rPr>
                <w:rFonts w:eastAsia="Calibri"/>
                <w:bCs/>
                <w:lang w:val="en-US"/>
              </w:rPr>
              <w:t>ustainable infrastructure</w:t>
            </w:r>
            <w:r w:rsidRPr="007970F4">
              <w:rPr>
                <w:rFonts w:eastAsia="Calibri"/>
                <w:bCs/>
                <w:lang w:val="en-US"/>
              </w:rPr>
              <w:t>.</w:t>
            </w:r>
          </w:p>
          <w:p w14:paraId="7D9C3D0C" w14:textId="77777777" w:rsidR="008A4100" w:rsidRPr="007970F4" w:rsidRDefault="000C31DA" w:rsidP="007970F4">
            <w:pPr>
              <w:spacing w:before="40" w:after="120"/>
              <w:ind w:right="113"/>
              <w:rPr>
                <w:rFonts w:eastAsia="Calibri"/>
                <w:bCs/>
                <w:lang w:val="en-US"/>
              </w:rPr>
            </w:pPr>
            <w:r w:rsidRPr="007970F4">
              <w:rPr>
                <w:rFonts w:eastAsia="Calibri"/>
                <w:bCs/>
                <w:lang w:val="en-US"/>
              </w:rPr>
              <w:t>“</w:t>
            </w:r>
            <w:r w:rsidR="008A4100" w:rsidRPr="007970F4">
              <w:rPr>
                <w:rFonts w:eastAsia="Calibri"/>
                <w:bCs/>
                <w:lang w:val="en-US"/>
              </w:rPr>
              <w:t>The roadmap provides guidelines for the development of the operating environment so that the</w:t>
            </w:r>
            <w:r w:rsidR="00B908D4" w:rsidRPr="007970F4">
              <w:rPr>
                <w:rFonts w:eastAsia="Calibri"/>
                <w:bCs/>
                <w:lang w:val="en-US"/>
              </w:rPr>
              <w:t xml:space="preserve"> </w:t>
            </w:r>
            <w:r w:rsidR="008A4100" w:rsidRPr="007970F4">
              <w:rPr>
                <w:rFonts w:eastAsia="Calibri"/>
                <w:bCs/>
                <w:lang w:val="en-US"/>
              </w:rPr>
              <w:t>sector’s developer organisations can allocate their resources correctly. Companies make their</w:t>
            </w:r>
            <w:r w:rsidR="00B908D4" w:rsidRPr="007970F4">
              <w:rPr>
                <w:rFonts w:eastAsia="Calibri"/>
                <w:bCs/>
                <w:lang w:val="en-US"/>
              </w:rPr>
              <w:t xml:space="preserve"> </w:t>
            </w:r>
            <w:r w:rsidR="008A4100" w:rsidRPr="007970F4">
              <w:rPr>
                <w:rFonts w:eastAsia="Calibri"/>
                <w:bCs/>
                <w:lang w:val="en-US"/>
              </w:rPr>
              <w:t>own strategic decisions on the development and renewal of their business operations, taking</w:t>
            </w:r>
            <w:r w:rsidR="00B908D4" w:rsidRPr="007970F4">
              <w:rPr>
                <w:rFonts w:eastAsia="Calibri"/>
                <w:bCs/>
                <w:lang w:val="en-US"/>
              </w:rPr>
              <w:t xml:space="preserve"> </w:t>
            </w:r>
            <w:r w:rsidR="008A4100" w:rsidRPr="007970F4">
              <w:rPr>
                <w:rFonts w:eastAsia="Calibri"/>
                <w:bCs/>
                <w:lang w:val="en-US"/>
              </w:rPr>
              <w:t>into account the opportunities provided by the operating environment and the high level of RDI</w:t>
            </w:r>
            <w:r w:rsidR="00B908D4" w:rsidRPr="007970F4">
              <w:rPr>
                <w:rFonts w:eastAsia="Calibri"/>
                <w:bCs/>
                <w:lang w:val="en-US"/>
              </w:rPr>
              <w:t xml:space="preserve"> </w:t>
            </w:r>
            <w:r w:rsidR="008A4100" w:rsidRPr="007970F4">
              <w:rPr>
                <w:rFonts w:eastAsia="Calibri"/>
                <w:bCs/>
                <w:lang w:val="en-US"/>
              </w:rPr>
              <w:t xml:space="preserve">support available. Businesses are key players and guided by </w:t>
            </w:r>
            <w:r w:rsidR="008A4100" w:rsidRPr="007970F4">
              <w:rPr>
                <w:rFonts w:eastAsia="Calibri"/>
                <w:bCs/>
                <w:lang w:val="en-US"/>
              </w:rPr>
              <w:lastRenderedPageBreak/>
              <w:t>consumers. The achievement of</w:t>
            </w:r>
            <w:r w:rsidR="00B908D4" w:rsidRPr="007970F4">
              <w:rPr>
                <w:rFonts w:eastAsia="Calibri"/>
                <w:bCs/>
                <w:lang w:val="en-US"/>
              </w:rPr>
              <w:t xml:space="preserve"> </w:t>
            </w:r>
            <w:r w:rsidR="008A4100" w:rsidRPr="007970F4">
              <w:rPr>
                <w:rFonts w:eastAsia="Calibri"/>
                <w:bCs/>
                <w:lang w:val="en-US"/>
              </w:rPr>
              <w:t>climate objectives requires a strong link between business, new industries and business</w:t>
            </w:r>
            <w:r w:rsidR="00B908D4" w:rsidRPr="007970F4">
              <w:rPr>
                <w:rFonts w:eastAsia="Calibri"/>
                <w:bCs/>
                <w:lang w:val="en-US"/>
              </w:rPr>
              <w:t xml:space="preserve"> </w:t>
            </w:r>
            <w:r w:rsidR="008A4100" w:rsidRPr="007970F4">
              <w:rPr>
                <w:rFonts w:eastAsia="Calibri"/>
                <w:bCs/>
                <w:lang w:val="en-US"/>
              </w:rPr>
              <w:t>opportunities as well as climate action. By developing the operating environment, taking into</w:t>
            </w:r>
            <w:r w:rsidR="00B908D4" w:rsidRPr="007970F4">
              <w:rPr>
                <w:rFonts w:eastAsia="Calibri"/>
                <w:bCs/>
                <w:lang w:val="en-US"/>
              </w:rPr>
              <w:t xml:space="preserve"> </w:t>
            </w:r>
            <w:r w:rsidR="008A4100" w:rsidRPr="007970F4">
              <w:rPr>
                <w:rFonts w:eastAsia="Calibri"/>
                <w:bCs/>
                <w:lang w:val="en-US"/>
              </w:rPr>
              <w:t>account the environmental, economic, social and cultural impacts, climate change mitigation is</w:t>
            </w:r>
            <w:r w:rsidR="00B908D4" w:rsidRPr="007970F4">
              <w:rPr>
                <w:rFonts w:eastAsia="Calibri"/>
                <w:bCs/>
                <w:lang w:val="en-US"/>
              </w:rPr>
              <w:t xml:space="preserve"> </w:t>
            </w:r>
            <w:r w:rsidR="008A4100" w:rsidRPr="007970F4">
              <w:rPr>
                <w:rFonts w:eastAsia="Calibri"/>
                <w:bCs/>
                <w:lang w:val="en-US"/>
              </w:rPr>
              <w:t>both possible and an opportunity.</w:t>
            </w:r>
            <w:r w:rsidRPr="007970F4">
              <w:rPr>
                <w:rFonts w:eastAsia="Calibri"/>
                <w:bCs/>
                <w:lang w:val="en-US"/>
              </w:rPr>
              <w:t>”</w:t>
            </w:r>
          </w:p>
          <w:p w14:paraId="6DDEF87B" w14:textId="77777777" w:rsidR="008A4100" w:rsidRPr="007970F4" w:rsidRDefault="008A4100" w:rsidP="007970F4">
            <w:pPr>
              <w:spacing w:before="40" w:after="120"/>
              <w:ind w:right="113"/>
              <w:rPr>
                <w:rFonts w:eastAsia="Calibri"/>
                <w:bCs/>
                <w:lang w:val="en-US"/>
              </w:rPr>
            </w:pPr>
          </w:p>
        </w:tc>
        <w:tc>
          <w:tcPr>
            <w:tcW w:w="2126" w:type="dxa"/>
            <w:shd w:val="clear" w:color="auto" w:fill="auto"/>
          </w:tcPr>
          <w:p w14:paraId="1DEF8218" w14:textId="77777777" w:rsidR="008A4100" w:rsidRPr="007970F4" w:rsidRDefault="006009CA" w:rsidP="007970F4">
            <w:pPr>
              <w:spacing w:before="40" w:after="120"/>
              <w:ind w:right="113"/>
              <w:rPr>
                <w:rFonts w:eastAsia="Calibri"/>
                <w:bCs/>
                <w:lang w:val="en-US"/>
              </w:rPr>
            </w:pPr>
            <w:r w:rsidRPr="007970F4">
              <w:rPr>
                <w:rFonts w:eastAsia="Calibri"/>
                <w:bCs/>
                <w:lang w:val="en-US"/>
              </w:rPr>
              <w:lastRenderedPageBreak/>
              <w:t>https://unece.org/sites/default/files/2022-04/Finland_SEA.pdf</w:t>
            </w:r>
          </w:p>
        </w:tc>
      </w:tr>
      <w:tr w:rsidR="003319CF" w:rsidRPr="007970F4" w14:paraId="4D55DFBB" w14:textId="77777777" w:rsidTr="0057020D">
        <w:tc>
          <w:tcPr>
            <w:tcW w:w="1173" w:type="dxa"/>
            <w:shd w:val="clear" w:color="auto" w:fill="auto"/>
          </w:tcPr>
          <w:p w14:paraId="2E4072F9" w14:textId="77777777" w:rsidR="003319CF" w:rsidRPr="007970F4" w:rsidRDefault="006009CA" w:rsidP="007970F4">
            <w:pPr>
              <w:spacing w:before="40" w:after="120"/>
              <w:ind w:right="113"/>
              <w:rPr>
                <w:rFonts w:eastAsia="Calibri"/>
                <w:bCs/>
                <w:lang w:val="nb-NO"/>
              </w:rPr>
            </w:pPr>
            <w:r w:rsidRPr="007970F4">
              <w:rPr>
                <w:rFonts w:eastAsia="Calibri"/>
                <w:bCs/>
                <w:lang w:val="nb-NO"/>
              </w:rPr>
              <w:t>Lithuania</w:t>
            </w:r>
          </w:p>
          <w:p w14:paraId="798792F2" w14:textId="77777777" w:rsidR="00560622" w:rsidRPr="007970F4" w:rsidRDefault="00560622" w:rsidP="007970F4">
            <w:pPr>
              <w:spacing w:before="40" w:after="120"/>
              <w:ind w:right="113"/>
              <w:rPr>
                <w:rFonts w:eastAsia="Calibri"/>
                <w:bCs/>
                <w:lang w:val="nb-NO"/>
              </w:rPr>
            </w:pPr>
            <w:r w:rsidRPr="007970F4">
              <w:rPr>
                <w:rFonts w:eastAsia="Calibri"/>
                <w:bCs/>
                <w:lang w:val="nb-NO"/>
              </w:rPr>
              <w:t>(Question II.10 (b))</w:t>
            </w:r>
          </w:p>
        </w:tc>
        <w:tc>
          <w:tcPr>
            <w:tcW w:w="1511" w:type="dxa"/>
            <w:shd w:val="clear" w:color="auto" w:fill="auto"/>
          </w:tcPr>
          <w:p w14:paraId="611D3B9B" w14:textId="77777777" w:rsidR="00560622" w:rsidRPr="007970F4" w:rsidRDefault="00560622" w:rsidP="007970F4">
            <w:pPr>
              <w:spacing w:before="40" w:after="120"/>
              <w:ind w:right="113"/>
              <w:rPr>
                <w:rFonts w:eastAsia="Calibri"/>
                <w:bCs/>
                <w:lang w:val="en-US"/>
              </w:rPr>
            </w:pPr>
            <w:r w:rsidRPr="007970F4">
              <w:rPr>
                <w:rFonts w:eastAsia="Calibri"/>
                <w:bCs/>
                <w:lang w:val="en-US"/>
              </w:rPr>
              <w:t>The Lithuanian Republic Comprehensive Plan</w:t>
            </w:r>
          </w:p>
          <w:p w14:paraId="3984A684" w14:textId="77777777" w:rsidR="003319CF" w:rsidRPr="007970F4" w:rsidRDefault="00560622" w:rsidP="007970F4">
            <w:pPr>
              <w:spacing w:before="40" w:after="120"/>
              <w:ind w:right="113"/>
              <w:rPr>
                <w:rFonts w:eastAsia="Calibri"/>
                <w:bCs/>
                <w:lang w:val="nb-NO"/>
              </w:rPr>
            </w:pPr>
            <w:r w:rsidRPr="007970F4">
              <w:rPr>
                <w:rFonts w:eastAsia="Calibri"/>
                <w:bCs/>
                <w:lang w:val="en-US"/>
              </w:rPr>
              <w:t>(LRCP)</w:t>
            </w:r>
          </w:p>
        </w:tc>
        <w:tc>
          <w:tcPr>
            <w:tcW w:w="1343" w:type="dxa"/>
            <w:shd w:val="clear" w:color="auto" w:fill="auto"/>
          </w:tcPr>
          <w:p w14:paraId="30F4DD70" w14:textId="77777777" w:rsidR="003319CF" w:rsidRPr="007970F4" w:rsidRDefault="00560622" w:rsidP="007970F4">
            <w:pPr>
              <w:spacing w:before="40" w:after="120"/>
              <w:ind w:right="113"/>
              <w:rPr>
                <w:rFonts w:eastAsia="Calibri"/>
                <w:bCs/>
                <w:lang w:val="en-US"/>
              </w:rPr>
            </w:pPr>
            <w:r w:rsidRPr="007970F4">
              <w:rPr>
                <w:rFonts w:eastAsia="Calibri"/>
                <w:bCs/>
                <w:lang w:val="en-US"/>
              </w:rPr>
              <w:t>Transboundary</w:t>
            </w:r>
          </w:p>
        </w:tc>
        <w:tc>
          <w:tcPr>
            <w:tcW w:w="1006" w:type="dxa"/>
            <w:shd w:val="clear" w:color="auto" w:fill="auto"/>
          </w:tcPr>
          <w:p w14:paraId="3CDFD01A" w14:textId="77777777" w:rsidR="003319CF" w:rsidRPr="007970F4" w:rsidRDefault="00560622" w:rsidP="007970F4">
            <w:pPr>
              <w:spacing w:before="40" w:after="120"/>
              <w:ind w:right="113"/>
              <w:rPr>
                <w:rFonts w:eastAsia="Calibri"/>
                <w:bCs/>
                <w:lang w:val="en-US"/>
              </w:rPr>
            </w:pPr>
            <w:r w:rsidRPr="007970F4">
              <w:rPr>
                <w:rFonts w:eastAsia="Calibri"/>
                <w:bCs/>
                <w:lang w:val="en-US"/>
              </w:rPr>
              <w:t>Transboundary consultations</w:t>
            </w:r>
          </w:p>
        </w:tc>
        <w:tc>
          <w:tcPr>
            <w:tcW w:w="1913" w:type="dxa"/>
            <w:shd w:val="clear" w:color="auto" w:fill="auto"/>
          </w:tcPr>
          <w:p w14:paraId="713F5B0C" w14:textId="77777777" w:rsidR="00E417F5" w:rsidRPr="007970F4" w:rsidRDefault="00560622" w:rsidP="007970F4">
            <w:pPr>
              <w:spacing w:before="40" w:after="120"/>
              <w:ind w:right="113"/>
              <w:rPr>
                <w:rFonts w:eastAsia="Calibri"/>
                <w:bCs/>
                <w:lang w:val="en-US"/>
              </w:rPr>
            </w:pPr>
            <w:r w:rsidRPr="007970F4">
              <w:rPr>
                <w:rFonts w:eastAsia="Calibri"/>
                <w:bCs/>
                <w:i/>
                <w:lang w:val="en-US"/>
              </w:rPr>
              <w:t>Good practice example.</w:t>
            </w:r>
            <w:r w:rsidRPr="007970F4">
              <w:rPr>
                <w:rFonts w:eastAsia="Calibri"/>
                <w:bCs/>
                <w:lang w:val="en-US"/>
              </w:rPr>
              <w:t xml:space="preserve"> Application of strategic environmental assessment in the following areas: </w:t>
            </w:r>
            <w:r w:rsidR="003319CF" w:rsidRPr="007970F4">
              <w:rPr>
                <w:rFonts w:eastAsia="Calibri"/>
                <w:bCs/>
                <w:lang w:val="en-US"/>
              </w:rPr>
              <w:t>Maritime spatial planning</w:t>
            </w:r>
            <w:r w:rsidR="00E417F5" w:rsidRPr="007970F4">
              <w:rPr>
                <w:rFonts w:eastAsia="Calibri"/>
                <w:bCs/>
                <w:lang w:val="en-US"/>
              </w:rPr>
              <w:t>.</w:t>
            </w:r>
          </w:p>
          <w:p w14:paraId="2694C0E4" w14:textId="77777777" w:rsidR="003319CF" w:rsidRPr="007970F4" w:rsidRDefault="00E417F5" w:rsidP="007970F4">
            <w:pPr>
              <w:spacing w:before="40" w:after="120"/>
              <w:ind w:right="113"/>
              <w:rPr>
                <w:rFonts w:eastAsia="Calibri"/>
                <w:bCs/>
                <w:lang w:val="en-US"/>
              </w:rPr>
            </w:pPr>
            <w:r w:rsidRPr="007970F4">
              <w:rPr>
                <w:rFonts w:eastAsia="Calibri"/>
                <w:bCs/>
                <w:lang w:val="en-US"/>
              </w:rPr>
              <w:t>“</w:t>
            </w:r>
            <w:r w:rsidR="003319CF" w:rsidRPr="007970F4">
              <w:rPr>
                <w:rFonts w:eastAsia="Calibri"/>
                <w:bCs/>
                <w:lang w:val="en-US"/>
              </w:rPr>
              <w:t>The transboundary consultation process for the LRCP</w:t>
            </w:r>
            <w:r w:rsidR="000C31DA" w:rsidRPr="007970F4">
              <w:rPr>
                <w:rFonts w:eastAsia="Calibri"/>
                <w:bCs/>
                <w:lang w:val="en-US"/>
              </w:rPr>
              <w:t xml:space="preserve"> </w:t>
            </w:r>
            <w:r w:rsidR="003319CF" w:rsidRPr="007970F4">
              <w:rPr>
                <w:rFonts w:eastAsia="Calibri"/>
                <w:bCs/>
                <w:lang w:val="en-US"/>
              </w:rPr>
              <w:t>was launched in the beginning of 2019 by notifying all the Baltic Sea region</w:t>
            </w:r>
            <w:r w:rsidR="00560622" w:rsidRPr="007970F4">
              <w:rPr>
                <w:rFonts w:eastAsia="Calibri"/>
                <w:bCs/>
                <w:lang w:val="en-US"/>
              </w:rPr>
              <w:t xml:space="preserve"> </w:t>
            </w:r>
            <w:r w:rsidR="003319CF" w:rsidRPr="007970F4">
              <w:rPr>
                <w:rFonts w:eastAsia="Calibri"/>
                <w:bCs/>
                <w:lang w:val="en-US"/>
              </w:rPr>
              <w:t>member states about the development of the national territorial (including the sea region)</w:t>
            </w:r>
            <w:r w:rsidR="00560622" w:rsidRPr="007970F4">
              <w:rPr>
                <w:rFonts w:eastAsia="Calibri"/>
                <w:bCs/>
                <w:lang w:val="en-US"/>
              </w:rPr>
              <w:t xml:space="preserve"> </w:t>
            </w:r>
            <w:r w:rsidR="003319CF" w:rsidRPr="007970F4">
              <w:rPr>
                <w:rFonts w:eastAsia="Calibri"/>
                <w:bCs/>
                <w:lang w:val="en-US"/>
              </w:rPr>
              <w:t>planning document. LRCP is a state level comprehensive planning document which is</w:t>
            </w:r>
            <w:r w:rsidRPr="007970F4">
              <w:rPr>
                <w:rFonts w:eastAsia="Calibri"/>
                <w:bCs/>
                <w:lang w:val="en-US"/>
              </w:rPr>
              <w:t xml:space="preserve"> </w:t>
            </w:r>
            <w:r w:rsidR="003319CF" w:rsidRPr="007970F4">
              <w:rPr>
                <w:rFonts w:eastAsia="Calibri"/>
                <w:bCs/>
                <w:lang w:val="en-US"/>
              </w:rPr>
              <w:t xml:space="preserve">developed every 20 years to </w:t>
            </w:r>
            <w:r w:rsidR="00FD5EFF" w:rsidRPr="007970F4">
              <w:rPr>
                <w:rFonts w:eastAsia="Calibri"/>
                <w:bCs/>
                <w:lang w:val="en-US"/>
              </w:rPr>
              <w:t>direct the</w:t>
            </w:r>
            <w:r w:rsidR="005E3F0C" w:rsidRPr="007970F4">
              <w:rPr>
                <w:rFonts w:eastAsia="Calibri"/>
                <w:bCs/>
                <w:lang w:val="en-US"/>
              </w:rPr>
              <w:t xml:space="preserve"> country’s</w:t>
            </w:r>
            <w:r w:rsidR="003319CF" w:rsidRPr="007970F4">
              <w:rPr>
                <w:rFonts w:eastAsia="Calibri"/>
                <w:bCs/>
                <w:lang w:val="en-US"/>
              </w:rPr>
              <w:t xml:space="preserve"> development with a clear strategic vision.</w:t>
            </w:r>
            <w:r w:rsidR="00164973" w:rsidRPr="007970F4">
              <w:rPr>
                <w:rFonts w:eastAsia="Calibri"/>
                <w:bCs/>
                <w:lang w:val="en-US"/>
              </w:rPr>
              <w:t xml:space="preserve"> </w:t>
            </w:r>
            <w:r w:rsidR="00164973" w:rsidRPr="007970F4">
              <w:rPr>
                <w:rFonts w:eastAsia="Calibri"/>
                <w:bCs/>
                <w:lang w:val="en-US"/>
              </w:rPr>
              <w:lastRenderedPageBreak/>
              <w:t>[…]</w:t>
            </w:r>
            <w:r w:rsidR="003319CF" w:rsidRPr="007970F4">
              <w:rPr>
                <w:rFonts w:eastAsia="Calibri"/>
                <w:bCs/>
                <w:lang w:val="en-US"/>
              </w:rPr>
              <w:t xml:space="preserve"> The transboundary consultations w</w:t>
            </w:r>
            <w:r w:rsidR="00164973" w:rsidRPr="007970F4">
              <w:rPr>
                <w:rFonts w:eastAsia="Calibri"/>
                <w:bCs/>
                <w:lang w:val="en-US"/>
              </w:rPr>
              <w:t>ere</w:t>
            </w:r>
            <w:r w:rsidRPr="007970F4">
              <w:rPr>
                <w:rFonts w:eastAsia="Calibri"/>
                <w:bCs/>
                <w:lang w:val="en-US"/>
              </w:rPr>
              <w:t xml:space="preserve"> </w:t>
            </w:r>
            <w:r w:rsidR="003319CF" w:rsidRPr="007970F4">
              <w:rPr>
                <w:rFonts w:eastAsia="Calibri"/>
                <w:bCs/>
                <w:lang w:val="en-US"/>
              </w:rPr>
              <w:t xml:space="preserve">initiated primarily because with the LRCP </w:t>
            </w:r>
            <w:r w:rsidR="00FD5EFF" w:rsidRPr="007970F4">
              <w:rPr>
                <w:rFonts w:eastAsia="Calibri"/>
                <w:bCs/>
                <w:lang w:val="en-US"/>
              </w:rPr>
              <w:t xml:space="preserve">also covered </w:t>
            </w:r>
            <w:r w:rsidR="003319CF" w:rsidRPr="007970F4">
              <w:rPr>
                <w:rFonts w:eastAsia="Calibri"/>
                <w:bCs/>
                <w:lang w:val="en-US"/>
              </w:rPr>
              <w:t xml:space="preserve">the Baltic Sea territory. </w:t>
            </w:r>
            <w:r w:rsidR="00FD5EFF" w:rsidRPr="007970F4">
              <w:rPr>
                <w:rFonts w:eastAsia="Calibri"/>
                <w:bCs/>
                <w:lang w:val="en-US"/>
              </w:rPr>
              <w:t>Denmark, Estonia, Finland, Germany, Latvia, Poland, and Sweden</w:t>
            </w:r>
            <w:r w:rsidR="003319CF" w:rsidRPr="007970F4">
              <w:rPr>
                <w:rFonts w:eastAsia="Calibri"/>
                <w:bCs/>
                <w:lang w:val="en-US"/>
              </w:rPr>
              <w:t xml:space="preserve"> were</w:t>
            </w:r>
            <w:r w:rsidRPr="007970F4">
              <w:rPr>
                <w:rFonts w:eastAsia="Calibri"/>
                <w:bCs/>
                <w:lang w:val="en-US"/>
              </w:rPr>
              <w:t xml:space="preserve"> </w:t>
            </w:r>
            <w:r w:rsidR="003319CF" w:rsidRPr="007970F4">
              <w:rPr>
                <w:rFonts w:eastAsia="Calibri"/>
                <w:bCs/>
                <w:lang w:val="en-US"/>
              </w:rPr>
              <w:t xml:space="preserve">informed about the plan, and invited to attend a live </w:t>
            </w:r>
            <w:r w:rsidR="000270CC" w:rsidRPr="007970F4">
              <w:rPr>
                <w:rFonts w:eastAsia="Calibri"/>
                <w:bCs/>
                <w:lang w:val="en-US"/>
              </w:rPr>
              <w:t xml:space="preserve">consultation </w:t>
            </w:r>
            <w:r w:rsidR="003319CF" w:rsidRPr="007970F4">
              <w:rPr>
                <w:rFonts w:eastAsia="Calibri"/>
                <w:bCs/>
                <w:lang w:val="en-US"/>
              </w:rPr>
              <w:t>event about the</w:t>
            </w:r>
            <w:r w:rsidRPr="007970F4">
              <w:rPr>
                <w:rFonts w:eastAsia="Calibri"/>
                <w:bCs/>
                <w:lang w:val="en-US"/>
              </w:rPr>
              <w:t xml:space="preserve"> </w:t>
            </w:r>
            <w:r w:rsidR="003319CF" w:rsidRPr="007970F4">
              <w:rPr>
                <w:rFonts w:eastAsia="Calibri"/>
                <w:bCs/>
                <w:lang w:val="en-US"/>
              </w:rPr>
              <w:t xml:space="preserve">LRCP. </w:t>
            </w:r>
            <w:r w:rsidR="000C31DA" w:rsidRPr="007970F4">
              <w:rPr>
                <w:rFonts w:eastAsia="Calibri"/>
                <w:bCs/>
                <w:lang w:val="en-US"/>
              </w:rPr>
              <w:t xml:space="preserve">In September 2019, Lithuania sent </w:t>
            </w:r>
            <w:r w:rsidR="003319CF" w:rsidRPr="007970F4">
              <w:rPr>
                <w:rFonts w:eastAsia="Calibri"/>
                <w:bCs/>
                <w:lang w:val="en-US"/>
              </w:rPr>
              <w:t>invitation</w:t>
            </w:r>
            <w:r w:rsidR="000C31DA" w:rsidRPr="007970F4">
              <w:rPr>
                <w:rFonts w:eastAsia="Calibri"/>
                <w:bCs/>
                <w:lang w:val="en-US"/>
              </w:rPr>
              <w:t>s</w:t>
            </w:r>
            <w:r w:rsidR="003319CF" w:rsidRPr="007970F4">
              <w:rPr>
                <w:rFonts w:eastAsia="Calibri"/>
                <w:bCs/>
                <w:lang w:val="en-US"/>
              </w:rPr>
              <w:t xml:space="preserve"> to this event </w:t>
            </w:r>
            <w:r w:rsidR="000C31DA" w:rsidRPr="007970F4">
              <w:rPr>
                <w:rFonts w:eastAsia="Calibri"/>
                <w:bCs/>
                <w:lang w:val="en-US"/>
              </w:rPr>
              <w:t>and shared</w:t>
            </w:r>
            <w:r w:rsidR="003319CF" w:rsidRPr="007970F4">
              <w:rPr>
                <w:rFonts w:eastAsia="Calibri"/>
                <w:bCs/>
                <w:lang w:val="en-US"/>
              </w:rPr>
              <w:t xml:space="preserve"> information about the LRCP concept and the SEA assessment for</w:t>
            </w:r>
            <w:r w:rsidRPr="007970F4">
              <w:rPr>
                <w:rFonts w:eastAsia="Calibri"/>
                <w:bCs/>
                <w:lang w:val="en-US"/>
              </w:rPr>
              <w:t xml:space="preserve"> </w:t>
            </w:r>
            <w:r w:rsidR="003319CF" w:rsidRPr="007970F4">
              <w:rPr>
                <w:rFonts w:eastAsia="Calibri"/>
                <w:bCs/>
                <w:lang w:val="en-US"/>
              </w:rPr>
              <w:t>comments. On 3 October 2019 the live consultation about the LRCP was conducted</w:t>
            </w:r>
            <w:r w:rsidRPr="007970F4">
              <w:rPr>
                <w:rFonts w:eastAsia="Calibri"/>
                <w:bCs/>
                <w:lang w:val="en-US"/>
              </w:rPr>
              <w:t xml:space="preserve"> </w:t>
            </w:r>
            <w:r w:rsidR="003319CF" w:rsidRPr="007970F4">
              <w:rPr>
                <w:rFonts w:eastAsia="Calibri"/>
                <w:bCs/>
                <w:lang w:val="en-US"/>
              </w:rPr>
              <w:t>in Vilnius</w:t>
            </w:r>
            <w:r w:rsidR="004E4CE8" w:rsidRPr="007970F4">
              <w:rPr>
                <w:rFonts w:eastAsia="Calibri"/>
                <w:bCs/>
                <w:lang w:val="en-US"/>
              </w:rPr>
              <w:t xml:space="preserve">, </w:t>
            </w:r>
            <w:r w:rsidR="003319CF" w:rsidRPr="007970F4">
              <w:rPr>
                <w:rFonts w:eastAsia="Calibri"/>
                <w:bCs/>
                <w:lang w:val="en-US"/>
              </w:rPr>
              <w:t>hosted by the Ministry of Environment</w:t>
            </w:r>
            <w:r w:rsidR="004E4CE8" w:rsidRPr="007970F4">
              <w:rPr>
                <w:rFonts w:eastAsia="Calibri"/>
                <w:bCs/>
                <w:lang w:val="en-US"/>
              </w:rPr>
              <w:t xml:space="preserve">. </w:t>
            </w:r>
            <w:r w:rsidR="003319CF" w:rsidRPr="007970F4">
              <w:rPr>
                <w:rFonts w:eastAsia="Calibri"/>
                <w:bCs/>
                <w:lang w:val="en-US"/>
              </w:rPr>
              <w:t xml:space="preserve"> </w:t>
            </w:r>
            <w:r w:rsidR="000270CC" w:rsidRPr="007970F4">
              <w:rPr>
                <w:rFonts w:eastAsia="Calibri"/>
                <w:bCs/>
                <w:lang w:val="en-US"/>
              </w:rPr>
              <w:t xml:space="preserve">Participants </w:t>
            </w:r>
            <w:r w:rsidR="003319CF" w:rsidRPr="007970F4">
              <w:rPr>
                <w:rFonts w:eastAsia="Calibri"/>
                <w:bCs/>
                <w:lang w:val="en-US"/>
              </w:rPr>
              <w:t>from</w:t>
            </w:r>
            <w:r w:rsidRPr="007970F4">
              <w:rPr>
                <w:rFonts w:eastAsia="Calibri"/>
                <w:bCs/>
                <w:lang w:val="en-US"/>
              </w:rPr>
              <w:t xml:space="preserve"> </w:t>
            </w:r>
            <w:r w:rsidR="00FD5EFF" w:rsidRPr="007970F4">
              <w:rPr>
                <w:rFonts w:eastAsia="Calibri"/>
                <w:bCs/>
                <w:lang w:val="en-US"/>
              </w:rPr>
              <w:t xml:space="preserve">Estonia, Latvia and </w:t>
            </w:r>
            <w:r w:rsidR="003319CF" w:rsidRPr="007970F4">
              <w:rPr>
                <w:rFonts w:eastAsia="Calibri"/>
                <w:bCs/>
                <w:lang w:val="en-US"/>
              </w:rPr>
              <w:t>Sweden</w:t>
            </w:r>
            <w:r w:rsidR="00FD5EFF" w:rsidRPr="007970F4">
              <w:rPr>
                <w:rFonts w:eastAsia="Calibri"/>
                <w:bCs/>
                <w:lang w:val="en-US"/>
              </w:rPr>
              <w:t xml:space="preserve"> </w:t>
            </w:r>
            <w:r w:rsidR="003319CF" w:rsidRPr="007970F4">
              <w:rPr>
                <w:rFonts w:eastAsia="Calibri"/>
                <w:bCs/>
                <w:lang w:val="en-US"/>
              </w:rPr>
              <w:t>attended</w:t>
            </w:r>
            <w:r w:rsidR="000270CC" w:rsidRPr="007970F4">
              <w:rPr>
                <w:rFonts w:eastAsia="Calibri"/>
                <w:bCs/>
                <w:lang w:val="en-US"/>
              </w:rPr>
              <w:t xml:space="preserve"> the event</w:t>
            </w:r>
            <w:r w:rsidR="003319CF" w:rsidRPr="007970F4">
              <w:rPr>
                <w:rFonts w:eastAsia="Calibri"/>
                <w:bCs/>
                <w:lang w:val="en-US"/>
              </w:rPr>
              <w:t xml:space="preserve">. We found that </w:t>
            </w:r>
            <w:r w:rsidR="0078484E" w:rsidRPr="007970F4">
              <w:rPr>
                <w:rFonts w:eastAsia="Calibri"/>
                <w:bCs/>
                <w:lang w:val="en-US"/>
              </w:rPr>
              <w:t xml:space="preserve">the </w:t>
            </w:r>
            <w:r w:rsidR="003319CF" w:rsidRPr="007970F4">
              <w:rPr>
                <w:rFonts w:eastAsia="Calibri"/>
                <w:bCs/>
                <w:lang w:val="en-US"/>
              </w:rPr>
              <w:t>consultation was</w:t>
            </w:r>
            <w:r w:rsidRPr="007970F4">
              <w:rPr>
                <w:rFonts w:eastAsia="Calibri"/>
                <w:bCs/>
                <w:lang w:val="en-US"/>
              </w:rPr>
              <w:t xml:space="preserve"> </w:t>
            </w:r>
            <w:r w:rsidR="003319CF" w:rsidRPr="007970F4">
              <w:rPr>
                <w:rFonts w:eastAsia="Calibri"/>
                <w:bCs/>
                <w:lang w:val="en-US"/>
              </w:rPr>
              <w:t>effective, and the points were discussed mainly about the Baltic Sea planning.</w:t>
            </w:r>
            <w:r w:rsidRPr="007970F4">
              <w:rPr>
                <w:rFonts w:eastAsia="Calibri"/>
                <w:bCs/>
                <w:lang w:val="en-US"/>
              </w:rPr>
              <w:t>”</w:t>
            </w:r>
          </w:p>
        </w:tc>
        <w:tc>
          <w:tcPr>
            <w:tcW w:w="2126" w:type="dxa"/>
            <w:shd w:val="clear" w:color="auto" w:fill="auto"/>
          </w:tcPr>
          <w:p w14:paraId="33B8A31A" w14:textId="77777777" w:rsidR="003319CF" w:rsidRPr="007970F4" w:rsidRDefault="00560622" w:rsidP="007970F4">
            <w:pPr>
              <w:spacing w:before="40" w:after="120"/>
              <w:ind w:right="113"/>
              <w:rPr>
                <w:rFonts w:eastAsia="Calibri"/>
                <w:bCs/>
                <w:lang w:val="en-US"/>
              </w:rPr>
            </w:pPr>
            <w:r w:rsidRPr="007970F4">
              <w:rPr>
                <w:rFonts w:eastAsia="Calibri"/>
                <w:bCs/>
                <w:lang w:val="en-US"/>
              </w:rPr>
              <w:lastRenderedPageBreak/>
              <w:t>https://unece.org/sites/default/files/2022-04/Lithuania_SEA.pdf</w:t>
            </w:r>
          </w:p>
        </w:tc>
      </w:tr>
      <w:tr w:rsidR="003B6012" w:rsidRPr="007970F4" w14:paraId="4D0F968A" w14:textId="77777777" w:rsidTr="0057020D">
        <w:tc>
          <w:tcPr>
            <w:tcW w:w="1173" w:type="dxa"/>
            <w:shd w:val="clear" w:color="auto" w:fill="auto"/>
          </w:tcPr>
          <w:p w14:paraId="7274E71E" w14:textId="77777777" w:rsidR="003B6012" w:rsidRPr="007970F4" w:rsidRDefault="003B6012" w:rsidP="007970F4">
            <w:pPr>
              <w:spacing w:before="40" w:after="120"/>
              <w:ind w:right="113"/>
              <w:rPr>
                <w:rFonts w:eastAsia="Calibri"/>
                <w:bCs/>
                <w:lang w:val="nb-NO"/>
              </w:rPr>
            </w:pPr>
            <w:r w:rsidRPr="007970F4">
              <w:rPr>
                <w:rFonts w:eastAsia="Calibri"/>
                <w:bCs/>
                <w:lang w:val="nb-NO"/>
              </w:rPr>
              <w:t>Malta</w:t>
            </w:r>
          </w:p>
        </w:tc>
        <w:tc>
          <w:tcPr>
            <w:tcW w:w="1511" w:type="dxa"/>
            <w:shd w:val="clear" w:color="auto" w:fill="auto"/>
          </w:tcPr>
          <w:p w14:paraId="09D3501B" w14:textId="77777777" w:rsidR="003B6012" w:rsidRPr="007970F4" w:rsidRDefault="007F6D79" w:rsidP="007970F4">
            <w:pPr>
              <w:spacing w:before="40" w:after="120"/>
              <w:ind w:right="113"/>
              <w:rPr>
                <w:rFonts w:eastAsia="Calibri"/>
                <w:bCs/>
                <w:lang w:val="nb-NO"/>
              </w:rPr>
            </w:pPr>
            <w:r w:rsidRPr="007970F4">
              <w:rPr>
                <w:rFonts w:eastAsia="Calibri"/>
                <w:bCs/>
                <w:lang w:val="nb-NO"/>
              </w:rPr>
              <w:t>Long Term Waste Management Plan 2021-2030</w:t>
            </w:r>
          </w:p>
        </w:tc>
        <w:tc>
          <w:tcPr>
            <w:tcW w:w="1343" w:type="dxa"/>
            <w:shd w:val="clear" w:color="auto" w:fill="auto"/>
          </w:tcPr>
          <w:p w14:paraId="0AB4C5FF" w14:textId="77777777" w:rsidR="003B6012" w:rsidRPr="007970F4" w:rsidRDefault="007A2C0C" w:rsidP="007970F4">
            <w:pPr>
              <w:spacing w:before="40" w:after="120"/>
              <w:ind w:right="113"/>
              <w:rPr>
                <w:rFonts w:eastAsia="Calibri"/>
                <w:lang w:val="en-US"/>
              </w:rPr>
            </w:pPr>
            <w:r w:rsidRPr="007970F4">
              <w:rPr>
                <w:rFonts w:eastAsia="Calibri"/>
                <w:bCs/>
                <w:lang w:val="en-US"/>
              </w:rPr>
              <w:t>Domestic</w:t>
            </w:r>
          </w:p>
        </w:tc>
        <w:tc>
          <w:tcPr>
            <w:tcW w:w="1006" w:type="dxa"/>
            <w:shd w:val="clear" w:color="auto" w:fill="auto"/>
          </w:tcPr>
          <w:p w14:paraId="541C853A" w14:textId="77777777" w:rsidR="003B6012" w:rsidRPr="007970F4" w:rsidRDefault="007A2C0C" w:rsidP="007970F4">
            <w:pPr>
              <w:spacing w:before="40" w:after="120"/>
              <w:ind w:right="113"/>
              <w:rPr>
                <w:rFonts w:eastAsia="Calibri"/>
                <w:bCs/>
                <w:lang w:val="en-US"/>
              </w:rPr>
            </w:pPr>
            <w:r w:rsidRPr="007970F4">
              <w:rPr>
                <w:rFonts w:eastAsia="Calibri"/>
                <w:bCs/>
                <w:lang w:val="en-US"/>
              </w:rPr>
              <w:t>Entire procedure</w:t>
            </w:r>
          </w:p>
        </w:tc>
        <w:tc>
          <w:tcPr>
            <w:tcW w:w="1913" w:type="dxa"/>
            <w:shd w:val="clear" w:color="auto" w:fill="auto"/>
          </w:tcPr>
          <w:p w14:paraId="652FE7BF" w14:textId="77777777" w:rsidR="003B6012" w:rsidRPr="007970F4" w:rsidRDefault="007A2C0C" w:rsidP="007970F4">
            <w:pPr>
              <w:spacing w:before="40" w:after="120"/>
              <w:ind w:right="113"/>
              <w:rPr>
                <w:rFonts w:eastAsia="Calibri"/>
                <w:bCs/>
                <w:lang w:val="en-US"/>
              </w:rPr>
            </w:pPr>
            <w:r w:rsidRPr="007970F4">
              <w:rPr>
                <w:rFonts w:eastAsia="Calibri"/>
                <w:bCs/>
                <w:lang w:val="en-US"/>
              </w:rPr>
              <w:t>-</w:t>
            </w:r>
          </w:p>
        </w:tc>
        <w:tc>
          <w:tcPr>
            <w:tcW w:w="2126" w:type="dxa"/>
            <w:shd w:val="clear" w:color="auto" w:fill="auto"/>
          </w:tcPr>
          <w:p w14:paraId="79DA76E1" w14:textId="77777777" w:rsidR="003B6012" w:rsidRPr="007970F4" w:rsidRDefault="00D93B52" w:rsidP="007970F4">
            <w:pPr>
              <w:spacing w:before="40" w:after="120"/>
              <w:ind w:right="113"/>
              <w:rPr>
                <w:rFonts w:eastAsia="Calibri"/>
                <w:bCs/>
                <w:lang w:val="en-US"/>
              </w:rPr>
            </w:pPr>
            <w:r w:rsidRPr="007970F4">
              <w:rPr>
                <w:rFonts w:eastAsia="Calibri"/>
                <w:bCs/>
                <w:lang w:val="en-US"/>
              </w:rPr>
              <w:t>https://unece.org/sites/default/files/2022-03/Malta_SEA.pdf</w:t>
            </w:r>
          </w:p>
        </w:tc>
      </w:tr>
      <w:tr w:rsidR="003B6012" w:rsidRPr="007970F4" w14:paraId="608F00B7" w14:textId="77777777" w:rsidTr="0057020D">
        <w:tc>
          <w:tcPr>
            <w:tcW w:w="1173" w:type="dxa"/>
            <w:shd w:val="clear" w:color="auto" w:fill="auto"/>
          </w:tcPr>
          <w:p w14:paraId="6A0F0F43" w14:textId="77777777" w:rsidR="003B6012" w:rsidRPr="007970F4" w:rsidRDefault="003B6012" w:rsidP="007970F4">
            <w:pPr>
              <w:spacing w:before="40" w:after="120"/>
              <w:ind w:right="113"/>
              <w:rPr>
                <w:rFonts w:eastAsia="Calibri"/>
                <w:bCs/>
                <w:lang w:val="nb-NO"/>
              </w:rPr>
            </w:pPr>
            <w:r w:rsidRPr="007970F4">
              <w:rPr>
                <w:rFonts w:eastAsia="Calibri"/>
                <w:bCs/>
                <w:lang w:val="nb-NO"/>
              </w:rPr>
              <w:t>Montenegro</w:t>
            </w:r>
          </w:p>
        </w:tc>
        <w:tc>
          <w:tcPr>
            <w:tcW w:w="1511" w:type="dxa"/>
            <w:shd w:val="clear" w:color="auto" w:fill="auto"/>
          </w:tcPr>
          <w:p w14:paraId="5EC96317" w14:textId="77777777" w:rsidR="003B6012" w:rsidRPr="007970F4" w:rsidRDefault="0027421F" w:rsidP="007970F4">
            <w:pPr>
              <w:spacing w:before="40" w:after="120"/>
              <w:ind w:right="113"/>
              <w:rPr>
                <w:rFonts w:eastAsia="Calibri"/>
                <w:bCs/>
                <w:lang w:val="nb-NO"/>
              </w:rPr>
            </w:pPr>
            <w:r w:rsidRPr="007970F4">
              <w:rPr>
                <w:rFonts w:eastAsia="Calibri"/>
                <w:bCs/>
                <w:lang w:val="nb-NO"/>
              </w:rPr>
              <w:t>Detailed Spatial Plan for the area of the multipurpose</w:t>
            </w:r>
            <w:r w:rsidRPr="007970F4">
              <w:rPr>
                <w:rFonts w:eastAsia="Calibri"/>
                <w:bCs/>
                <w:lang w:val="uk-UA"/>
              </w:rPr>
              <w:t xml:space="preserve"> </w:t>
            </w:r>
            <w:r w:rsidRPr="007970F4">
              <w:rPr>
                <w:rFonts w:eastAsia="Calibri"/>
                <w:bCs/>
                <w:lang w:val="nb-NO"/>
              </w:rPr>
              <w:t xml:space="preserve">reservoir on the river Komarnica </w:t>
            </w:r>
          </w:p>
        </w:tc>
        <w:tc>
          <w:tcPr>
            <w:tcW w:w="1343" w:type="dxa"/>
            <w:shd w:val="clear" w:color="auto" w:fill="auto"/>
          </w:tcPr>
          <w:p w14:paraId="6EEB5CD1" w14:textId="77777777" w:rsidR="003B6012" w:rsidRPr="007970F4" w:rsidRDefault="0027421F" w:rsidP="007970F4">
            <w:pPr>
              <w:spacing w:before="40" w:after="120"/>
              <w:ind w:right="113"/>
              <w:rPr>
                <w:rFonts w:eastAsia="Calibri"/>
                <w:bCs/>
                <w:lang w:val="en-US"/>
              </w:rPr>
            </w:pPr>
            <w:r w:rsidRPr="007970F4">
              <w:rPr>
                <w:rFonts w:eastAsia="Calibri"/>
                <w:bCs/>
                <w:lang w:val="en-US"/>
              </w:rPr>
              <w:t>Domestic and transboundary</w:t>
            </w:r>
          </w:p>
        </w:tc>
        <w:tc>
          <w:tcPr>
            <w:tcW w:w="1006" w:type="dxa"/>
            <w:shd w:val="clear" w:color="auto" w:fill="auto"/>
          </w:tcPr>
          <w:p w14:paraId="5654BA9B" w14:textId="77777777" w:rsidR="003B6012" w:rsidRPr="007970F4" w:rsidRDefault="0027421F" w:rsidP="007970F4">
            <w:pPr>
              <w:spacing w:before="40" w:after="120"/>
              <w:ind w:right="113"/>
              <w:rPr>
                <w:rFonts w:eastAsia="Calibri"/>
                <w:bCs/>
                <w:lang w:val="en-US"/>
              </w:rPr>
            </w:pPr>
            <w:r w:rsidRPr="007970F4">
              <w:rPr>
                <w:rFonts w:eastAsia="Calibri"/>
                <w:bCs/>
                <w:lang w:val="en-US"/>
              </w:rPr>
              <w:t>Entire procedure</w:t>
            </w:r>
          </w:p>
        </w:tc>
        <w:tc>
          <w:tcPr>
            <w:tcW w:w="1913" w:type="dxa"/>
            <w:shd w:val="clear" w:color="auto" w:fill="auto"/>
          </w:tcPr>
          <w:p w14:paraId="0B87AFBE" w14:textId="77777777" w:rsidR="003B6012" w:rsidRPr="007970F4" w:rsidRDefault="007F6D79" w:rsidP="007970F4">
            <w:pPr>
              <w:spacing w:before="40" w:after="120"/>
              <w:ind w:right="113"/>
              <w:rPr>
                <w:rFonts w:eastAsia="Calibri"/>
                <w:bCs/>
                <w:lang w:val="en-US"/>
              </w:rPr>
            </w:pPr>
            <w:r w:rsidRPr="007970F4">
              <w:rPr>
                <w:rFonts w:eastAsia="Calibri"/>
                <w:bCs/>
                <w:lang w:val="en-US"/>
              </w:rPr>
              <w:t xml:space="preserve">“Experience </w:t>
            </w:r>
            <w:r w:rsidR="000270CC" w:rsidRPr="007970F4">
              <w:rPr>
                <w:rFonts w:eastAsia="Calibri"/>
                <w:bCs/>
                <w:lang w:val="en-US"/>
              </w:rPr>
              <w:t xml:space="preserve">has </w:t>
            </w:r>
            <w:r w:rsidRPr="007970F4">
              <w:rPr>
                <w:rFonts w:eastAsia="Calibri"/>
                <w:bCs/>
                <w:lang w:val="en-US"/>
              </w:rPr>
              <w:t>show</w:t>
            </w:r>
            <w:r w:rsidR="00A57672" w:rsidRPr="007970F4">
              <w:rPr>
                <w:rFonts w:eastAsia="Calibri"/>
                <w:bCs/>
                <w:lang w:val="en-US"/>
              </w:rPr>
              <w:t>n</w:t>
            </w:r>
            <w:r w:rsidRPr="007970F4">
              <w:rPr>
                <w:rFonts w:eastAsia="Calibri"/>
                <w:bCs/>
                <w:lang w:val="en-US"/>
              </w:rPr>
              <w:t xml:space="preserve"> that it is always better to notify another country/ies. </w:t>
            </w:r>
            <w:r w:rsidR="000270CC" w:rsidRPr="007970F4">
              <w:rPr>
                <w:rFonts w:eastAsia="Calibri"/>
                <w:bCs/>
                <w:lang w:val="en-US"/>
              </w:rPr>
              <w:t>T</w:t>
            </w:r>
            <w:r w:rsidRPr="007970F4">
              <w:rPr>
                <w:rFonts w:eastAsia="Calibri"/>
                <w:bCs/>
                <w:lang w:val="en-US"/>
              </w:rPr>
              <w:t>ransboundary procedure</w:t>
            </w:r>
            <w:r w:rsidR="000270CC" w:rsidRPr="007970F4">
              <w:rPr>
                <w:rFonts w:eastAsia="Calibri"/>
                <w:bCs/>
                <w:lang w:val="en-US"/>
              </w:rPr>
              <w:t xml:space="preserve"> took some time</w:t>
            </w:r>
            <w:r w:rsidRPr="007970F4">
              <w:rPr>
                <w:rFonts w:eastAsia="Calibri"/>
                <w:bCs/>
                <w:lang w:val="en-US"/>
              </w:rPr>
              <w:t xml:space="preserve">, but in the end, time and recourses </w:t>
            </w:r>
            <w:r w:rsidR="000270CC" w:rsidRPr="007970F4">
              <w:rPr>
                <w:rFonts w:eastAsia="Calibri"/>
                <w:bCs/>
                <w:lang w:val="en-US"/>
              </w:rPr>
              <w:lastRenderedPageBreak/>
              <w:t>were</w:t>
            </w:r>
            <w:r w:rsidRPr="007970F4">
              <w:rPr>
                <w:rFonts w:eastAsia="Calibri"/>
                <w:bCs/>
                <w:lang w:val="en-US"/>
              </w:rPr>
              <w:t xml:space="preserve"> saved. </w:t>
            </w:r>
            <w:r w:rsidR="004E4CE8" w:rsidRPr="007970F4">
              <w:rPr>
                <w:rFonts w:eastAsia="Calibri"/>
                <w:bCs/>
                <w:lang w:val="en-US"/>
              </w:rPr>
              <w:t xml:space="preserve">The </w:t>
            </w:r>
            <w:r w:rsidR="00FD5EFF" w:rsidRPr="007970F4">
              <w:rPr>
                <w:rFonts w:eastAsia="Calibri"/>
                <w:bCs/>
                <w:lang w:val="en-US"/>
              </w:rPr>
              <w:t>decision-making</w:t>
            </w:r>
            <w:r w:rsidRPr="007970F4">
              <w:rPr>
                <w:rFonts w:eastAsia="Calibri"/>
                <w:bCs/>
                <w:lang w:val="en-US"/>
              </w:rPr>
              <w:t xml:space="preserve"> process </w:t>
            </w:r>
            <w:r w:rsidR="000270CC" w:rsidRPr="007970F4">
              <w:rPr>
                <w:rFonts w:eastAsia="Calibri"/>
                <w:bCs/>
                <w:lang w:val="en-US"/>
              </w:rPr>
              <w:t>was</w:t>
            </w:r>
            <w:r w:rsidRPr="007970F4">
              <w:rPr>
                <w:rFonts w:eastAsia="Calibri"/>
                <w:bCs/>
                <w:lang w:val="en-US"/>
              </w:rPr>
              <w:t xml:space="preserve"> enhanced by this and help</w:t>
            </w:r>
            <w:r w:rsidR="000270CC" w:rsidRPr="007970F4">
              <w:rPr>
                <w:rFonts w:eastAsia="Calibri"/>
                <w:bCs/>
                <w:lang w:val="en-US"/>
              </w:rPr>
              <w:t>ed</w:t>
            </w:r>
            <w:r w:rsidRPr="007970F4">
              <w:rPr>
                <w:rFonts w:eastAsia="Calibri"/>
                <w:bCs/>
                <w:lang w:val="en-US"/>
              </w:rPr>
              <w:t xml:space="preserve"> adopt a decision that contributes to </w:t>
            </w:r>
            <w:r w:rsidR="00F76115" w:rsidRPr="007970F4">
              <w:rPr>
                <w:rFonts w:eastAsia="Calibri"/>
                <w:bCs/>
                <w:lang w:val="en-US"/>
              </w:rPr>
              <w:t xml:space="preserve">the </w:t>
            </w:r>
            <w:r w:rsidRPr="007970F4">
              <w:rPr>
                <w:rFonts w:eastAsia="Calibri"/>
                <w:bCs/>
                <w:lang w:val="en-US"/>
              </w:rPr>
              <w:t xml:space="preserve">attainment </w:t>
            </w:r>
            <w:r w:rsidR="00F76115" w:rsidRPr="007970F4">
              <w:rPr>
                <w:rFonts w:eastAsia="Calibri"/>
                <w:bCs/>
                <w:lang w:val="en-US"/>
              </w:rPr>
              <w:t xml:space="preserve">of </w:t>
            </w:r>
            <w:r w:rsidRPr="007970F4">
              <w:rPr>
                <w:rFonts w:eastAsia="Calibri"/>
                <w:bCs/>
                <w:lang w:val="en-US"/>
              </w:rPr>
              <w:t xml:space="preserve">sustainable development in </w:t>
            </w:r>
            <w:r w:rsidR="004E4CE8" w:rsidRPr="007970F4">
              <w:rPr>
                <w:rFonts w:eastAsia="Calibri"/>
                <w:bCs/>
                <w:lang w:val="en-US"/>
              </w:rPr>
              <w:t>the</w:t>
            </w:r>
            <w:r w:rsidRPr="007970F4">
              <w:rPr>
                <w:rFonts w:eastAsia="Calibri"/>
                <w:bCs/>
                <w:lang w:val="en-US"/>
              </w:rPr>
              <w:t xml:space="preserve"> long term.”</w:t>
            </w:r>
          </w:p>
        </w:tc>
        <w:tc>
          <w:tcPr>
            <w:tcW w:w="2126" w:type="dxa"/>
            <w:shd w:val="clear" w:color="auto" w:fill="auto"/>
          </w:tcPr>
          <w:p w14:paraId="6F6DC0EC" w14:textId="77777777" w:rsidR="003B6012" w:rsidRPr="007970F4" w:rsidRDefault="00D93B52" w:rsidP="007970F4">
            <w:pPr>
              <w:spacing w:before="40" w:after="120"/>
              <w:ind w:right="113"/>
              <w:rPr>
                <w:rFonts w:eastAsia="Calibri"/>
                <w:bCs/>
                <w:lang w:val="en-US"/>
              </w:rPr>
            </w:pPr>
            <w:r w:rsidRPr="007970F4">
              <w:rPr>
                <w:rFonts w:eastAsia="Calibri"/>
                <w:bCs/>
                <w:lang w:val="en-US"/>
              </w:rPr>
              <w:lastRenderedPageBreak/>
              <w:t>https://unece.org/sites/default/files/2022-05/Montenegro_SEA.pdf</w:t>
            </w:r>
          </w:p>
        </w:tc>
      </w:tr>
      <w:tr w:rsidR="003B6012" w:rsidRPr="007970F4" w14:paraId="791E023C" w14:textId="77777777" w:rsidTr="0057020D">
        <w:tc>
          <w:tcPr>
            <w:tcW w:w="1173" w:type="dxa"/>
            <w:shd w:val="clear" w:color="auto" w:fill="auto"/>
          </w:tcPr>
          <w:p w14:paraId="691B445F" w14:textId="77777777" w:rsidR="003B6012" w:rsidRPr="007970F4" w:rsidRDefault="003B6012" w:rsidP="007970F4">
            <w:pPr>
              <w:spacing w:before="40" w:after="120"/>
              <w:ind w:right="113"/>
              <w:rPr>
                <w:rFonts w:eastAsia="Calibri"/>
                <w:bCs/>
                <w:lang w:val="nb-NO"/>
              </w:rPr>
            </w:pPr>
            <w:r w:rsidRPr="007970F4">
              <w:rPr>
                <w:rFonts w:eastAsia="Calibri"/>
                <w:bCs/>
                <w:lang w:val="nb-NO"/>
              </w:rPr>
              <w:t>Poland</w:t>
            </w:r>
          </w:p>
        </w:tc>
        <w:tc>
          <w:tcPr>
            <w:tcW w:w="1511" w:type="dxa"/>
            <w:shd w:val="clear" w:color="auto" w:fill="auto"/>
          </w:tcPr>
          <w:p w14:paraId="561ACCD3" w14:textId="77777777" w:rsidR="003B6012" w:rsidRPr="007970F4" w:rsidRDefault="00DF3890" w:rsidP="007970F4">
            <w:pPr>
              <w:spacing w:before="40" w:after="120"/>
              <w:ind w:right="113"/>
              <w:rPr>
                <w:rFonts w:eastAsia="Calibri"/>
                <w:bCs/>
                <w:lang w:val="nb-NO"/>
              </w:rPr>
            </w:pPr>
            <w:r w:rsidRPr="007970F4">
              <w:rPr>
                <w:rFonts w:eastAsia="Calibri"/>
                <w:bCs/>
                <w:lang w:val="nb-NO"/>
              </w:rPr>
              <w:t xml:space="preserve">Programme of non-technical and retention actions as part of flood risk management in the Little Vistula and Upper Vistula </w:t>
            </w:r>
            <w:r w:rsidR="00E434E0" w:rsidRPr="007970F4">
              <w:rPr>
                <w:rFonts w:eastAsia="Calibri"/>
                <w:bCs/>
                <w:lang w:val="nb-NO"/>
              </w:rPr>
              <w:t xml:space="preserve">regions </w:t>
            </w:r>
            <w:r w:rsidRPr="007970F4">
              <w:rPr>
                <w:rFonts w:eastAsia="Calibri"/>
                <w:bCs/>
                <w:lang w:val="nb-NO"/>
              </w:rPr>
              <w:t>(catchment above Krakow), taking into account the protection against flood of the city of Krakow</w:t>
            </w:r>
          </w:p>
        </w:tc>
        <w:tc>
          <w:tcPr>
            <w:tcW w:w="1343" w:type="dxa"/>
            <w:shd w:val="clear" w:color="auto" w:fill="auto"/>
          </w:tcPr>
          <w:p w14:paraId="5D308C19" w14:textId="77777777" w:rsidR="003B6012" w:rsidRPr="007970F4" w:rsidRDefault="00DF3890" w:rsidP="007970F4">
            <w:pPr>
              <w:spacing w:before="40" w:after="120"/>
              <w:ind w:right="113"/>
              <w:rPr>
                <w:rFonts w:eastAsia="Calibri"/>
                <w:bCs/>
                <w:lang w:val="en-US"/>
              </w:rPr>
            </w:pPr>
            <w:r w:rsidRPr="007970F4">
              <w:rPr>
                <w:rFonts w:eastAsia="Calibri"/>
                <w:bCs/>
                <w:lang w:val="en-US"/>
              </w:rPr>
              <w:t>Domestic</w:t>
            </w:r>
          </w:p>
        </w:tc>
        <w:tc>
          <w:tcPr>
            <w:tcW w:w="1006" w:type="dxa"/>
            <w:shd w:val="clear" w:color="auto" w:fill="auto"/>
          </w:tcPr>
          <w:p w14:paraId="2A7B85EE" w14:textId="77777777" w:rsidR="003B6012" w:rsidRPr="007970F4" w:rsidRDefault="00DF3890" w:rsidP="007970F4">
            <w:pPr>
              <w:spacing w:before="40" w:after="120"/>
              <w:ind w:right="113"/>
              <w:rPr>
                <w:rFonts w:eastAsia="Calibri"/>
                <w:bCs/>
                <w:lang w:val="en-US"/>
              </w:rPr>
            </w:pPr>
            <w:r w:rsidRPr="007970F4">
              <w:rPr>
                <w:rFonts w:eastAsia="Calibri"/>
                <w:bCs/>
                <w:lang w:val="en-US"/>
              </w:rPr>
              <w:t xml:space="preserve">Screening; </w:t>
            </w:r>
            <w:r w:rsidR="003579CD" w:rsidRPr="007970F4">
              <w:rPr>
                <w:rFonts w:eastAsia="Calibri"/>
                <w:bCs/>
                <w:lang w:val="en-US"/>
              </w:rPr>
              <w:t>Scoping; Public</w:t>
            </w:r>
            <w:r w:rsidRPr="007970F4">
              <w:rPr>
                <w:rFonts w:eastAsia="Calibri"/>
                <w:bCs/>
                <w:lang w:val="en-US"/>
              </w:rPr>
              <w:t xml:space="preserve"> participation; Consultation with environmental and health authorities; </w:t>
            </w:r>
            <w:r w:rsidR="003579CD" w:rsidRPr="007970F4">
              <w:rPr>
                <w:rFonts w:eastAsia="Calibri"/>
                <w:bCs/>
                <w:lang w:val="en-US"/>
              </w:rPr>
              <w:t>Decision</w:t>
            </w:r>
          </w:p>
        </w:tc>
        <w:tc>
          <w:tcPr>
            <w:tcW w:w="1913" w:type="dxa"/>
            <w:shd w:val="clear" w:color="auto" w:fill="auto"/>
          </w:tcPr>
          <w:p w14:paraId="5FCDD60C" w14:textId="77777777" w:rsidR="003B6012" w:rsidRPr="007970F4" w:rsidRDefault="00DF3890" w:rsidP="007970F4">
            <w:pPr>
              <w:spacing w:before="40" w:after="120"/>
              <w:ind w:right="113"/>
              <w:rPr>
                <w:rFonts w:eastAsia="Calibri"/>
                <w:bCs/>
                <w:lang w:val="en-US"/>
              </w:rPr>
            </w:pPr>
            <w:r w:rsidRPr="007970F4">
              <w:rPr>
                <w:rFonts w:eastAsia="Calibri"/>
                <w:bCs/>
                <w:lang w:val="en-US"/>
              </w:rPr>
              <w:t>“The schedule should be properly planned so that it takes into account the time for unforeseen circumstances. For example, high public interest made it necessary to extend the consultation period. It should be taken into account that the scope of intervention planned in the document may be opposed by the public or relevant authorities and will have to be modified.”</w:t>
            </w:r>
          </w:p>
        </w:tc>
        <w:tc>
          <w:tcPr>
            <w:tcW w:w="2126" w:type="dxa"/>
            <w:shd w:val="clear" w:color="auto" w:fill="auto"/>
          </w:tcPr>
          <w:p w14:paraId="76997B59" w14:textId="77777777" w:rsidR="003B6012" w:rsidRPr="007970F4" w:rsidRDefault="00D93B52" w:rsidP="007970F4">
            <w:pPr>
              <w:spacing w:before="40" w:after="120"/>
              <w:ind w:right="113"/>
              <w:rPr>
                <w:rFonts w:eastAsia="Calibri"/>
                <w:bCs/>
                <w:lang w:val="en-US"/>
              </w:rPr>
            </w:pPr>
            <w:r w:rsidRPr="007970F4">
              <w:rPr>
                <w:rFonts w:eastAsia="Calibri"/>
                <w:bCs/>
                <w:lang w:val="en-US"/>
              </w:rPr>
              <w:t>https://unece.org/sites/default/files/2022-05/Poland_SEA.pdf</w:t>
            </w:r>
          </w:p>
        </w:tc>
      </w:tr>
      <w:tr w:rsidR="003B6012" w:rsidRPr="007970F4" w14:paraId="603506C2" w14:textId="77777777" w:rsidTr="0057020D">
        <w:tc>
          <w:tcPr>
            <w:tcW w:w="1173" w:type="dxa"/>
            <w:shd w:val="clear" w:color="auto" w:fill="auto"/>
          </w:tcPr>
          <w:p w14:paraId="0F48B036" w14:textId="77777777" w:rsidR="003B6012" w:rsidRPr="007970F4" w:rsidRDefault="003B6012" w:rsidP="007970F4">
            <w:pPr>
              <w:spacing w:before="40" w:after="120"/>
              <w:ind w:right="113"/>
              <w:rPr>
                <w:rFonts w:eastAsia="Calibri"/>
                <w:bCs/>
                <w:lang w:val="nb-NO"/>
              </w:rPr>
            </w:pPr>
            <w:r w:rsidRPr="007970F4">
              <w:rPr>
                <w:rFonts w:eastAsia="Calibri"/>
                <w:bCs/>
                <w:lang w:val="nb-NO"/>
              </w:rPr>
              <w:t>Romania</w:t>
            </w:r>
          </w:p>
        </w:tc>
        <w:tc>
          <w:tcPr>
            <w:tcW w:w="1511" w:type="dxa"/>
            <w:shd w:val="clear" w:color="auto" w:fill="auto"/>
          </w:tcPr>
          <w:p w14:paraId="729CB732" w14:textId="77777777" w:rsidR="008D0A26" w:rsidRPr="007970F4" w:rsidRDefault="008D0A26" w:rsidP="007970F4">
            <w:pPr>
              <w:spacing w:before="40" w:after="120"/>
              <w:ind w:right="113"/>
              <w:rPr>
                <w:rFonts w:eastAsia="Calibri"/>
                <w:bCs/>
                <w:lang w:val="nb-NO"/>
              </w:rPr>
            </w:pPr>
            <w:r w:rsidRPr="007970F4">
              <w:rPr>
                <w:rFonts w:eastAsia="Calibri"/>
                <w:bCs/>
                <w:lang w:val="nb-NO"/>
              </w:rPr>
              <w:t>Plan for the Development of the National Gas</w:t>
            </w:r>
          </w:p>
          <w:p w14:paraId="012CE01F" w14:textId="77777777" w:rsidR="003B6012" w:rsidRPr="007970F4" w:rsidRDefault="008D0A26" w:rsidP="007970F4">
            <w:pPr>
              <w:spacing w:before="40" w:after="120"/>
              <w:ind w:right="113"/>
              <w:rPr>
                <w:rFonts w:eastAsia="Calibri"/>
                <w:bCs/>
                <w:lang w:val="nb-NO"/>
              </w:rPr>
            </w:pPr>
            <w:r w:rsidRPr="007970F4">
              <w:rPr>
                <w:rFonts w:eastAsia="Calibri"/>
                <w:bCs/>
                <w:lang w:val="nb-NO"/>
              </w:rPr>
              <w:t>Transmission System 2021-2030</w:t>
            </w:r>
          </w:p>
        </w:tc>
        <w:tc>
          <w:tcPr>
            <w:tcW w:w="1343" w:type="dxa"/>
            <w:shd w:val="clear" w:color="auto" w:fill="auto"/>
          </w:tcPr>
          <w:p w14:paraId="319EA88E" w14:textId="77777777" w:rsidR="003B6012" w:rsidRPr="007970F4" w:rsidRDefault="008D0A26" w:rsidP="007970F4">
            <w:pPr>
              <w:spacing w:before="40" w:after="120"/>
              <w:ind w:right="113"/>
              <w:rPr>
                <w:rFonts w:eastAsia="Calibri"/>
                <w:bCs/>
                <w:lang w:val="en-US"/>
              </w:rPr>
            </w:pPr>
            <w:r w:rsidRPr="007970F4">
              <w:rPr>
                <w:rFonts w:eastAsia="Calibri"/>
                <w:bCs/>
                <w:lang w:val="en-US"/>
              </w:rPr>
              <w:t>Transboundary</w:t>
            </w:r>
          </w:p>
        </w:tc>
        <w:tc>
          <w:tcPr>
            <w:tcW w:w="1006" w:type="dxa"/>
            <w:shd w:val="clear" w:color="auto" w:fill="auto"/>
          </w:tcPr>
          <w:p w14:paraId="2EB51845" w14:textId="77777777" w:rsidR="003B6012" w:rsidRPr="007970F4" w:rsidRDefault="00E434E0" w:rsidP="007970F4">
            <w:pPr>
              <w:spacing w:before="40" w:after="120"/>
              <w:ind w:right="113"/>
              <w:rPr>
                <w:rFonts w:eastAsia="Calibri"/>
                <w:bCs/>
                <w:lang w:val="en-US"/>
              </w:rPr>
            </w:pPr>
            <w:r w:rsidRPr="007970F4">
              <w:rPr>
                <w:rFonts w:eastAsia="Calibri"/>
                <w:bCs/>
                <w:lang w:val="en-US"/>
              </w:rPr>
              <w:t>Entire procedure</w:t>
            </w:r>
          </w:p>
        </w:tc>
        <w:tc>
          <w:tcPr>
            <w:tcW w:w="1913" w:type="dxa"/>
            <w:shd w:val="clear" w:color="auto" w:fill="auto"/>
          </w:tcPr>
          <w:p w14:paraId="7470D562" w14:textId="77777777" w:rsidR="003B6012" w:rsidRPr="007970F4" w:rsidRDefault="008D0A26" w:rsidP="007970F4">
            <w:pPr>
              <w:spacing w:before="40" w:after="120"/>
              <w:ind w:right="113"/>
              <w:rPr>
                <w:rFonts w:eastAsia="Calibri"/>
                <w:bCs/>
                <w:lang w:val="en-US"/>
              </w:rPr>
            </w:pPr>
            <w:r w:rsidRPr="007970F4">
              <w:rPr>
                <w:rFonts w:eastAsia="Calibri"/>
                <w:bCs/>
                <w:lang w:val="en-US"/>
              </w:rPr>
              <w:t>“The transboundary SEA procedure/transboundary consultations have led to an improvement</w:t>
            </w:r>
            <w:r w:rsidR="00DF3890" w:rsidRPr="007970F4">
              <w:rPr>
                <w:rFonts w:eastAsia="Calibri"/>
                <w:bCs/>
                <w:lang w:val="en-US"/>
              </w:rPr>
              <w:t xml:space="preserve"> </w:t>
            </w:r>
            <w:r w:rsidRPr="007970F4">
              <w:rPr>
                <w:rFonts w:eastAsia="Calibri"/>
                <w:bCs/>
                <w:lang w:val="en-US"/>
              </w:rPr>
              <w:t>in the quality of the documents (environmental report and Plan) and implicitly to</w:t>
            </w:r>
            <w:r w:rsidR="00DF3890" w:rsidRPr="007970F4">
              <w:rPr>
                <w:rFonts w:eastAsia="Calibri"/>
                <w:bCs/>
                <w:lang w:val="en-US"/>
              </w:rPr>
              <w:t xml:space="preserve"> </w:t>
            </w:r>
            <w:r w:rsidRPr="007970F4">
              <w:rPr>
                <w:rFonts w:eastAsia="Calibri"/>
                <w:bCs/>
                <w:lang w:val="en-US"/>
              </w:rPr>
              <w:t xml:space="preserve">environmental protection through the conditions imposed by the </w:t>
            </w:r>
            <w:r w:rsidR="000270CC" w:rsidRPr="007970F4">
              <w:rPr>
                <w:rFonts w:eastAsia="Calibri"/>
                <w:bCs/>
                <w:lang w:val="en-US"/>
              </w:rPr>
              <w:t>a</w:t>
            </w:r>
            <w:r w:rsidRPr="007970F4">
              <w:rPr>
                <w:rFonts w:eastAsia="Calibri"/>
                <w:bCs/>
                <w:lang w:val="en-US"/>
              </w:rPr>
              <w:t>ffected Parties as well as</w:t>
            </w:r>
            <w:r w:rsidR="00DF3890" w:rsidRPr="007970F4">
              <w:rPr>
                <w:rFonts w:eastAsia="Calibri"/>
                <w:bCs/>
                <w:lang w:val="en-US"/>
              </w:rPr>
              <w:t xml:space="preserve"> </w:t>
            </w:r>
            <w:r w:rsidRPr="007970F4">
              <w:rPr>
                <w:rFonts w:eastAsia="Calibri"/>
                <w:bCs/>
                <w:lang w:val="en-US"/>
              </w:rPr>
              <w:t>measures taken to reduce environmental impacts.”</w:t>
            </w:r>
            <w:r w:rsidR="00E434E0" w:rsidRPr="007970F4">
              <w:rPr>
                <w:rFonts w:eastAsia="Calibri"/>
                <w:bCs/>
                <w:lang w:val="en-US"/>
              </w:rPr>
              <w:t xml:space="preserve"> </w:t>
            </w:r>
          </w:p>
          <w:p w14:paraId="27B70FA5" w14:textId="77777777" w:rsidR="00E434E0" w:rsidRPr="007970F4" w:rsidRDefault="00E434E0" w:rsidP="007970F4">
            <w:pPr>
              <w:spacing w:before="40" w:after="120"/>
              <w:ind w:right="113"/>
              <w:rPr>
                <w:rFonts w:eastAsia="Calibri"/>
                <w:bCs/>
                <w:lang w:val="en-US"/>
              </w:rPr>
            </w:pPr>
            <w:r w:rsidRPr="007970F4">
              <w:rPr>
                <w:rFonts w:eastAsia="Calibri"/>
                <w:bCs/>
                <w:i/>
                <w:lang w:val="en-US"/>
              </w:rPr>
              <w:lastRenderedPageBreak/>
              <w:t xml:space="preserve">Good practice example: </w:t>
            </w:r>
          </w:p>
          <w:p w14:paraId="34DFF28D" w14:textId="77777777" w:rsidR="00E434E0" w:rsidRPr="007970F4" w:rsidRDefault="00E434E0" w:rsidP="007970F4">
            <w:pPr>
              <w:spacing w:before="40" w:after="120"/>
              <w:ind w:right="113"/>
              <w:rPr>
                <w:rFonts w:eastAsia="Calibri"/>
                <w:bCs/>
                <w:lang w:val="en-US"/>
              </w:rPr>
            </w:pPr>
            <w:r w:rsidRPr="007970F4">
              <w:rPr>
                <w:rFonts w:eastAsia="Calibri"/>
                <w:bCs/>
                <w:lang w:val="en-US"/>
              </w:rPr>
              <w:t xml:space="preserve"> “[T]he Development Plan for the National Gas Transmission System for 2021-2030, for which an environmental approval was issued in 2021, includes a </w:t>
            </w:r>
            <w:r w:rsidR="000270CC" w:rsidRPr="007970F4">
              <w:rPr>
                <w:rFonts w:eastAsia="Calibri"/>
                <w:bCs/>
                <w:lang w:val="en-US"/>
              </w:rPr>
              <w:t>m</w:t>
            </w:r>
            <w:r w:rsidRPr="007970F4">
              <w:rPr>
                <w:rFonts w:eastAsia="Calibri"/>
                <w:bCs/>
                <w:lang w:val="en-US"/>
              </w:rPr>
              <w:t>onitoring</w:t>
            </w:r>
          </w:p>
          <w:p w14:paraId="0E68DB40" w14:textId="77777777" w:rsidR="00E434E0" w:rsidRPr="007970F4" w:rsidRDefault="00E434E0" w:rsidP="007970F4">
            <w:pPr>
              <w:spacing w:before="40" w:after="120"/>
              <w:ind w:right="113"/>
              <w:rPr>
                <w:rFonts w:eastAsia="Calibri"/>
                <w:bCs/>
                <w:lang w:val="en-US"/>
              </w:rPr>
            </w:pPr>
            <w:r w:rsidRPr="007970F4">
              <w:rPr>
                <w:rFonts w:eastAsia="Calibri"/>
                <w:bCs/>
                <w:lang w:val="en-US"/>
              </w:rPr>
              <w:t xml:space="preserve">programme of the significant effects of the Plan’s </w:t>
            </w:r>
            <w:r w:rsidR="000270CC" w:rsidRPr="007970F4">
              <w:rPr>
                <w:rFonts w:eastAsia="Calibri"/>
                <w:bCs/>
                <w:lang w:val="en-US"/>
              </w:rPr>
              <w:t>i</w:t>
            </w:r>
            <w:r w:rsidRPr="007970F4">
              <w:rPr>
                <w:rFonts w:eastAsia="Calibri"/>
                <w:bCs/>
                <w:lang w:val="en-US"/>
              </w:rPr>
              <w:t>mplementation. The monitoring aspects were decided during the transboundary SEA procedure.”</w:t>
            </w:r>
          </w:p>
        </w:tc>
        <w:tc>
          <w:tcPr>
            <w:tcW w:w="2126" w:type="dxa"/>
            <w:shd w:val="clear" w:color="auto" w:fill="auto"/>
          </w:tcPr>
          <w:p w14:paraId="67AFD96D" w14:textId="77777777" w:rsidR="003B6012" w:rsidRPr="007970F4" w:rsidRDefault="00D93B52" w:rsidP="007970F4">
            <w:pPr>
              <w:spacing w:before="40" w:after="120"/>
              <w:ind w:right="113"/>
              <w:rPr>
                <w:rFonts w:eastAsia="Calibri"/>
                <w:bCs/>
                <w:lang w:val="en-US"/>
              </w:rPr>
            </w:pPr>
            <w:r w:rsidRPr="007970F4">
              <w:rPr>
                <w:rFonts w:eastAsia="Calibri"/>
                <w:bCs/>
                <w:lang w:val="en-US"/>
              </w:rPr>
              <w:lastRenderedPageBreak/>
              <w:t>https://unece.org/sites/default/files/2022-04/Romania_SEA.pdf</w:t>
            </w:r>
          </w:p>
        </w:tc>
      </w:tr>
      <w:tr w:rsidR="009809CF" w:rsidRPr="007970F4" w14:paraId="281CB9C7" w14:textId="77777777" w:rsidTr="0057020D">
        <w:tc>
          <w:tcPr>
            <w:tcW w:w="1173" w:type="dxa"/>
            <w:shd w:val="clear" w:color="auto" w:fill="auto"/>
          </w:tcPr>
          <w:p w14:paraId="6D512A59" w14:textId="77777777" w:rsidR="009809CF" w:rsidRPr="007970F4" w:rsidRDefault="009809CF" w:rsidP="007970F4">
            <w:pPr>
              <w:spacing w:before="40" w:after="120"/>
              <w:ind w:right="113"/>
              <w:rPr>
                <w:rFonts w:eastAsia="Calibri"/>
                <w:bCs/>
                <w:lang w:val="nb-NO"/>
              </w:rPr>
            </w:pPr>
            <w:r w:rsidRPr="007970F4">
              <w:rPr>
                <w:rFonts w:eastAsia="Calibri"/>
                <w:bCs/>
                <w:lang w:val="nb-NO"/>
              </w:rPr>
              <w:t>Romania (Question II.11)</w:t>
            </w:r>
          </w:p>
        </w:tc>
        <w:tc>
          <w:tcPr>
            <w:tcW w:w="1511" w:type="dxa"/>
            <w:shd w:val="clear" w:color="auto" w:fill="auto"/>
          </w:tcPr>
          <w:p w14:paraId="5DD28B6C" w14:textId="77777777" w:rsidR="00560622" w:rsidRPr="007970F4" w:rsidRDefault="00560622" w:rsidP="007970F4">
            <w:pPr>
              <w:spacing w:before="40" w:after="120"/>
              <w:ind w:right="113"/>
              <w:rPr>
                <w:rFonts w:eastAsia="Calibri"/>
                <w:bCs/>
                <w:lang w:val="en-US"/>
              </w:rPr>
            </w:pPr>
            <w:r w:rsidRPr="007970F4">
              <w:rPr>
                <w:rFonts w:eastAsia="Calibri"/>
                <w:bCs/>
                <w:lang w:val="en-US"/>
              </w:rPr>
              <w:t>Interreg IPA cross-border cooperation programme Romania Serbia, Interreg V-A</w:t>
            </w:r>
          </w:p>
          <w:p w14:paraId="713B8812" w14:textId="77777777" w:rsidR="009809CF" w:rsidRPr="007970F4" w:rsidRDefault="00560622" w:rsidP="007970F4">
            <w:pPr>
              <w:spacing w:before="40" w:after="120"/>
              <w:ind w:right="113"/>
              <w:rPr>
                <w:rFonts w:eastAsia="Calibri"/>
                <w:bCs/>
                <w:lang w:val="nb-NO"/>
              </w:rPr>
            </w:pPr>
            <w:r w:rsidRPr="007970F4">
              <w:rPr>
                <w:rFonts w:eastAsia="Calibri"/>
                <w:bCs/>
                <w:lang w:val="en-US"/>
              </w:rPr>
              <w:t>Romania-Hungary Programme, Interreg V-A Romania-Bulgaria Programme</w:t>
            </w:r>
          </w:p>
        </w:tc>
        <w:tc>
          <w:tcPr>
            <w:tcW w:w="1343" w:type="dxa"/>
            <w:shd w:val="clear" w:color="auto" w:fill="auto"/>
          </w:tcPr>
          <w:p w14:paraId="13E01294" w14:textId="77777777" w:rsidR="009809CF" w:rsidRPr="007970F4" w:rsidRDefault="00E417F5" w:rsidP="007970F4">
            <w:pPr>
              <w:spacing w:before="40" w:after="120"/>
              <w:ind w:right="113"/>
              <w:rPr>
                <w:rFonts w:eastAsia="Calibri"/>
                <w:bCs/>
                <w:lang w:val="en-US"/>
              </w:rPr>
            </w:pPr>
            <w:r w:rsidRPr="007970F4">
              <w:rPr>
                <w:rFonts w:eastAsia="Calibri"/>
                <w:bCs/>
                <w:lang w:val="en-US"/>
              </w:rPr>
              <w:t>Transboundary</w:t>
            </w:r>
          </w:p>
        </w:tc>
        <w:tc>
          <w:tcPr>
            <w:tcW w:w="1006" w:type="dxa"/>
            <w:shd w:val="clear" w:color="auto" w:fill="auto"/>
          </w:tcPr>
          <w:p w14:paraId="16356AF2" w14:textId="77777777" w:rsidR="009809CF" w:rsidRPr="007970F4" w:rsidRDefault="008D0A26" w:rsidP="007970F4">
            <w:pPr>
              <w:spacing w:before="40" w:after="120"/>
              <w:ind w:right="113"/>
              <w:rPr>
                <w:rFonts w:eastAsia="Calibri"/>
                <w:bCs/>
                <w:lang w:val="en-US"/>
              </w:rPr>
            </w:pPr>
            <w:r w:rsidRPr="007970F4">
              <w:rPr>
                <w:rFonts w:eastAsia="Calibri"/>
                <w:bCs/>
                <w:lang w:val="en-US"/>
              </w:rPr>
              <w:t>Monitoring</w:t>
            </w:r>
          </w:p>
        </w:tc>
        <w:tc>
          <w:tcPr>
            <w:tcW w:w="1913" w:type="dxa"/>
            <w:shd w:val="clear" w:color="auto" w:fill="auto"/>
          </w:tcPr>
          <w:p w14:paraId="1A547BB7" w14:textId="77777777" w:rsidR="008A4100" w:rsidRPr="007970F4" w:rsidRDefault="008D0A26" w:rsidP="007970F4">
            <w:pPr>
              <w:spacing w:before="40" w:after="120"/>
              <w:ind w:right="113"/>
              <w:rPr>
                <w:rFonts w:eastAsia="Calibri"/>
                <w:bCs/>
                <w:lang w:val="en-US"/>
              </w:rPr>
            </w:pPr>
            <w:r w:rsidRPr="007970F4">
              <w:rPr>
                <w:rFonts w:eastAsia="Calibri"/>
                <w:bCs/>
                <w:lang w:val="en-US"/>
              </w:rPr>
              <w:t xml:space="preserve"> </w:t>
            </w:r>
            <w:r w:rsidR="00E417F5" w:rsidRPr="007970F4">
              <w:rPr>
                <w:rFonts w:eastAsia="Calibri"/>
                <w:bCs/>
                <w:lang w:val="en-US"/>
              </w:rPr>
              <w:t>“[F]</w:t>
            </w:r>
            <w:r w:rsidR="008A4100" w:rsidRPr="007970F4">
              <w:rPr>
                <w:rFonts w:eastAsia="Calibri"/>
                <w:bCs/>
                <w:lang w:val="en-US"/>
              </w:rPr>
              <w:t>or Interreg IPA cross-border cooperation programme Romania Serbia, Interreg V-A</w:t>
            </w:r>
          </w:p>
          <w:p w14:paraId="361ADEFE" w14:textId="77777777" w:rsidR="008A4100" w:rsidRPr="007970F4" w:rsidRDefault="008A4100" w:rsidP="007970F4">
            <w:pPr>
              <w:spacing w:before="40" w:after="120"/>
              <w:ind w:right="113"/>
              <w:rPr>
                <w:rFonts w:eastAsia="Calibri"/>
                <w:bCs/>
                <w:lang w:val="en-US"/>
              </w:rPr>
            </w:pPr>
            <w:r w:rsidRPr="007970F4">
              <w:rPr>
                <w:rFonts w:eastAsia="Calibri"/>
                <w:bCs/>
                <w:lang w:val="en-US"/>
              </w:rPr>
              <w:t>Romania-Hungary Programme, Interreg V-A Romania-Bulgaria Programme have been</w:t>
            </w:r>
          </w:p>
          <w:p w14:paraId="3FE98300" w14:textId="77777777" w:rsidR="009809CF" w:rsidRPr="007970F4" w:rsidRDefault="008A4100" w:rsidP="007970F4">
            <w:pPr>
              <w:spacing w:before="40" w:after="120"/>
              <w:ind w:right="113"/>
              <w:rPr>
                <w:rFonts w:eastAsia="Calibri"/>
                <w:bCs/>
                <w:lang w:val="en-US"/>
              </w:rPr>
            </w:pPr>
            <w:r w:rsidRPr="007970F4">
              <w:rPr>
                <w:rFonts w:eastAsia="Calibri"/>
                <w:bCs/>
                <w:lang w:val="en-US"/>
              </w:rPr>
              <w:t>performed monitoring reports for the period 1st January – 31th December 2020.</w:t>
            </w:r>
            <w:r w:rsidR="00E417F5" w:rsidRPr="007970F4">
              <w:rPr>
                <w:rFonts w:eastAsia="Calibri"/>
                <w:bCs/>
                <w:lang w:val="en-US"/>
              </w:rPr>
              <w:t>”</w:t>
            </w:r>
          </w:p>
        </w:tc>
        <w:tc>
          <w:tcPr>
            <w:tcW w:w="2126" w:type="dxa"/>
            <w:shd w:val="clear" w:color="auto" w:fill="auto"/>
          </w:tcPr>
          <w:p w14:paraId="7C5370D6" w14:textId="77777777" w:rsidR="009809CF" w:rsidRPr="007970F4" w:rsidRDefault="009809CF" w:rsidP="007970F4">
            <w:pPr>
              <w:spacing w:before="40" w:after="120"/>
              <w:ind w:right="113"/>
              <w:rPr>
                <w:rFonts w:eastAsia="Calibri"/>
                <w:bCs/>
                <w:lang w:val="en-US"/>
              </w:rPr>
            </w:pPr>
            <w:r w:rsidRPr="007970F4">
              <w:rPr>
                <w:rFonts w:eastAsia="Calibri"/>
                <w:bCs/>
                <w:lang w:val="en-US"/>
              </w:rPr>
              <w:t>https://unece.org/sites/default/files/2022-04/Romania_SEA.pdf</w:t>
            </w:r>
          </w:p>
        </w:tc>
      </w:tr>
      <w:tr w:rsidR="0057020D" w:rsidRPr="007970F4" w14:paraId="5CF92F39" w14:textId="77777777" w:rsidTr="0057020D">
        <w:tc>
          <w:tcPr>
            <w:tcW w:w="1173" w:type="dxa"/>
            <w:tcBorders>
              <w:bottom w:val="single" w:sz="12" w:space="0" w:color="auto"/>
            </w:tcBorders>
            <w:shd w:val="clear" w:color="auto" w:fill="auto"/>
          </w:tcPr>
          <w:p w14:paraId="710FE0D4" w14:textId="77777777" w:rsidR="003B6012" w:rsidRPr="007970F4" w:rsidRDefault="003B6012" w:rsidP="007970F4">
            <w:pPr>
              <w:spacing w:before="40" w:after="120"/>
              <w:ind w:right="113"/>
              <w:rPr>
                <w:rFonts w:eastAsia="Calibri"/>
                <w:bCs/>
                <w:lang w:val="nb-NO"/>
              </w:rPr>
            </w:pPr>
            <w:r w:rsidRPr="007970F4">
              <w:rPr>
                <w:rFonts w:eastAsia="Calibri"/>
                <w:bCs/>
                <w:lang w:val="nb-NO"/>
              </w:rPr>
              <w:t>Spain</w:t>
            </w:r>
          </w:p>
        </w:tc>
        <w:tc>
          <w:tcPr>
            <w:tcW w:w="1511" w:type="dxa"/>
            <w:tcBorders>
              <w:bottom w:val="single" w:sz="12" w:space="0" w:color="auto"/>
            </w:tcBorders>
            <w:shd w:val="clear" w:color="auto" w:fill="auto"/>
          </w:tcPr>
          <w:p w14:paraId="0931278B" w14:textId="77777777" w:rsidR="00DF3890" w:rsidRPr="007970F4" w:rsidRDefault="00DF3890" w:rsidP="007970F4">
            <w:pPr>
              <w:spacing w:before="40" w:after="120"/>
              <w:ind w:right="113"/>
              <w:rPr>
                <w:rFonts w:eastAsia="Calibri"/>
                <w:bCs/>
                <w:lang w:val="nb-NO"/>
              </w:rPr>
            </w:pPr>
            <w:r w:rsidRPr="007970F4">
              <w:rPr>
                <w:rFonts w:eastAsia="Calibri"/>
                <w:bCs/>
                <w:lang w:val="nb-NO"/>
              </w:rPr>
              <w:t>Hydrological plans (3rd cycle) and flood risk management</w:t>
            </w:r>
          </w:p>
          <w:p w14:paraId="3DC6C328" w14:textId="77777777" w:rsidR="00DF3890" w:rsidRPr="007970F4" w:rsidRDefault="00DF3890" w:rsidP="007970F4">
            <w:pPr>
              <w:spacing w:before="40" w:after="120"/>
              <w:ind w:right="113"/>
              <w:rPr>
                <w:rFonts w:eastAsia="Calibri"/>
                <w:bCs/>
                <w:lang w:val="nb-NO"/>
              </w:rPr>
            </w:pPr>
            <w:r w:rsidRPr="007970F4">
              <w:rPr>
                <w:rFonts w:eastAsia="Calibri"/>
                <w:bCs/>
                <w:lang w:val="nb-NO"/>
              </w:rPr>
              <w:t>plans (2nd cycle) in the hydrographic demarcations of Guadiana, Tajo, Duero and Miño-Sil</w:t>
            </w:r>
          </w:p>
          <w:p w14:paraId="0D39B033" w14:textId="77777777" w:rsidR="003B6012" w:rsidRPr="007970F4" w:rsidRDefault="00DF3890" w:rsidP="007970F4">
            <w:pPr>
              <w:spacing w:before="40" w:after="120"/>
              <w:ind w:right="113"/>
              <w:rPr>
                <w:rFonts w:eastAsia="Calibri"/>
                <w:bCs/>
                <w:lang w:val="nb-NO"/>
              </w:rPr>
            </w:pPr>
            <w:r w:rsidRPr="007970F4">
              <w:rPr>
                <w:rFonts w:eastAsia="Calibri"/>
                <w:bCs/>
                <w:lang w:val="nb-NO"/>
              </w:rPr>
              <w:t>rivers.</w:t>
            </w:r>
          </w:p>
        </w:tc>
        <w:tc>
          <w:tcPr>
            <w:tcW w:w="1343" w:type="dxa"/>
            <w:tcBorders>
              <w:bottom w:val="single" w:sz="12" w:space="0" w:color="auto"/>
            </w:tcBorders>
            <w:shd w:val="clear" w:color="auto" w:fill="auto"/>
          </w:tcPr>
          <w:p w14:paraId="79293FC2" w14:textId="77777777" w:rsidR="003B6012" w:rsidRPr="007970F4" w:rsidRDefault="00DF3890" w:rsidP="007970F4">
            <w:pPr>
              <w:spacing w:before="40" w:after="120"/>
              <w:ind w:right="113"/>
              <w:rPr>
                <w:rFonts w:eastAsia="Calibri"/>
                <w:bCs/>
                <w:lang w:val="en-US"/>
              </w:rPr>
            </w:pPr>
            <w:r w:rsidRPr="007970F4">
              <w:rPr>
                <w:rFonts w:eastAsia="Calibri"/>
                <w:bCs/>
                <w:lang w:val="en-US"/>
              </w:rPr>
              <w:t>Transboundary</w:t>
            </w:r>
          </w:p>
        </w:tc>
        <w:tc>
          <w:tcPr>
            <w:tcW w:w="1006" w:type="dxa"/>
            <w:tcBorders>
              <w:bottom w:val="single" w:sz="12" w:space="0" w:color="auto"/>
            </w:tcBorders>
            <w:shd w:val="clear" w:color="auto" w:fill="auto"/>
          </w:tcPr>
          <w:p w14:paraId="3E7FEE43" w14:textId="77777777" w:rsidR="003B6012" w:rsidRPr="007970F4" w:rsidRDefault="00DF3890" w:rsidP="007970F4">
            <w:pPr>
              <w:spacing w:before="40" w:after="120"/>
              <w:ind w:right="113"/>
              <w:rPr>
                <w:rFonts w:eastAsia="Calibri"/>
                <w:bCs/>
                <w:lang w:val="en-US"/>
              </w:rPr>
            </w:pPr>
            <w:r w:rsidRPr="007970F4">
              <w:rPr>
                <w:rFonts w:eastAsia="Calibri"/>
                <w:bCs/>
                <w:lang w:val="en-US"/>
              </w:rPr>
              <w:t>Scoping; Public participation; Consultation with environmental and health authorities; Transboundary consultations</w:t>
            </w:r>
          </w:p>
        </w:tc>
        <w:tc>
          <w:tcPr>
            <w:tcW w:w="1913" w:type="dxa"/>
            <w:tcBorders>
              <w:bottom w:val="single" w:sz="12" w:space="0" w:color="auto"/>
            </w:tcBorders>
            <w:shd w:val="clear" w:color="auto" w:fill="auto"/>
          </w:tcPr>
          <w:p w14:paraId="4CE452B0" w14:textId="77777777" w:rsidR="00DF3890" w:rsidRPr="007970F4" w:rsidRDefault="00DF3890" w:rsidP="007970F4">
            <w:pPr>
              <w:spacing w:before="40" w:after="120"/>
              <w:ind w:right="113"/>
              <w:rPr>
                <w:rFonts w:eastAsia="Calibri"/>
                <w:bCs/>
                <w:lang w:val="en-US"/>
              </w:rPr>
            </w:pPr>
            <w:r w:rsidRPr="007970F4">
              <w:rPr>
                <w:rFonts w:eastAsia="Calibri"/>
                <w:bCs/>
                <w:lang w:val="en-US"/>
              </w:rPr>
              <w:t>“It is important to have regular meetings at technical level with other parties. This will</w:t>
            </w:r>
          </w:p>
          <w:p w14:paraId="6E44F550" w14:textId="77777777" w:rsidR="00DF3890" w:rsidRPr="007970F4" w:rsidRDefault="00DF3890" w:rsidP="007970F4">
            <w:pPr>
              <w:spacing w:before="40" w:after="120"/>
              <w:ind w:right="113"/>
              <w:rPr>
                <w:rFonts w:eastAsia="Calibri"/>
                <w:bCs/>
                <w:lang w:val="en-US"/>
              </w:rPr>
            </w:pPr>
            <w:r w:rsidRPr="007970F4">
              <w:rPr>
                <w:rFonts w:eastAsia="Calibri"/>
                <w:bCs/>
                <w:lang w:val="en-US"/>
              </w:rPr>
              <w:t>improve governance, and will facilitate the identification of new opportunities, as well as the</w:t>
            </w:r>
          </w:p>
          <w:p w14:paraId="6683F3EC" w14:textId="77777777" w:rsidR="003B6012" w:rsidRPr="007970F4" w:rsidRDefault="00DF3890" w:rsidP="007970F4">
            <w:pPr>
              <w:spacing w:before="40" w:after="120"/>
              <w:ind w:right="113"/>
              <w:rPr>
                <w:rFonts w:eastAsia="Calibri"/>
                <w:bCs/>
                <w:lang w:val="en-US"/>
              </w:rPr>
            </w:pPr>
            <w:r w:rsidRPr="007970F4">
              <w:rPr>
                <w:rFonts w:eastAsia="Calibri"/>
                <w:bCs/>
                <w:lang w:val="en-US"/>
              </w:rPr>
              <w:t>transboundary cooperation.”</w:t>
            </w:r>
          </w:p>
        </w:tc>
        <w:tc>
          <w:tcPr>
            <w:tcW w:w="2126" w:type="dxa"/>
            <w:tcBorders>
              <w:bottom w:val="single" w:sz="12" w:space="0" w:color="auto"/>
            </w:tcBorders>
            <w:shd w:val="clear" w:color="auto" w:fill="auto"/>
          </w:tcPr>
          <w:p w14:paraId="6F319A4B" w14:textId="77777777" w:rsidR="003B6012" w:rsidRPr="007970F4" w:rsidRDefault="00D93B52" w:rsidP="007970F4">
            <w:pPr>
              <w:spacing w:before="40" w:after="120"/>
              <w:ind w:right="113"/>
              <w:rPr>
                <w:rFonts w:eastAsia="Calibri"/>
                <w:bCs/>
                <w:lang w:val="en-US"/>
              </w:rPr>
            </w:pPr>
            <w:r w:rsidRPr="007970F4">
              <w:rPr>
                <w:rFonts w:eastAsia="Calibri"/>
                <w:bCs/>
                <w:lang w:val="en-US"/>
              </w:rPr>
              <w:t>https://unece.org/sites/default/files/2022-05/Spain_SEA.pdf</w:t>
            </w:r>
          </w:p>
        </w:tc>
      </w:tr>
    </w:tbl>
    <w:p w14:paraId="287C777F" w14:textId="0694051C" w:rsidR="0060630D" w:rsidRPr="00413739" w:rsidRDefault="00413739" w:rsidP="00413739">
      <w:pPr>
        <w:spacing w:before="240"/>
        <w:jc w:val="center"/>
        <w:rPr>
          <w:u w:val="single"/>
        </w:rPr>
      </w:pPr>
      <w:r>
        <w:rPr>
          <w:u w:val="single"/>
        </w:rPr>
        <w:lastRenderedPageBreak/>
        <w:tab/>
      </w:r>
      <w:r>
        <w:rPr>
          <w:u w:val="single"/>
        </w:rPr>
        <w:tab/>
      </w:r>
      <w:r>
        <w:rPr>
          <w:u w:val="single"/>
        </w:rPr>
        <w:tab/>
      </w:r>
    </w:p>
    <w:sectPr w:rsidR="0060630D" w:rsidRPr="00413739" w:rsidSect="0049707E">
      <w:headerReference w:type="even" r:id="rId11"/>
      <w:headerReference w:type="default" r:id="rId12"/>
      <w:footerReference w:type="even" r:id="rId13"/>
      <w:footerReference w:type="default" r:id="rId14"/>
      <w:footnotePr>
        <w:numFmt w:val="lowerLette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46267" w14:textId="77777777" w:rsidR="00F36609" w:rsidRDefault="00F36609"/>
  </w:endnote>
  <w:endnote w:type="continuationSeparator" w:id="0">
    <w:p w14:paraId="146A5406" w14:textId="77777777" w:rsidR="00F36609" w:rsidRDefault="00F36609"/>
  </w:endnote>
  <w:endnote w:type="continuationNotice" w:id="1">
    <w:p w14:paraId="27F34034" w14:textId="77777777" w:rsidR="00F36609" w:rsidRDefault="00F366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A1CD" w14:textId="77777777" w:rsidR="00BC6FFC" w:rsidRPr="002C698C" w:rsidRDefault="00BC6FFC" w:rsidP="002C698C">
    <w:pPr>
      <w:pStyle w:val="Footer"/>
      <w:tabs>
        <w:tab w:val="right" w:pos="9638"/>
      </w:tabs>
      <w:rPr>
        <w:sz w:val="18"/>
      </w:rPr>
    </w:pPr>
    <w:r w:rsidRPr="002C698C">
      <w:rPr>
        <w:b/>
        <w:sz w:val="18"/>
      </w:rPr>
      <w:fldChar w:fldCharType="begin"/>
    </w:r>
    <w:r w:rsidRPr="002C698C">
      <w:rPr>
        <w:b/>
        <w:sz w:val="18"/>
      </w:rPr>
      <w:instrText xml:space="preserve"> PAGE  \* MERGEFORMAT </w:instrText>
    </w:r>
    <w:r w:rsidRPr="002C698C">
      <w:rPr>
        <w:b/>
        <w:sz w:val="18"/>
      </w:rPr>
      <w:fldChar w:fldCharType="separate"/>
    </w:r>
    <w:r w:rsidR="0091644A">
      <w:rPr>
        <w:b/>
        <w:noProof/>
        <w:sz w:val="18"/>
      </w:rPr>
      <w:t>2</w:t>
    </w:r>
    <w:r w:rsidRPr="002C698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2D0A" w14:textId="77777777" w:rsidR="00BC6FFC" w:rsidRPr="002C698C" w:rsidRDefault="00BC6FFC" w:rsidP="002C698C">
    <w:pPr>
      <w:pStyle w:val="Footer"/>
      <w:tabs>
        <w:tab w:val="right" w:pos="9638"/>
      </w:tabs>
      <w:rPr>
        <w:b/>
        <w:sz w:val="18"/>
      </w:rPr>
    </w:pPr>
    <w:r>
      <w:tab/>
    </w:r>
    <w:r w:rsidRPr="002C698C">
      <w:rPr>
        <w:b/>
        <w:sz w:val="18"/>
      </w:rPr>
      <w:fldChar w:fldCharType="begin"/>
    </w:r>
    <w:r w:rsidRPr="002C698C">
      <w:rPr>
        <w:b/>
        <w:sz w:val="18"/>
      </w:rPr>
      <w:instrText xml:space="preserve"> PAGE  \* MERGEFORMAT </w:instrText>
    </w:r>
    <w:r w:rsidRPr="002C698C">
      <w:rPr>
        <w:b/>
        <w:sz w:val="18"/>
      </w:rPr>
      <w:fldChar w:fldCharType="separate"/>
    </w:r>
    <w:r w:rsidR="0091644A">
      <w:rPr>
        <w:b/>
        <w:noProof/>
        <w:sz w:val="18"/>
      </w:rPr>
      <w:t>3</w:t>
    </w:r>
    <w:r w:rsidRPr="002C698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1103D" w14:textId="77777777" w:rsidR="00F36609" w:rsidRPr="000B175B" w:rsidRDefault="00F36609" w:rsidP="000B175B">
      <w:pPr>
        <w:tabs>
          <w:tab w:val="right" w:pos="2155"/>
        </w:tabs>
        <w:spacing w:after="80"/>
        <w:ind w:left="680"/>
        <w:rPr>
          <w:u w:val="single"/>
        </w:rPr>
      </w:pPr>
      <w:r>
        <w:rPr>
          <w:u w:val="single"/>
        </w:rPr>
        <w:tab/>
      </w:r>
    </w:p>
  </w:footnote>
  <w:footnote w:type="continuationSeparator" w:id="0">
    <w:p w14:paraId="08DC8DC1" w14:textId="77777777" w:rsidR="00F36609" w:rsidRPr="00FC68B7" w:rsidRDefault="00F36609" w:rsidP="00FC68B7">
      <w:pPr>
        <w:tabs>
          <w:tab w:val="left" w:pos="2155"/>
        </w:tabs>
        <w:spacing w:after="80"/>
        <w:ind w:left="680"/>
        <w:rPr>
          <w:u w:val="single"/>
        </w:rPr>
      </w:pPr>
      <w:r>
        <w:rPr>
          <w:u w:val="single"/>
        </w:rPr>
        <w:tab/>
      </w:r>
    </w:p>
  </w:footnote>
  <w:footnote w:type="continuationNotice" w:id="1">
    <w:p w14:paraId="23568812" w14:textId="77777777" w:rsidR="00F36609" w:rsidRDefault="00F366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3BA5" w14:textId="4F3380BB" w:rsidR="00BC6FFC" w:rsidRPr="004260D7" w:rsidRDefault="004260D7" w:rsidP="004260D7">
    <w:pPr>
      <w:pStyle w:val="Header"/>
    </w:pPr>
    <w:r w:rsidRPr="004260D7">
      <w:t>ECE/MP.EIA/WG.2/20</w:t>
    </w:r>
    <w:r w:rsidR="001D7867">
      <w:t>22</w:t>
    </w:r>
    <w:r w:rsidRPr="004260D7">
      <w:t>/INF.</w:t>
    </w:r>
    <w:r w:rsidR="009C08FD">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7F21B" w14:textId="04BBA1BA" w:rsidR="00BC6FFC" w:rsidRPr="004260D7" w:rsidRDefault="004260D7" w:rsidP="004260D7">
    <w:pPr>
      <w:pStyle w:val="Header"/>
      <w:jc w:val="right"/>
    </w:pPr>
    <w:r w:rsidRPr="004260D7">
      <w:t>ECE/MP.EIA/WG.2/20</w:t>
    </w:r>
    <w:r w:rsidR="005260B6">
      <w:t>22</w:t>
    </w:r>
    <w:r w:rsidRPr="004260D7">
      <w:t>/INF</w:t>
    </w:r>
    <w:r w:rsidR="009C08FD">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B5C74E1"/>
    <w:multiLevelType w:val="hybridMultilevel"/>
    <w:tmpl w:val="E3969624"/>
    <w:lvl w:ilvl="0" w:tplc="0304EEE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0566798"/>
    <w:multiLevelType w:val="hybridMultilevel"/>
    <w:tmpl w:val="A502E344"/>
    <w:lvl w:ilvl="0" w:tplc="8A18373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F594AFD"/>
    <w:multiLevelType w:val="hybridMultilevel"/>
    <w:tmpl w:val="EBE8E1C0"/>
    <w:lvl w:ilvl="0" w:tplc="FFFFFFFF">
      <w:start w:val="1"/>
      <w:numFmt w:val="lowerRoman"/>
      <w:pStyle w:val="Question"/>
      <w:lvlText w:val="%1."/>
      <w:lvlJc w:val="left"/>
      <w:pPr>
        <w:tabs>
          <w:tab w:val="num" w:pos="108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6E6123B"/>
    <w:multiLevelType w:val="hybridMultilevel"/>
    <w:tmpl w:val="8298675C"/>
    <w:lvl w:ilvl="0" w:tplc="5EE02E52">
      <w:start w:val="1"/>
      <w:numFmt w:val="upp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15:restartNumberingAfterBreak="0">
    <w:nsid w:val="279C4121"/>
    <w:multiLevelType w:val="hybridMultilevel"/>
    <w:tmpl w:val="B27CAF82"/>
    <w:lvl w:ilvl="0" w:tplc="946A1F2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330F79BD"/>
    <w:multiLevelType w:val="hybridMultilevel"/>
    <w:tmpl w:val="C870F5F4"/>
    <w:lvl w:ilvl="0" w:tplc="264200E0">
      <w:numFmt w:val="bullet"/>
      <w:lvlText w:val="-"/>
      <w:lvlJc w:val="left"/>
      <w:rPr>
        <w:rFonts w:ascii="Calibri" w:eastAsia="DengXi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251717"/>
    <w:multiLevelType w:val="hybridMultilevel"/>
    <w:tmpl w:val="8E5491E8"/>
    <w:lvl w:ilvl="0" w:tplc="732E1D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E126A2D"/>
    <w:multiLevelType w:val="hybridMultilevel"/>
    <w:tmpl w:val="28E67FD2"/>
    <w:lvl w:ilvl="0" w:tplc="489E42C6">
      <w:start w:val="2018"/>
      <w:numFmt w:val="bullet"/>
      <w:lvlText w:val="-"/>
      <w:lvlJc w:val="left"/>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EC8423C"/>
    <w:multiLevelType w:val="hybridMultilevel"/>
    <w:tmpl w:val="9692FA0C"/>
    <w:lvl w:ilvl="0" w:tplc="E5B285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843605"/>
    <w:multiLevelType w:val="hybridMultilevel"/>
    <w:tmpl w:val="10CE1E58"/>
    <w:lvl w:ilvl="0" w:tplc="0024ACD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57132ABA"/>
    <w:multiLevelType w:val="hybridMultilevel"/>
    <w:tmpl w:val="BF5472F2"/>
    <w:lvl w:ilvl="0" w:tplc="C5F28458">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5B2740AD"/>
    <w:multiLevelType w:val="hybridMultilevel"/>
    <w:tmpl w:val="6F78AFE0"/>
    <w:lvl w:ilvl="0" w:tplc="2F5EB3B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11E7EBB"/>
    <w:multiLevelType w:val="hybridMultilevel"/>
    <w:tmpl w:val="001EC56C"/>
    <w:lvl w:ilvl="0" w:tplc="97981056">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7" w15:restartNumberingAfterBreak="0">
    <w:nsid w:val="62DB454F"/>
    <w:multiLevelType w:val="multilevel"/>
    <w:tmpl w:val="31026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636294"/>
    <w:multiLevelType w:val="hybridMultilevel"/>
    <w:tmpl w:val="86A87A96"/>
    <w:lvl w:ilvl="0" w:tplc="C4966B1C">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E330CD"/>
    <w:multiLevelType w:val="hybridMultilevel"/>
    <w:tmpl w:val="BDEE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2B7870"/>
    <w:multiLevelType w:val="hybridMultilevel"/>
    <w:tmpl w:val="276E15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3"/>
  </w:num>
  <w:num w:numId="13">
    <w:abstractNumId w:val="10"/>
  </w:num>
  <w:num w:numId="14">
    <w:abstractNumId w:val="28"/>
  </w:num>
  <w:num w:numId="15">
    <w:abstractNumId w:val="30"/>
  </w:num>
  <w:num w:numId="16">
    <w:abstractNumId w:val="16"/>
  </w:num>
  <w:num w:numId="17">
    <w:abstractNumId w:val="15"/>
  </w:num>
  <w:num w:numId="18">
    <w:abstractNumId w:val="26"/>
  </w:num>
  <w:num w:numId="19">
    <w:abstractNumId w:val="27"/>
  </w:num>
  <w:num w:numId="20">
    <w:abstractNumId w:val="24"/>
  </w:num>
  <w:num w:numId="21">
    <w:abstractNumId w:val="31"/>
  </w:num>
  <w:num w:numId="22">
    <w:abstractNumId w:val="18"/>
  </w:num>
  <w:num w:numId="23">
    <w:abstractNumId w:val="17"/>
  </w:num>
  <w:num w:numId="24">
    <w:abstractNumId w:val="29"/>
  </w:num>
  <w:num w:numId="25">
    <w:abstractNumId w:val="12"/>
  </w:num>
  <w:num w:numId="26">
    <w:abstractNumId w:val="11"/>
  </w:num>
  <w:num w:numId="27">
    <w:abstractNumId w:val="23"/>
  </w:num>
  <w:num w:numId="28">
    <w:abstractNumId w:val="22"/>
  </w:num>
  <w:num w:numId="29">
    <w:abstractNumId w:val="21"/>
  </w:num>
  <w:num w:numId="30">
    <w:abstractNumId w:val="32"/>
  </w:num>
  <w:num w:numId="31">
    <w:abstractNumId w:val="14"/>
  </w:num>
  <w:num w:numId="32">
    <w:abstractNumId w:val="20"/>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GB" w:vendorID="64" w:dllVersion="0" w:nlCheck="1" w:checkStyle="0"/>
  <w:activeWritingStyle w:appName="MSWord" w:lang="en-GB" w:vendorID="64" w:dllVersion="4096" w:nlCheck="1" w:checkStyle="0"/>
  <w:activeWritingStyle w:appName="MSWord" w:lang="de-CH"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numFmt w:val="lowerLette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98C"/>
    <w:rsid w:val="00000B07"/>
    <w:rsid w:val="00001176"/>
    <w:rsid w:val="000216CD"/>
    <w:rsid w:val="00025C2D"/>
    <w:rsid w:val="000269D7"/>
    <w:rsid w:val="000270CC"/>
    <w:rsid w:val="000306F1"/>
    <w:rsid w:val="000410A4"/>
    <w:rsid w:val="00044BE3"/>
    <w:rsid w:val="00046B1F"/>
    <w:rsid w:val="0004737E"/>
    <w:rsid w:val="000503E4"/>
    <w:rsid w:val="00050F6B"/>
    <w:rsid w:val="00056CAD"/>
    <w:rsid w:val="00057E97"/>
    <w:rsid w:val="00064A66"/>
    <w:rsid w:val="00065154"/>
    <w:rsid w:val="000713F7"/>
    <w:rsid w:val="00072C8C"/>
    <w:rsid w:val="000733B5"/>
    <w:rsid w:val="00073D17"/>
    <w:rsid w:val="00074D98"/>
    <w:rsid w:val="0008062D"/>
    <w:rsid w:val="00080CAC"/>
    <w:rsid w:val="00081815"/>
    <w:rsid w:val="00084041"/>
    <w:rsid w:val="000931C0"/>
    <w:rsid w:val="000967F3"/>
    <w:rsid w:val="000A2069"/>
    <w:rsid w:val="000A2E6C"/>
    <w:rsid w:val="000B0595"/>
    <w:rsid w:val="000B175B"/>
    <w:rsid w:val="000B3A0F"/>
    <w:rsid w:val="000B4EF7"/>
    <w:rsid w:val="000B75AA"/>
    <w:rsid w:val="000B7F57"/>
    <w:rsid w:val="000C2C03"/>
    <w:rsid w:val="000C2D2E"/>
    <w:rsid w:val="000C31DA"/>
    <w:rsid w:val="000C6F78"/>
    <w:rsid w:val="000E0415"/>
    <w:rsid w:val="00100A01"/>
    <w:rsid w:val="001053C1"/>
    <w:rsid w:val="00106A6D"/>
    <w:rsid w:val="001103AA"/>
    <w:rsid w:val="00115904"/>
    <w:rsid w:val="0011666B"/>
    <w:rsid w:val="001375B4"/>
    <w:rsid w:val="00153C6C"/>
    <w:rsid w:val="0015776E"/>
    <w:rsid w:val="00164973"/>
    <w:rsid w:val="001649D3"/>
    <w:rsid w:val="00165F3A"/>
    <w:rsid w:val="001703C2"/>
    <w:rsid w:val="00170FBF"/>
    <w:rsid w:val="001769E4"/>
    <w:rsid w:val="001774E9"/>
    <w:rsid w:val="0018139E"/>
    <w:rsid w:val="00187F01"/>
    <w:rsid w:val="0019790D"/>
    <w:rsid w:val="001A1EDD"/>
    <w:rsid w:val="001A3336"/>
    <w:rsid w:val="001A40BA"/>
    <w:rsid w:val="001A4545"/>
    <w:rsid w:val="001A4616"/>
    <w:rsid w:val="001A6078"/>
    <w:rsid w:val="001A790B"/>
    <w:rsid w:val="001B4B04"/>
    <w:rsid w:val="001B5AFE"/>
    <w:rsid w:val="001C46ED"/>
    <w:rsid w:val="001C548B"/>
    <w:rsid w:val="001C6663"/>
    <w:rsid w:val="001C730D"/>
    <w:rsid w:val="001C7895"/>
    <w:rsid w:val="001D0C8C"/>
    <w:rsid w:val="001D1419"/>
    <w:rsid w:val="001D26DF"/>
    <w:rsid w:val="001D3A03"/>
    <w:rsid w:val="001D44B3"/>
    <w:rsid w:val="001D7867"/>
    <w:rsid w:val="001E3E58"/>
    <w:rsid w:val="001E7B67"/>
    <w:rsid w:val="001F08FA"/>
    <w:rsid w:val="001F3C70"/>
    <w:rsid w:val="00200B4F"/>
    <w:rsid w:val="00202DA8"/>
    <w:rsid w:val="00206BDE"/>
    <w:rsid w:val="00211E0B"/>
    <w:rsid w:val="0021687A"/>
    <w:rsid w:val="0023140B"/>
    <w:rsid w:val="00240A7B"/>
    <w:rsid w:val="0024772E"/>
    <w:rsid w:val="00247CB0"/>
    <w:rsid w:val="002512FF"/>
    <w:rsid w:val="00255FF4"/>
    <w:rsid w:val="002565D9"/>
    <w:rsid w:val="002647A4"/>
    <w:rsid w:val="00267B0B"/>
    <w:rsid w:val="00267F5F"/>
    <w:rsid w:val="0027207C"/>
    <w:rsid w:val="0027421F"/>
    <w:rsid w:val="00280B7D"/>
    <w:rsid w:val="00286B4D"/>
    <w:rsid w:val="002879F6"/>
    <w:rsid w:val="00296349"/>
    <w:rsid w:val="002A08EB"/>
    <w:rsid w:val="002A43C4"/>
    <w:rsid w:val="002C37FF"/>
    <w:rsid w:val="002C50DB"/>
    <w:rsid w:val="002C698C"/>
    <w:rsid w:val="002C7E84"/>
    <w:rsid w:val="002D3E66"/>
    <w:rsid w:val="002D4643"/>
    <w:rsid w:val="002E27D4"/>
    <w:rsid w:val="002E3AD1"/>
    <w:rsid w:val="002E66B3"/>
    <w:rsid w:val="002E6A7E"/>
    <w:rsid w:val="002E6B53"/>
    <w:rsid w:val="002F175C"/>
    <w:rsid w:val="002F2B7D"/>
    <w:rsid w:val="00302E18"/>
    <w:rsid w:val="0030321B"/>
    <w:rsid w:val="00304E1C"/>
    <w:rsid w:val="0031178C"/>
    <w:rsid w:val="003120D4"/>
    <w:rsid w:val="003229D8"/>
    <w:rsid w:val="0032434E"/>
    <w:rsid w:val="00324894"/>
    <w:rsid w:val="003319CF"/>
    <w:rsid w:val="00331FDF"/>
    <w:rsid w:val="00342FBB"/>
    <w:rsid w:val="00343D61"/>
    <w:rsid w:val="00352709"/>
    <w:rsid w:val="003579CD"/>
    <w:rsid w:val="003619B5"/>
    <w:rsid w:val="003653A4"/>
    <w:rsid w:val="00365763"/>
    <w:rsid w:val="0036601A"/>
    <w:rsid w:val="00371178"/>
    <w:rsid w:val="0037194D"/>
    <w:rsid w:val="00371998"/>
    <w:rsid w:val="00392E47"/>
    <w:rsid w:val="003A23BB"/>
    <w:rsid w:val="003A3562"/>
    <w:rsid w:val="003A6810"/>
    <w:rsid w:val="003B1DA2"/>
    <w:rsid w:val="003B58BE"/>
    <w:rsid w:val="003B6012"/>
    <w:rsid w:val="003C2CC4"/>
    <w:rsid w:val="003D4B23"/>
    <w:rsid w:val="003E48E2"/>
    <w:rsid w:val="003E58CF"/>
    <w:rsid w:val="003E6187"/>
    <w:rsid w:val="003E7CB7"/>
    <w:rsid w:val="003F6D6E"/>
    <w:rsid w:val="00401CCF"/>
    <w:rsid w:val="004104BD"/>
    <w:rsid w:val="00410C89"/>
    <w:rsid w:val="00413739"/>
    <w:rsid w:val="004149BC"/>
    <w:rsid w:val="00415193"/>
    <w:rsid w:val="00422E03"/>
    <w:rsid w:val="00425609"/>
    <w:rsid w:val="004260D7"/>
    <w:rsid w:val="00426B9B"/>
    <w:rsid w:val="004325CB"/>
    <w:rsid w:val="004334A2"/>
    <w:rsid w:val="0043351E"/>
    <w:rsid w:val="00436788"/>
    <w:rsid w:val="00442A83"/>
    <w:rsid w:val="00443B32"/>
    <w:rsid w:val="00447484"/>
    <w:rsid w:val="00453DEB"/>
    <w:rsid w:val="0045495B"/>
    <w:rsid w:val="00455606"/>
    <w:rsid w:val="00461533"/>
    <w:rsid w:val="004678ED"/>
    <w:rsid w:val="00467B6C"/>
    <w:rsid w:val="00476C23"/>
    <w:rsid w:val="0048120C"/>
    <w:rsid w:val="0048397A"/>
    <w:rsid w:val="00483EA8"/>
    <w:rsid w:val="00485CBB"/>
    <w:rsid w:val="004866B7"/>
    <w:rsid w:val="004920D6"/>
    <w:rsid w:val="0049707E"/>
    <w:rsid w:val="0049794E"/>
    <w:rsid w:val="004A0421"/>
    <w:rsid w:val="004A2AB6"/>
    <w:rsid w:val="004A5544"/>
    <w:rsid w:val="004A752E"/>
    <w:rsid w:val="004B258D"/>
    <w:rsid w:val="004B5A1F"/>
    <w:rsid w:val="004C2461"/>
    <w:rsid w:val="004C7462"/>
    <w:rsid w:val="004E09FC"/>
    <w:rsid w:val="004E45B5"/>
    <w:rsid w:val="004E4CE8"/>
    <w:rsid w:val="004E5CC6"/>
    <w:rsid w:val="004E77B2"/>
    <w:rsid w:val="004F55B1"/>
    <w:rsid w:val="004F6F15"/>
    <w:rsid w:val="00501D23"/>
    <w:rsid w:val="005037FB"/>
    <w:rsid w:val="00504B2D"/>
    <w:rsid w:val="00505E24"/>
    <w:rsid w:val="005104F4"/>
    <w:rsid w:val="00514E43"/>
    <w:rsid w:val="0052136D"/>
    <w:rsid w:val="005260B6"/>
    <w:rsid w:val="005268A3"/>
    <w:rsid w:val="0052775E"/>
    <w:rsid w:val="00530E7B"/>
    <w:rsid w:val="00531D25"/>
    <w:rsid w:val="005405BF"/>
    <w:rsid w:val="005420F2"/>
    <w:rsid w:val="00550724"/>
    <w:rsid w:val="00560622"/>
    <w:rsid w:val="00561774"/>
    <w:rsid w:val="00562008"/>
    <w:rsid w:val="00562807"/>
    <w:rsid w:val="005628B6"/>
    <w:rsid w:val="0056303E"/>
    <w:rsid w:val="005654C7"/>
    <w:rsid w:val="0057020D"/>
    <w:rsid w:val="0057184C"/>
    <w:rsid w:val="00580D7C"/>
    <w:rsid w:val="0058154F"/>
    <w:rsid w:val="0059273C"/>
    <w:rsid w:val="005934F7"/>
    <w:rsid w:val="005949DF"/>
    <w:rsid w:val="0059724D"/>
    <w:rsid w:val="005A5AF6"/>
    <w:rsid w:val="005B204E"/>
    <w:rsid w:val="005B3DB3"/>
    <w:rsid w:val="005B4E13"/>
    <w:rsid w:val="005B68BD"/>
    <w:rsid w:val="005C342F"/>
    <w:rsid w:val="005D024B"/>
    <w:rsid w:val="005D4D4C"/>
    <w:rsid w:val="005D651B"/>
    <w:rsid w:val="005E10A4"/>
    <w:rsid w:val="005E1183"/>
    <w:rsid w:val="005E3F0C"/>
    <w:rsid w:val="005E46DD"/>
    <w:rsid w:val="005E5696"/>
    <w:rsid w:val="005F7B75"/>
    <w:rsid w:val="006001EE"/>
    <w:rsid w:val="006009CA"/>
    <w:rsid w:val="00605042"/>
    <w:rsid w:val="0060630D"/>
    <w:rsid w:val="00611FC4"/>
    <w:rsid w:val="00612463"/>
    <w:rsid w:val="00616260"/>
    <w:rsid w:val="006176FB"/>
    <w:rsid w:val="00621418"/>
    <w:rsid w:val="006239AC"/>
    <w:rsid w:val="0062415E"/>
    <w:rsid w:val="00631859"/>
    <w:rsid w:val="00632DC4"/>
    <w:rsid w:val="006359DB"/>
    <w:rsid w:val="00640B26"/>
    <w:rsid w:val="006517E4"/>
    <w:rsid w:val="00652D0A"/>
    <w:rsid w:val="0065631B"/>
    <w:rsid w:val="00662BB6"/>
    <w:rsid w:val="0067584F"/>
    <w:rsid w:val="00676606"/>
    <w:rsid w:val="00683A1D"/>
    <w:rsid w:val="00684C21"/>
    <w:rsid w:val="0068510D"/>
    <w:rsid w:val="006A185A"/>
    <w:rsid w:val="006A2530"/>
    <w:rsid w:val="006C1934"/>
    <w:rsid w:val="006C3589"/>
    <w:rsid w:val="006C4B74"/>
    <w:rsid w:val="006C7830"/>
    <w:rsid w:val="006D3515"/>
    <w:rsid w:val="006D37AF"/>
    <w:rsid w:val="006D3E69"/>
    <w:rsid w:val="006D4FBA"/>
    <w:rsid w:val="006D51D0"/>
    <w:rsid w:val="006D5FB9"/>
    <w:rsid w:val="006E26F0"/>
    <w:rsid w:val="006E38D6"/>
    <w:rsid w:val="006E564B"/>
    <w:rsid w:val="006E7191"/>
    <w:rsid w:val="006F028B"/>
    <w:rsid w:val="006F5695"/>
    <w:rsid w:val="006F6332"/>
    <w:rsid w:val="006F6B4C"/>
    <w:rsid w:val="00703577"/>
    <w:rsid w:val="00705894"/>
    <w:rsid w:val="00705E38"/>
    <w:rsid w:val="0072159E"/>
    <w:rsid w:val="0072160B"/>
    <w:rsid w:val="0072209F"/>
    <w:rsid w:val="0072632A"/>
    <w:rsid w:val="007266B2"/>
    <w:rsid w:val="00730E7E"/>
    <w:rsid w:val="0073270B"/>
    <w:rsid w:val="007327D5"/>
    <w:rsid w:val="00733073"/>
    <w:rsid w:val="00741B41"/>
    <w:rsid w:val="00746B7B"/>
    <w:rsid w:val="007629C8"/>
    <w:rsid w:val="007637DC"/>
    <w:rsid w:val="0077047D"/>
    <w:rsid w:val="0078484E"/>
    <w:rsid w:val="007867F0"/>
    <w:rsid w:val="00787ABD"/>
    <w:rsid w:val="00793A3E"/>
    <w:rsid w:val="00795578"/>
    <w:rsid w:val="007963BC"/>
    <w:rsid w:val="007970F4"/>
    <w:rsid w:val="007A2C0C"/>
    <w:rsid w:val="007B451B"/>
    <w:rsid w:val="007B6BA5"/>
    <w:rsid w:val="007B70F1"/>
    <w:rsid w:val="007C3390"/>
    <w:rsid w:val="007C4F4B"/>
    <w:rsid w:val="007D2EE7"/>
    <w:rsid w:val="007D7342"/>
    <w:rsid w:val="007E01E9"/>
    <w:rsid w:val="007E40C0"/>
    <w:rsid w:val="007E63F3"/>
    <w:rsid w:val="007E6615"/>
    <w:rsid w:val="007F26DD"/>
    <w:rsid w:val="007F5B4A"/>
    <w:rsid w:val="007F6611"/>
    <w:rsid w:val="007F6D79"/>
    <w:rsid w:val="00811920"/>
    <w:rsid w:val="00815AD0"/>
    <w:rsid w:val="00820B89"/>
    <w:rsid w:val="00822541"/>
    <w:rsid w:val="008231CA"/>
    <w:rsid w:val="0082399A"/>
    <w:rsid w:val="008242D7"/>
    <w:rsid w:val="008257B1"/>
    <w:rsid w:val="00832334"/>
    <w:rsid w:val="00841A45"/>
    <w:rsid w:val="00843767"/>
    <w:rsid w:val="00843CDA"/>
    <w:rsid w:val="008549F9"/>
    <w:rsid w:val="008654AD"/>
    <w:rsid w:val="00865AC9"/>
    <w:rsid w:val="008679D9"/>
    <w:rsid w:val="00872040"/>
    <w:rsid w:val="00876BB9"/>
    <w:rsid w:val="008878DE"/>
    <w:rsid w:val="008947DD"/>
    <w:rsid w:val="008979B1"/>
    <w:rsid w:val="008A4100"/>
    <w:rsid w:val="008A522A"/>
    <w:rsid w:val="008A533B"/>
    <w:rsid w:val="008A6B25"/>
    <w:rsid w:val="008A6C4F"/>
    <w:rsid w:val="008B1FEB"/>
    <w:rsid w:val="008B2335"/>
    <w:rsid w:val="008B4955"/>
    <w:rsid w:val="008B7A5D"/>
    <w:rsid w:val="008C48A9"/>
    <w:rsid w:val="008C611D"/>
    <w:rsid w:val="008C6CC0"/>
    <w:rsid w:val="008D0A26"/>
    <w:rsid w:val="008D1727"/>
    <w:rsid w:val="008D1FCE"/>
    <w:rsid w:val="008D65A7"/>
    <w:rsid w:val="008E0678"/>
    <w:rsid w:val="008E114A"/>
    <w:rsid w:val="008F06E5"/>
    <w:rsid w:val="008F21D0"/>
    <w:rsid w:val="0090024A"/>
    <w:rsid w:val="009027FA"/>
    <w:rsid w:val="009065A8"/>
    <w:rsid w:val="00910BF4"/>
    <w:rsid w:val="00914BE6"/>
    <w:rsid w:val="0091644A"/>
    <w:rsid w:val="00916530"/>
    <w:rsid w:val="00917F94"/>
    <w:rsid w:val="009223CA"/>
    <w:rsid w:val="00922EE1"/>
    <w:rsid w:val="00931B97"/>
    <w:rsid w:val="00940F93"/>
    <w:rsid w:val="00941938"/>
    <w:rsid w:val="00946576"/>
    <w:rsid w:val="0095319E"/>
    <w:rsid w:val="00955983"/>
    <w:rsid w:val="009760F3"/>
    <w:rsid w:val="00976CFB"/>
    <w:rsid w:val="0097784A"/>
    <w:rsid w:val="009809CF"/>
    <w:rsid w:val="0098121B"/>
    <w:rsid w:val="00983AEA"/>
    <w:rsid w:val="00983F17"/>
    <w:rsid w:val="009A0830"/>
    <w:rsid w:val="009A0E8D"/>
    <w:rsid w:val="009A1173"/>
    <w:rsid w:val="009A48D1"/>
    <w:rsid w:val="009A7F18"/>
    <w:rsid w:val="009B26E7"/>
    <w:rsid w:val="009B36B4"/>
    <w:rsid w:val="009B3776"/>
    <w:rsid w:val="009C08FD"/>
    <w:rsid w:val="009C27B8"/>
    <w:rsid w:val="009C4A9E"/>
    <w:rsid w:val="009C4FDB"/>
    <w:rsid w:val="009D2E1B"/>
    <w:rsid w:val="009D62BD"/>
    <w:rsid w:val="009E3236"/>
    <w:rsid w:val="009E580A"/>
    <w:rsid w:val="009F1D8A"/>
    <w:rsid w:val="009F5C19"/>
    <w:rsid w:val="009F69BD"/>
    <w:rsid w:val="00A00697"/>
    <w:rsid w:val="00A00A3F"/>
    <w:rsid w:val="00A01489"/>
    <w:rsid w:val="00A01F36"/>
    <w:rsid w:val="00A074C3"/>
    <w:rsid w:val="00A1606D"/>
    <w:rsid w:val="00A3026E"/>
    <w:rsid w:val="00A302CF"/>
    <w:rsid w:val="00A30A1B"/>
    <w:rsid w:val="00A338F1"/>
    <w:rsid w:val="00A35BE0"/>
    <w:rsid w:val="00A3616E"/>
    <w:rsid w:val="00A376BD"/>
    <w:rsid w:val="00A46227"/>
    <w:rsid w:val="00A57672"/>
    <w:rsid w:val="00A65CA2"/>
    <w:rsid w:val="00A664E2"/>
    <w:rsid w:val="00A70A06"/>
    <w:rsid w:val="00A72F22"/>
    <w:rsid w:val="00A7360F"/>
    <w:rsid w:val="00A748A6"/>
    <w:rsid w:val="00A769F4"/>
    <w:rsid w:val="00A776B4"/>
    <w:rsid w:val="00A82418"/>
    <w:rsid w:val="00A94361"/>
    <w:rsid w:val="00A95478"/>
    <w:rsid w:val="00AA11E9"/>
    <w:rsid w:val="00AA293C"/>
    <w:rsid w:val="00AA6B55"/>
    <w:rsid w:val="00AB729C"/>
    <w:rsid w:val="00AC1AC0"/>
    <w:rsid w:val="00AD1AE6"/>
    <w:rsid w:val="00AF2620"/>
    <w:rsid w:val="00AF4B57"/>
    <w:rsid w:val="00AF5732"/>
    <w:rsid w:val="00B06E3F"/>
    <w:rsid w:val="00B071A0"/>
    <w:rsid w:val="00B10DDC"/>
    <w:rsid w:val="00B11ED3"/>
    <w:rsid w:val="00B13ECB"/>
    <w:rsid w:val="00B213D8"/>
    <w:rsid w:val="00B23F07"/>
    <w:rsid w:val="00B30179"/>
    <w:rsid w:val="00B317C5"/>
    <w:rsid w:val="00B31ECD"/>
    <w:rsid w:val="00B40E46"/>
    <w:rsid w:val="00B421C1"/>
    <w:rsid w:val="00B4653D"/>
    <w:rsid w:val="00B55C71"/>
    <w:rsid w:val="00B56E4A"/>
    <w:rsid w:val="00B56E9C"/>
    <w:rsid w:val="00B5750B"/>
    <w:rsid w:val="00B64B1F"/>
    <w:rsid w:val="00B6553F"/>
    <w:rsid w:val="00B715A3"/>
    <w:rsid w:val="00B77D05"/>
    <w:rsid w:val="00B8053E"/>
    <w:rsid w:val="00B81206"/>
    <w:rsid w:val="00B81E12"/>
    <w:rsid w:val="00B908D4"/>
    <w:rsid w:val="00B97418"/>
    <w:rsid w:val="00B97B3C"/>
    <w:rsid w:val="00BA43C9"/>
    <w:rsid w:val="00BB471D"/>
    <w:rsid w:val="00BB50B9"/>
    <w:rsid w:val="00BB526C"/>
    <w:rsid w:val="00BC3FA0"/>
    <w:rsid w:val="00BC662E"/>
    <w:rsid w:val="00BC6FFC"/>
    <w:rsid w:val="00BC74E9"/>
    <w:rsid w:val="00BD2122"/>
    <w:rsid w:val="00BD37B2"/>
    <w:rsid w:val="00BD4CE4"/>
    <w:rsid w:val="00BE0D09"/>
    <w:rsid w:val="00BE4497"/>
    <w:rsid w:val="00BE582B"/>
    <w:rsid w:val="00BE58C4"/>
    <w:rsid w:val="00BF2B74"/>
    <w:rsid w:val="00BF68A8"/>
    <w:rsid w:val="00C041B4"/>
    <w:rsid w:val="00C11A03"/>
    <w:rsid w:val="00C15076"/>
    <w:rsid w:val="00C22C0C"/>
    <w:rsid w:val="00C26CD3"/>
    <w:rsid w:val="00C3308F"/>
    <w:rsid w:val="00C35ADD"/>
    <w:rsid w:val="00C35AEE"/>
    <w:rsid w:val="00C35F1F"/>
    <w:rsid w:val="00C36985"/>
    <w:rsid w:val="00C4527F"/>
    <w:rsid w:val="00C463DD"/>
    <w:rsid w:val="00C47134"/>
    <w:rsid w:val="00C4724C"/>
    <w:rsid w:val="00C47552"/>
    <w:rsid w:val="00C54A99"/>
    <w:rsid w:val="00C5775F"/>
    <w:rsid w:val="00C629A0"/>
    <w:rsid w:val="00C64629"/>
    <w:rsid w:val="00C73BBA"/>
    <w:rsid w:val="00C745C3"/>
    <w:rsid w:val="00C77902"/>
    <w:rsid w:val="00C80065"/>
    <w:rsid w:val="00C86215"/>
    <w:rsid w:val="00C9442F"/>
    <w:rsid w:val="00C96DF2"/>
    <w:rsid w:val="00CA2825"/>
    <w:rsid w:val="00CB1940"/>
    <w:rsid w:val="00CB1B05"/>
    <w:rsid w:val="00CB3E03"/>
    <w:rsid w:val="00CC10D3"/>
    <w:rsid w:val="00CC10DC"/>
    <w:rsid w:val="00CD286D"/>
    <w:rsid w:val="00CD33CA"/>
    <w:rsid w:val="00CD4FE9"/>
    <w:rsid w:val="00CE4A8F"/>
    <w:rsid w:val="00CF28AE"/>
    <w:rsid w:val="00CF3073"/>
    <w:rsid w:val="00CF3AF5"/>
    <w:rsid w:val="00CF5E12"/>
    <w:rsid w:val="00CF7186"/>
    <w:rsid w:val="00D02901"/>
    <w:rsid w:val="00D0448D"/>
    <w:rsid w:val="00D05278"/>
    <w:rsid w:val="00D07FAC"/>
    <w:rsid w:val="00D14506"/>
    <w:rsid w:val="00D2031B"/>
    <w:rsid w:val="00D207F1"/>
    <w:rsid w:val="00D25FE2"/>
    <w:rsid w:val="00D26D82"/>
    <w:rsid w:val="00D27FCF"/>
    <w:rsid w:val="00D30281"/>
    <w:rsid w:val="00D312A0"/>
    <w:rsid w:val="00D32D9B"/>
    <w:rsid w:val="00D4131A"/>
    <w:rsid w:val="00D43252"/>
    <w:rsid w:val="00D47EEA"/>
    <w:rsid w:val="00D55820"/>
    <w:rsid w:val="00D570E4"/>
    <w:rsid w:val="00D610C4"/>
    <w:rsid w:val="00D67EFF"/>
    <w:rsid w:val="00D706FA"/>
    <w:rsid w:val="00D71B3E"/>
    <w:rsid w:val="00D773DF"/>
    <w:rsid w:val="00D931F3"/>
    <w:rsid w:val="00D93B52"/>
    <w:rsid w:val="00D95303"/>
    <w:rsid w:val="00D978C6"/>
    <w:rsid w:val="00D97A30"/>
    <w:rsid w:val="00DA3C1C"/>
    <w:rsid w:val="00DA5668"/>
    <w:rsid w:val="00DB3807"/>
    <w:rsid w:val="00DB4864"/>
    <w:rsid w:val="00DB48E0"/>
    <w:rsid w:val="00DB500F"/>
    <w:rsid w:val="00DB64D6"/>
    <w:rsid w:val="00DC0124"/>
    <w:rsid w:val="00DC1AEE"/>
    <w:rsid w:val="00DD18A4"/>
    <w:rsid w:val="00DD2EB3"/>
    <w:rsid w:val="00DD574D"/>
    <w:rsid w:val="00DF3890"/>
    <w:rsid w:val="00DF4225"/>
    <w:rsid w:val="00E01133"/>
    <w:rsid w:val="00E046DF"/>
    <w:rsid w:val="00E07ED4"/>
    <w:rsid w:val="00E10103"/>
    <w:rsid w:val="00E14DDF"/>
    <w:rsid w:val="00E174C1"/>
    <w:rsid w:val="00E232F6"/>
    <w:rsid w:val="00E259F8"/>
    <w:rsid w:val="00E25A15"/>
    <w:rsid w:val="00E27346"/>
    <w:rsid w:val="00E343F8"/>
    <w:rsid w:val="00E3514E"/>
    <w:rsid w:val="00E417F5"/>
    <w:rsid w:val="00E434E0"/>
    <w:rsid w:val="00E6074B"/>
    <w:rsid w:val="00E71BC8"/>
    <w:rsid w:val="00E7260F"/>
    <w:rsid w:val="00E73F5D"/>
    <w:rsid w:val="00E77E4E"/>
    <w:rsid w:val="00E81793"/>
    <w:rsid w:val="00E84B2C"/>
    <w:rsid w:val="00E86B3F"/>
    <w:rsid w:val="00E87B7D"/>
    <w:rsid w:val="00E87E53"/>
    <w:rsid w:val="00E93497"/>
    <w:rsid w:val="00E94117"/>
    <w:rsid w:val="00E96630"/>
    <w:rsid w:val="00EB1CFB"/>
    <w:rsid w:val="00EB3A35"/>
    <w:rsid w:val="00EB5BF9"/>
    <w:rsid w:val="00EB6489"/>
    <w:rsid w:val="00ED7A2A"/>
    <w:rsid w:val="00EE3E42"/>
    <w:rsid w:val="00EE4A76"/>
    <w:rsid w:val="00EF0D74"/>
    <w:rsid w:val="00EF1D7F"/>
    <w:rsid w:val="00EF73AB"/>
    <w:rsid w:val="00EF7912"/>
    <w:rsid w:val="00F012FE"/>
    <w:rsid w:val="00F20A63"/>
    <w:rsid w:val="00F27E1B"/>
    <w:rsid w:val="00F31C29"/>
    <w:rsid w:val="00F31E5F"/>
    <w:rsid w:val="00F36609"/>
    <w:rsid w:val="00F416D2"/>
    <w:rsid w:val="00F5291F"/>
    <w:rsid w:val="00F55620"/>
    <w:rsid w:val="00F55E46"/>
    <w:rsid w:val="00F56536"/>
    <w:rsid w:val="00F5710E"/>
    <w:rsid w:val="00F57D01"/>
    <w:rsid w:val="00F6100A"/>
    <w:rsid w:val="00F6137A"/>
    <w:rsid w:val="00F65EE0"/>
    <w:rsid w:val="00F73DFA"/>
    <w:rsid w:val="00F76115"/>
    <w:rsid w:val="00F87ED1"/>
    <w:rsid w:val="00F93781"/>
    <w:rsid w:val="00FB04E1"/>
    <w:rsid w:val="00FB07D6"/>
    <w:rsid w:val="00FB613B"/>
    <w:rsid w:val="00FB7305"/>
    <w:rsid w:val="00FC2A88"/>
    <w:rsid w:val="00FC4723"/>
    <w:rsid w:val="00FC68B7"/>
    <w:rsid w:val="00FD0D2B"/>
    <w:rsid w:val="00FD2672"/>
    <w:rsid w:val="00FD3F98"/>
    <w:rsid w:val="00FD5EFF"/>
    <w:rsid w:val="00FE106A"/>
    <w:rsid w:val="00FE42A8"/>
    <w:rsid w:val="00FE4830"/>
    <w:rsid w:val="00FE4F0F"/>
    <w:rsid w:val="00FF145D"/>
    <w:rsid w:val="00FF4961"/>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AB91CFC"/>
  <w15:chartTrackingRefBased/>
  <w15:docId w15:val="{A270682B-4FE6-4859-816C-8EF47CA3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A26"/>
    <w:pPr>
      <w:suppressAutoHyphens/>
      <w:spacing w:line="240" w:lineRule="atLeast"/>
    </w:pPr>
    <w:rPr>
      <w:lang w:eastAsia="en-US"/>
    </w:rPr>
  </w:style>
  <w:style w:type="paragraph" w:styleId="Heading1">
    <w:name w:val="heading 1"/>
    <w:aliases w:val="Table_G"/>
    <w:basedOn w:val="SingleTxtG"/>
    <w:next w:val="SingleTxtG"/>
    <w:qFormat/>
    <w:rsid w:val="00C15076"/>
    <w:pPr>
      <w:spacing w:after="0" w:line="240" w:lineRule="auto"/>
      <w:ind w:right="0"/>
      <w:jc w:val="left"/>
      <w:outlineLvl w:val="0"/>
    </w:pPr>
  </w:style>
  <w:style w:type="paragraph" w:styleId="Heading2">
    <w:name w:val="heading 2"/>
    <w:basedOn w:val="Normal"/>
    <w:next w:val="Normal"/>
    <w:qFormat/>
    <w:rsid w:val="00C15076"/>
    <w:pPr>
      <w:spacing w:line="240" w:lineRule="auto"/>
      <w:outlineLvl w:val="1"/>
    </w:pPr>
  </w:style>
  <w:style w:type="paragraph" w:styleId="Heading3">
    <w:name w:val="heading 3"/>
    <w:basedOn w:val="Normal"/>
    <w:next w:val="Normal"/>
    <w:qFormat/>
    <w:rsid w:val="00C15076"/>
    <w:pPr>
      <w:spacing w:line="240" w:lineRule="auto"/>
      <w:outlineLvl w:val="2"/>
    </w:pPr>
  </w:style>
  <w:style w:type="paragraph" w:styleId="Heading4">
    <w:name w:val="heading 4"/>
    <w:basedOn w:val="Normal"/>
    <w:next w:val="Normal"/>
    <w:qFormat/>
    <w:rsid w:val="00C15076"/>
    <w:pPr>
      <w:spacing w:line="240" w:lineRule="auto"/>
      <w:outlineLvl w:val="3"/>
    </w:pPr>
  </w:style>
  <w:style w:type="paragraph" w:styleId="Heading5">
    <w:name w:val="heading 5"/>
    <w:basedOn w:val="Normal"/>
    <w:next w:val="Normal"/>
    <w:qFormat/>
    <w:rsid w:val="00C15076"/>
    <w:pPr>
      <w:spacing w:line="240" w:lineRule="auto"/>
      <w:outlineLvl w:val="4"/>
    </w:pPr>
  </w:style>
  <w:style w:type="paragraph" w:styleId="Heading6">
    <w:name w:val="heading 6"/>
    <w:basedOn w:val="Normal"/>
    <w:next w:val="Normal"/>
    <w:qFormat/>
    <w:rsid w:val="00C15076"/>
    <w:pPr>
      <w:spacing w:line="240" w:lineRule="auto"/>
      <w:outlineLvl w:val="5"/>
    </w:pPr>
  </w:style>
  <w:style w:type="paragraph" w:styleId="Heading7">
    <w:name w:val="heading 7"/>
    <w:basedOn w:val="Normal"/>
    <w:next w:val="Normal"/>
    <w:qFormat/>
    <w:rsid w:val="00C15076"/>
    <w:pPr>
      <w:spacing w:line="240" w:lineRule="auto"/>
      <w:outlineLvl w:val="6"/>
    </w:pPr>
  </w:style>
  <w:style w:type="paragraph" w:styleId="Heading8">
    <w:name w:val="heading 8"/>
    <w:basedOn w:val="Normal"/>
    <w:next w:val="Normal"/>
    <w:qFormat/>
    <w:rsid w:val="00C15076"/>
    <w:pPr>
      <w:spacing w:line="240" w:lineRule="auto"/>
      <w:outlineLvl w:val="7"/>
    </w:pPr>
  </w:style>
  <w:style w:type="paragraph" w:styleId="Heading9">
    <w:name w:val="heading 9"/>
    <w:basedOn w:val="Normal"/>
    <w:next w:val="Normal"/>
    <w:qFormat/>
    <w:rsid w:val="00C15076"/>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150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15076"/>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C15076"/>
    <w:pPr>
      <w:spacing w:after="120"/>
      <w:ind w:left="1134" w:right="1134"/>
      <w:jc w:val="both"/>
    </w:pPr>
  </w:style>
  <w:style w:type="character" w:styleId="PageNumber">
    <w:name w:val="page number"/>
    <w:aliases w:val="7_G"/>
    <w:rsid w:val="00C150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C15076"/>
    <w:pPr>
      <w:keepNext/>
      <w:keepLines/>
      <w:spacing w:before="240" w:after="240" w:line="420" w:lineRule="exact"/>
      <w:ind w:left="1134" w:right="1134"/>
    </w:pPr>
    <w:rPr>
      <w:b/>
      <w:sz w:val="40"/>
    </w:rPr>
  </w:style>
  <w:style w:type="paragraph" w:customStyle="1" w:styleId="SLG">
    <w:name w:val="__S_L_G"/>
    <w:basedOn w:val="Normal"/>
    <w:next w:val="Normal"/>
    <w:rsid w:val="00C15076"/>
    <w:pPr>
      <w:keepNext/>
      <w:keepLines/>
      <w:spacing w:before="240" w:after="240" w:line="580" w:lineRule="exact"/>
      <w:ind w:left="1134" w:right="1134"/>
    </w:pPr>
    <w:rPr>
      <w:b/>
      <w:sz w:val="56"/>
    </w:rPr>
  </w:style>
  <w:style w:type="paragraph" w:customStyle="1" w:styleId="SSG">
    <w:name w:val="__S_S_G"/>
    <w:basedOn w:val="Normal"/>
    <w:next w:val="Normal"/>
    <w:rsid w:val="00C15076"/>
    <w:pPr>
      <w:keepNext/>
      <w:keepLines/>
      <w:spacing w:before="240" w:after="240" w:line="300" w:lineRule="exact"/>
      <w:ind w:left="1134" w:right="1134"/>
    </w:pPr>
    <w:rPr>
      <w:b/>
      <w:sz w:val="28"/>
    </w:rPr>
  </w:style>
  <w:style w:type="character" w:styleId="EndnoteReference">
    <w:name w:val="endnote reference"/>
    <w:aliases w:val="1_G"/>
    <w:rsid w:val="00C15076"/>
    <w:rPr>
      <w:rFonts w:ascii="Times New Roman" w:hAnsi="Times New Roman"/>
      <w:sz w:val="18"/>
      <w:vertAlign w:val="superscript"/>
    </w:rPr>
  </w:style>
  <w:style w:type="character" w:styleId="FootnoteReference">
    <w:name w:val="footnote reference"/>
    <w:aliases w:val="4_G"/>
    <w:rsid w:val="00C15076"/>
    <w:rPr>
      <w:rFonts w:ascii="Times New Roman" w:hAnsi="Times New Roman"/>
      <w:sz w:val="18"/>
      <w:vertAlign w:val="superscript"/>
    </w:rPr>
  </w:style>
  <w:style w:type="paragraph" w:styleId="FootnoteText">
    <w:name w:val="footnote text"/>
    <w:aliases w:val="5_G"/>
    <w:basedOn w:val="Normal"/>
    <w:link w:val="FootnoteTextChar"/>
    <w:rsid w:val="00C15076"/>
    <w:pPr>
      <w:tabs>
        <w:tab w:val="right" w:pos="1021"/>
      </w:tabs>
      <w:spacing w:line="220" w:lineRule="exact"/>
      <w:ind w:left="1134" w:right="1134" w:hanging="1134"/>
    </w:pPr>
    <w:rPr>
      <w:sz w:val="18"/>
    </w:rPr>
  </w:style>
  <w:style w:type="paragraph" w:customStyle="1" w:styleId="XLargeG">
    <w:name w:val="__XLarge_G"/>
    <w:basedOn w:val="Normal"/>
    <w:next w:val="Normal"/>
    <w:rsid w:val="00C15076"/>
    <w:pPr>
      <w:keepNext/>
      <w:keepLines/>
      <w:spacing w:before="240" w:after="240" w:line="420" w:lineRule="exact"/>
      <w:ind w:left="1134" w:right="1134"/>
    </w:pPr>
    <w:rPr>
      <w:b/>
      <w:sz w:val="40"/>
    </w:rPr>
  </w:style>
  <w:style w:type="paragraph" w:customStyle="1" w:styleId="Bullet1G">
    <w:name w:val="_Bullet 1_G"/>
    <w:basedOn w:val="Normal"/>
    <w:rsid w:val="00C15076"/>
    <w:pPr>
      <w:numPr>
        <w:numId w:val="14"/>
      </w:numPr>
      <w:spacing w:after="120"/>
      <w:ind w:right="1134"/>
      <w:jc w:val="both"/>
    </w:pPr>
  </w:style>
  <w:style w:type="paragraph" w:styleId="EndnoteText">
    <w:name w:val="endnote text"/>
    <w:aliases w:val="2_G"/>
    <w:basedOn w:val="FootnoteText"/>
    <w:rsid w:val="00C150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C15076"/>
    <w:pPr>
      <w:numPr>
        <w:numId w:val="15"/>
      </w:numPr>
      <w:spacing w:after="120"/>
      <w:ind w:right="1134"/>
      <w:jc w:val="both"/>
    </w:pPr>
  </w:style>
  <w:style w:type="paragraph" w:customStyle="1" w:styleId="H1G">
    <w:name w:val="_ H_1_G"/>
    <w:basedOn w:val="Normal"/>
    <w:next w:val="Normal"/>
    <w:link w:val="H1GChar"/>
    <w:rsid w:val="00C150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C150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150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150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C150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C150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150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C15076"/>
    <w:pPr>
      <w:spacing w:line="240" w:lineRule="auto"/>
    </w:pPr>
    <w:rPr>
      <w:sz w:val="16"/>
    </w:rPr>
  </w:style>
  <w:style w:type="paragraph" w:styleId="Header">
    <w:name w:val="header"/>
    <w:aliases w:val="6_G"/>
    <w:basedOn w:val="Normal"/>
    <w:rsid w:val="00C15076"/>
    <w:pPr>
      <w:pBdr>
        <w:bottom w:val="single" w:sz="4" w:space="4" w:color="auto"/>
      </w:pBdr>
      <w:spacing w:line="240" w:lineRule="auto"/>
    </w:pPr>
    <w:rPr>
      <w:b/>
      <w:sz w:val="18"/>
    </w:rPr>
  </w:style>
  <w:style w:type="paragraph" w:styleId="BalloonText">
    <w:name w:val="Balloon Text"/>
    <w:basedOn w:val="Normal"/>
    <w:link w:val="BalloonTextChar"/>
    <w:rsid w:val="002C698C"/>
    <w:pPr>
      <w:spacing w:line="240" w:lineRule="auto"/>
    </w:pPr>
    <w:rPr>
      <w:rFonts w:ascii="Tahoma" w:hAnsi="Tahoma" w:cs="Tahoma"/>
      <w:sz w:val="16"/>
      <w:szCs w:val="16"/>
    </w:rPr>
  </w:style>
  <w:style w:type="character" w:customStyle="1" w:styleId="BalloonTextChar">
    <w:name w:val="Balloon Text Char"/>
    <w:link w:val="BalloonText"/>
    <w:rsid w:val="002C698C"/>
    <w:rPr>
      <w:rFonts w:ascii="Tahoma" w:hAnsi="Tahoma" w:cs="Tahoma"/>
      <w:sz w:val="16"/>
      <w:szCs w:val="16"/>
      <w:lang w:eastAsia="en-US"/>
    </w:rPr>
  </w:style>
  <w:style w:type="character" w:customStyle="1" w:styleId="FootnoteTextChar">
    <w:name w:val="Footnote Text Char"/>
    <w:aliases w:val="5_G Char"/>
    <w:link w:val="FootnoteText"/>
    <w:rsid w:val="002A08EB"/>
    <w:rPr>
      <w:sz w:val="18"/>
      <w:lang w:val="en-GB"/>
    </w:rPr>
  </w:style>
  <w:style w:type="character" w:customStyle="1" w:styleId="HChGChar">
    <w:name w:val="_ H _Ch_G Char"/>
    <w:link w:val="HChG"/>
    <w:rsid w:val="002A08EB"/>
    <w:rPr>
      <w:b/>
      <w:sz w:val="28"/>
      <w:lang w:val="en-GB"/>
    </w:rPr>
  </w:style>
  <w:style w:type="paragraph" w:styleId="CommentSubject">
    <w:name w:val="annotation subject"/>
    <w:basedOn w:val="CommentText"/>
    <w:next w:val="CommentText"/>
    <w:link w:val="CommentSubjectChar"/>
    <w:rsid w:val="000713F7"/>
    <w:rPr>
      <w:b/>
      <w:bCs/>
    </w:rPr>
  </w:style>
  <w:style w:type="character" w:customStyle="1" w:styleId="CommentTextChar">
    <w:name w:val="Comment Text Char"/>
    <w:link w:val="CommentText"/>
    <w:semiHidden/>
    <w:rsid w:val="000713F7"/>
    <w:rPr>
      <w:lang w:eastAsia="en-US"/>
    </w:rPr>
  </w:style>
  <w:style w:type="character" w:customStyle="1" w:styleId="CommentSubjectChar">
    <w:name w:val="Comment Subject Char"/>
    <w:link w:val="CommentSubject"/>
    <w:rsid w:val="000713F7"/>
    <w:rPr>
      <w:b/>
      <w:bCs/>
      <w:lang w:eastAsia="en-US"/>
    </w:rPr>
  </w:style>
  <w:style w:type="paragraph" w:styleId="Revision">
    <w:name w:val="Revision"/>
    <w:hidden/>
    <w:uiPriority w:val="99"/>
    <w:semiHidden/>
    <w:rsid w:val="002565D9"/>
    <w:rPr>
      <w:lang w:eastAsia="en-US"/>
    </w:rPr>
  </w:style>
  <w:style w:type="character" w:customStyle="1" w:styleId="SingleTxtGChar">
    <w:name w:val="_ Single Txt_G Char"/>
    <w:link w:val="SingleTxtG"/>
    <w:rsid w:val="00C47134"/>
    <w:rPr>
      <w:lang w:eastAsia="en-US"/>
    </w:rPr>
  </w:style>
  <w:style w:type="paragraph" w:customStyle="1" w:styleId="Question">
    <w:name w:val="Question"/>
    <w:basedOn w:val="Normal"/>
    <w:next w:val="Normal"/>
    <w:rsid w:val="009D62BD"/>
    <w:pPr>
      <w:numPr>
        <w:numId w:val="17"/>
      </w:numPr>
      <w:tabs>
        <w:tab w:val="left" w:pos="868"/>
      </w:tabs>
      <w:suppressAutoHyphens w:val="0"/>
      <w:spacing w:before="120" w:after="120" w:line="240" w:lineRule="auto"/>
    </w:pPr>
    <w:rPr>
      <w:i/>
      <w:sz w:val="24"/>
      <w:szCs w:val="24"/>
    </w:rPr>
  </w:style>
  <w:style w:type="paragraph" w:customStyle="1" w:styleId="Default">
    <w:name w:val="Default"/>
    <w:rsid w:val="009D62BD"/>
    <w:pPr>
      <w:autoSpaceDE w:val="0"/>
      <w:autoSpaceDN w:val="0"/>
      <w:adjustRightInd w:val="0"/>
    </w:pPr>
    <w:rPr>
      <w:rFonts w:eastAsia="MS Mincho"/>
      <w:color w:val="000000"/>
      <w:sz w:val="24"/>
      <w:szCs w:val="24"/>
      <w:lang w:eastAsia="en-US"/>
    </w:rPr>
  </w:style>
  <w:style w:type="character" w:customStyle="1" w:styleId="H1GChar">
    <w:name w:val="_ H_1_G Char"/>
    <w:link w:val="H1G"/>
    <w:rsid w:val="00065154"/>
    <w:rPr>
      <w:b/>
      <w:sz w:val="24"/>
      <w:lang w:eastAsia="en-US"/>
    </w:rPr>
  </w:style>
  <w:style w:type="paragraph" w:styleId="ListParagraph">
    <w:name w:val="List Paragraph"/>
    <w:basedOn w:val="Normal"/>
    <w:uiPriority w:val="34"/>
    <w:qFormat/>
    <w:rsid w:val="00455606"/>
    <w:pPr>
      <w:suppressAutoHyphens w:val="0"/>
      <w:spacing w:line="240" w:lineRule="auto"/>
      <w:ind w:left="720"/>
      <w:contextualSpacing/>
    </w:pPr>
    <w:rPr>
      <w:sz w:val="24"/>
      <w:szCs w:val="24"/>
      <w:lang w:val="sv-SE"/>
    </w:rPr>
  </w:style>
  <w:style w:type="table" w:customStyle="1" w:styleId="TableGrid10">
    <w:name w:val="Table Grid1"/>
    <w:basedOn w:val="TableNormal"/>
    <w:next w:val="TableGrid"/>
    <w:uiPriority w:val="39"/>
    <w:rsid w:val="0015776E"/>
    <w:rPr>
      <w:rFonts w:ascii="Calibri" w:eastAsia="Calibri" w:hAnsi="Calibri" w:cs="Arial"/>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3GChar">
    <w:name w:val="_ H_2/3_G Char"/>
    <w:link w:val="H23G"/>
    <w:rsid w:val="00B213D8"/>
    <w:rPr>
      <w:b/>
      <w:lang w:eastAsia="en-US"/>
    </w:rPr>
  </w:style>
  <w:style w:type="table" w:customStyle="1" w:styleId="TableGrid20">
    <w:name w:val="Table Grid2"/>
    <w:basedOn w:val="TableNormal"/>
    <w:next w:val="TableGrid"/>
    <w:uiPriority w:val="39"/>
    <w:rsid w:val="00B213D8"/>
    <w:rPr>
      <w:rFonts w:ascii="Calibri" w:eastAsia="Calibri" w:hAnsi="Calibri" w:cs="Arial"/>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8B1FEB"/>
  </w:style>
  <w:style w:type="paragraph" w:styleId="Caption">
    <w:name w:val="caption"/>
    <w:basedOn w:val="Normal"/>
    <w:next w:val="Normal"/>
    <w:semiHidden/>
    <w:unhideWhenUsed/>
    <w:qFormat/>
    <w:rsid w:val="008B1FEB"/>
    <w:pPr>
      <w:spacing w:after="200" w:line="240" w:lineRule="auto"/>
    </w:pPr>
    <w:rPr>
      <w:i/>
      <w:iCs/>
      <w:color w:val="44546A" w:themeColor="text2"/>
      <w:sz w:val="18"/>
      <w:szCs w:val="18"/>
    </w:rPr>
  </w:style>
  <w:style w:type="paragraph" w:styleId="DocumentMap">
    <w:name w:val="Document Map"/>
    <w:basedOn w:val="Normal"/>
    <w:link w:val="DocumentMapChar"/>
    <w:rsid w:val="008B1FEB"/>
    <w:pPr>
      <w:spacing w:line="240" w:lineRule="auto"/>
    </w:pPr>
    <w:rPr>
      <w:rFonts w:ascii="Segoe UI" w:hAnsi="Segoe UI" w:cs="Segoe UI"/>
      <w:sz w:val="16"/>
      <w:szCs w:val="16"/>
    </w:rPr>
  </w:style>
  <w:style w:type="character" w:customStyle="1" w:styleId="DocumentMapChar">
    <w:name w:val="Document Map Char"/>
    <w:basedOn w:val="DefaultParagraphFont"/>
    <w:link w:val="DocumentMap"/>
    <w:rsid w:val="008B1FEB"/>
    <w:rPr>
      <w:rFonts w:ascii="Segoe UI" w:hAnsi="Segoe UI" w:cs="Segoe UI"/>
      <w:sz w:val="16"/>
      <w:szCs w:val="16"/>
      <w:lang w:eastAsia="en-US"/>
    </w:rPr>
  </w:style>
  <w:style w:type="paragraph" w:styleId="Index1">
    <w:name w:val="index 1"/>
    <w:basedOn w:val="Normal"/>
    <w:next w:val="Normal"/>
    <w:autoRedefine/>
    <w:rsid w:val="008B1FEB"/>
    <w:pPr>
      <w:spacing w:line="240" w:lineRule="auto"/>
      <w:ind w:left="200" w:hanging="200"/>
    </w:pPr>
  </w:style>
  <w:style w:type="paragraph" w:styleId="Index2">
    <w:name w:val="index 2"/>
    <w:basedOn w:val="Normal"/>
    <w:next w:val="Normal"/>
    <w:autoRedefine/>
    <w:rsid w:val="008B1FEB"/>
    <w:pPr>
      <w:spacing w:line="240" w:lineRule="auto"/>
      <w:ind w:left="400" w:hanging="200"/>
    </w:pPr>
  </w:style>
  <w:style w:type="paragraph" w:styleId="Index3">
    <w:name w:val="index 3"/>
    <w:basedOn w:val="Normal"/>
    <w:next w:val="Normal"/>
    <w:autoRedefine/>
    <w:rsid w:val="008B1FEB"/>
    <w:pPr>
      <w:spacing w:line="240" w:lineRule="auto"/>
      <w:ind w:left="600" w:hanging="200"/>
    </w:pPr>
  </w:style>
  <w:style w:type="paragraph" w:styleId="Index4">
    <w:name w:val="index 4"/>
    <w:basedOn w:val="Normal"/>
    <w:next w:val="Normal"/>
    <w:autoRedefine/>
    <w:rsid w:val="008B1FEB"/>
    <w:pPr>
      <w:spacing w:line="240" w:lineRule="auto"/>
      <w:ind w:left="800" w:hanging="200"/>
    </w:pPr>
  </w:style>
  <w:style w:type="paragraph" w:styleId="Index5">
    <w:name w:val="index 5"/>
    <w:basedOn w:val="Normal"/>
    <w:next w:val="Normal"/>
    <w:autoRedefine/>
    <w:rsid w:val="008B1FEB"/>
    <w:pPr>
      <w:spacing w:line="240" w:lineRule="auto"/>
      <w:ind w:left="1000" w:hanging="200"/>
    </w:pPr>
  </w:style>
  <w:style w:type="paragraph" w:styleId="Index6">
    <w:name w:val="index 6"/>
    <w:basedOn w:val="Normal"/>
    <w:next w:val="Normal"/>
    <w:autoRedefine/>
    <w:rsid w:val="008B1FEB"/>
    <w:pPr>
      <w:spacing w:line="240" w:lineRule="auto"/>
      <w:ind w:left="1200" w:hanging="200"/>
    </w:pPr>
  </w:style>
  <w:style w:type="paragraph" w:styleId="Index7">
    <w:name w:val="index 7"/>
    <w:basedOn w:val="Normal"/>
    <w:next w:val="Normal"/>
    <w:autoRedefine/>
    <w:rsid w:val="008B1FEB"/>
    <w:pPr>
      <w:spacing w:line="240" w:lineRule="auto"/>
      <w:ind w:left="1400" w:hanging="200"/>
    </w:pPr>
  </w:style>
  <w:style w:type="paragraph" w:styleId="Index8">
    <w:name w:val="index 8"/>
    <w:basedOn w:val="Normal"/>
    <w:next w:val="Normal"/>
    <w:autoRedefine/>
    <w:rsid w:val="008B1FEB"/>
    <w:pPr>
      <w:spacing w:line="240" w:lineRule="auto"/>
      <w:ind w:left="1600" w:hanging="200"/>
    </w:pPr>
  </w:style>
  <w:style w:type="paragraph" w:styleId="Index9">
    <w:name w:val="index 9"/>
    <w:basedOn w:val="Normal"/>
    <w:next w:val="Normal"/>
    <w:autoRedefine/>
    <w:rsid w:val="008B1FEB"/>
    <w:pPr>
      <w:spacing w:line="240" w:lineRule="auto"/>
      <w:ind w:left="1800" w:hanging="200"/>
    </w:pPr>
  </w:style>
  <w:style w:type="paragraph" w:styleId="IndexHeading">
    <w:name w:val="index heading"/>
    <w:basedOn w:val="Normal"/>
    <w:next w:val="Index1"/>
    <w:rsid w:val="008B1FE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B1FE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B1FEB"/>
    <w:rPr>
      <w:i/>
      <w:iCs/>
      <w:color w:val="4472C4" w:themeColor="accent1"/>
      <w:lang w:eastAsia="en-US"/>
    </w:rPr>
  </w:style>
  <w:style w:type="paragraph" w:styleId="MacroText">
    <w:name w:val="macro"/>
    <w:link w:val="MacroTextChar"/>
    <w:rsid w:val="008B1FEB"/>
    <w:pPr>
      <w:tabs>
        <w:tab w:val="left" w:pos="480"/>
        <w:tab w:val="left" w:pos="960"/>
        <w:tab w:val="left" w:pos="1440"/>
        <w:tab w:val="left" w:pos="1920"/>
        <w:tab w:val="left" w:pos="2400"/>
        <w:tab w:val="left" w:pos="2880"/>
        <w:tab w:val="left" w:pos="3360"/>
        <w:tab w:val="left" w:pos="3840"/>
        <w:tab w:val="left" w:pos="4320"/>
      </w:tabs>
      <w:suppressAutoHyphens/>
      <w:spacing w:line="240" w:lineRule="atLeast"/>
    </w:pPr>
    <w:rPr>
      <w:rFonts w:ascii="Consolas" w:hAnsi="Consolas"/>
      <w:lang w:eastAsia="en-US"/>
    </w:rPr>
  </w:style>
  <w:style w:type="character" w:customStyle="1" w:styleId="MacroTextChar">
    <w:name w:val="Macro Text Char"/>
    <w:basedOn w:val="DefaultParagraphFont"/>
    <w:link w:val="MacroText"/>
    <w:rsid w:val="008B1FEB"/>
    <w:rPr>
      <w:rFonts w:ascii="Consolas" w:hAnsi="Consolas"/>
      <w:lang w:eastAsia="en-US"/>
    </w:rPr>
  </w:style>
  <w:style w:type="paragraph" w:styleId="NoSpacing">
    <w:name w:val="No Spacing"/>
    <w:uiPriority w:val="1"/>
    <w:qFormat/>
    <w:rsid w:val="008B1FEB"/>
    <w:pPr>
      <w:suppressAutoHyphens/>
    </w:pPr>
    <w:rPr>
      <w:lang w:eastAsia="en-US"/>
    </w:rPr>
  </w:style>
  <w:style w:type="paragraph" w:styleId="Quote">
    <w:name w:val="Quote"/>
    <w:basedOn w:val="Normal"/>
    <w:next w:val="Normal"/>
    <w:link w:val="QuoteChar"/>
    <w:uiPriority w:val="29"/>
    <w:qFormat/>
    <w:rsid w:val="008B1FE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B1FEB"/>
    <w:rPr>
      <w:i/>
      <w:iCs/>
      <w:color w:val="404040" w:themeColor="text1" w:themeTint="BF"/>
      <w:lang w:eastAsia="en-US"/>
    </w:rPr>
  </w:style>
  <w:style w:type="paragraph" w:styleId="TableofAuthorities">
    <w:name w:val="table of authorities"/>
    <w:basedOn w:val="Normal"/>
    <w:next w:val="Normal"/>
    <w:rsid w:val="008B1FEB"/>
    <w:pPr>
      <w:ind w:left="200" w:hanging="200"/>
    </w:pPr>
  </w:style>
  <w:style w:type="paragraph" w:styleId="TableofFigures">
    <w:name w:val="table of figures"/>
    <w:basedOn w:val="Normal"/>
    <w:next w:val="Normal"/>
    <w:rsid w:val="008B1FEB"/>
  </w:style>
  <w:style w:type="paragraph" w:styleId="TOAHeading">
    <w:name w:val="toa heading"/>
    <w:basedOn w:val="Normal"/>
    <w:next w:val="Normal"/>
    <w:rsid w:val="008B1FE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8B1FEB"/>
    <w:pPr>
      <w:spacing w:after="100"/>
    </w:pPr>
  </w:style>
  <w:style w:type="paragraph" w:styleId="TOC2">
    <w:name w:val="toc 2"/>
    <w:basedOn w:val="Normal"/>
    <w:next w:val="Normal"/>
    <w:autoRedefine/>
    <w:rsid w:val="008B1FEB"/>
    <w:pPr>
      <w:spacing w:after="100"/>
      <w:ind w:left="200"/>
    </w:pPr>
  </w:style>
  <w:style w:type="paragraph" w:styleId="TOC3">
    <w:name w:val="toc 3"/>
    <w:basedOn w:val="Normal"/>
    <w:next w:val="Normal"/>
    <w:autoRedefine/>
    <w:rsid w:val="008B1FEB"/>
    <w:pPr>
      <w:spacing w:after="100"/>
      <w:ind w:left="400"/>
    </w:pPr>
  </w:style>
  <w:style w:type="paragraph" w:styleId="TOC4">
    <w:name w:val="toc 4"/>
    <w:basedOn w:val="Normal"/>
    <w:next w:val="Normal"/>
    <w:autoRedefine/>
    <w:rsid w:val="008B1FEB"/>
    <w:pPr>
      <w:spacing w:after="100"/>
      <w:ind w:left="600"/>
    </w:pPr>
  </w:style>
  <w:style w:type="paragraph" w:styleId="TOC5">
    <w:name w:val="toc 5"/>
    <w:basedOn w:val="Normal"/>
    <w:next w:val="Normal"/>
    <w:autoRedefine/>
    <w:rsid w:val="008B1FEB"/>
    <w:pPr>
      <w:spacing w:after="100"/>
      <w:ind w:left="800"/>
    </w:pPr>
  </w:style>
  <w:style w:type="paragraph" w:styleId="TOC6">
    <w:name w:val="toc 6"/>
    <w:basedOn w:val="Normal"/>
    <w:next w:val="Normal"/>
    <w:autoRedefine/>
    <w:rsid w:val="008B1FEB"/>
    <w:pPr>
      <w:spacing w:after="100"/>
      <w:ind w:left="1000"/>
    </w:pPr>
  </w:style>
  <w:style w:type="paragraph" w:styleId="TOC7">
    <w:name w:val="toc 7"/>
    <w:basedOn w:val="Normal"/>
    <w:next w:val="Normal"/>
    <w:autoRedefine/>
    <w:rsid w:val="008B1FEB"/>
    <w:pPr>
      <w:spacing w:after="100"/>
      <w:ind w:left="1200"/>
    </w:pPr>
  </w:style>
  <w:style w:type="paragraph" w:styleId="TOC8">
    <w:name w:val="toc 8"/>
    <w:basedOn w:val="Normal"/>
    <w:next w:val="Normal"/>
    <w:autoRedefine/>
    <w:rsid w:val="008B1FEB"/>
    <w:pPr>
      <w:spacing w:after="100"/>
      <w:ind w:left="1400"/>
    </w:pPr>
  </w:style>
  <w:style w:type="paragraph" w:styleId="TOC9">
    <w:name w:val="toc 9"/>
    <w:basedOn w:val="Normal"/>
    <w:next w:val="Normal"/>
    <w:autoRedefine/>
    <w:rsid w:val="008B1FEB"/>
    <w:pPr>
      <w:spacing w:after="100"/>
      <w:ind w:left="1600"/>
    </w:pPr>
  </w:style>
  <w:style w:type="paragraph" w:styleId="TOCHeading">
    <w:name w:val="TOC Heading"/>
    <w:basedOn w:val="Heading1"/>
    <w:next w:val="Normal"/>
    <w:uiPriority w:val="39"/>
    <w:semiHidden/>
    <w:unhideWhenUsed/>
    <w:qFormat/>
    <w:rsid w:val="008B1FEB"/>
    <w:pPr>
      <w:keepNext/>
      <w:keepLines/>
      <w:spacing w:before="240" w:line="240" w:lineRule="atLeast"/>
      <w:ind w:left="0"/>
      <w:outlineLvl w:val="9"/>
    </w:pPr>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02781">
      <w:bodyDiv w:val="1"/>
      <w:marLeft w:val="0"/>
      <w:marRight w:val="0"/>
      <w:marTop w:val="0"/>
      <w:marBottom w:val="0"/>
      <w:divBdr>
        <w:top w:val="none" w:sz="0" w:space="0" w:color="auto"/>
        <w:left w:val="none" w:sz="0" w:space="0" w:color="auto"/>
        <w:bottom w:val="none" w:sz="0" w:space="0" w:color="auto"/>
        <w:right w:val="none" w:sz="0" w:space="0" w:color="auto"/>
      </w:divBdr>
    </w:div>
    <w:div w:id="490870856">
      <w:bodyDiv w:val="1"/>
      <w:marLeft w:val="0"/>
      <w:marRight w:val="0"/>
      <w:marTop w:val="0"/>
      <w:marBottom w:val="0"/>
      <w:divBdr>
        <w:top w:val="none" w:sz="0" w:space="0" w:color="auto"/>
        <w:left w:val="none" w:sz="0" w:space="0" w:color="auto"/>
        <w:bottom w:val="none" w:sz="0" w:space="0" w:color="auto"/>
        <w:right w:val="none" w:sz="0" w:space="0" w:color="auto"/>
      </w:divBdr>
      <w:divsChild>
        <w:div w:id="211620064">
          <w:marLeft w:val="0"/>
          <w:marRight w:val="0"/>
          <w:marTop w:val="0"/>
          <w:marBottom w:val="0"/>
          <w:divBdr>
            <w:top w:val="none" w:sz="0" w:space="0" w:color="auto"/>
            <w:left w:val="none" w:sz="0" w:space="0" w:color="auto"/>
            <w:bottom w:val="none" w:sz="0" w:space="0" w:color="auto"/>
            <w:right w:val="none" w:sz="0" w:space="0" w:color="auto"/>
          </w:divBdr>
        </w:div>
        <w:div w:id="227348144">
          <w:marLeft w:val="0"/>
          <w:marRight w:val="0"/>
          <w:marTop w:val="0"/>
          <w:marBottom w:val="0"/>
          <w:divBdr>
            <w:top w:val="none" w:sz="0" w:space="0" w:color="auto"/>
            <w:left w:val="none" w:sz="0" w:space="0" w:color="auto"/>
            <w:bottom w:val="none" w:sz="0" w:space="0" w:color="auto"/>
            <w:right w:val="none" w:sz="0" w:space="0" w:color="auto"/>
          </w:divBdr>
        </w:div>
        <w:div w:id="283973388">
          <w:marLeft w:val="0"/>
          <w:marRight w:val="0"/>
          <w:marTop w:val="0"/>
          <w:marBottom w:val="0"/>
          <w:divBdr>
            <w:top w:val="none" w:sz="0" w:space="0" w:color="auto"/>
            <w:left w:val="none" w:sz="0" w:space="0" w:color="auto"/>
            <w:bottom w:val="none" w:sz="0" w:space="0" w:color="auto"/>
            <w:right w:val="none" w:sz="0" w:space="0" w:color="auto"/>
          </w:divBdr>
        </w:div>
        <w:div w:id="393964765">
          <w:marLeft w:val="0"/>
          <w:marRight w:val="0"/>
          <w:marTop w:val="0"/>
          <w:marBottom w:val="0"/>
          <w:divBdr>
            <w:top w:val="none" w:sz="0" w:space="0" w:color="auto"/>
            <w:left w:val="none" w:sz="0" w:space="0" w:color="auto"/>
            <w:bottom w:val="none" w:sz="0" w:space="0" w:color="auto"/>
            <w:right w:val="none" w:sz="0" w:space="0" w:color="auto"/>
          </w:divBdr>
        </w:div>
        <w:div w:id="636028138">
          <w:marLeft w:val="0"/>
          <w:marRight w:val="0"/>
          <w:marTop w:val="0"/>
          <w:marBottom w:val="0"/>
          <w:divBdr>
            <w:top w:val="none" w:sz="0" w:space="0" w:color="auto"/>
            <w:left w:val="none" w:sz="0" w:space="0" w:color="auto"/>
            <w:bottom w:val="none" w:sz="0" w:space="0" w:color="auto"/>
            <w:right w:val="none" w:sz="0" w:space="0" w:color="auto"/>
          </w:divBdr>
        </w:div>
        <w:div w:id="754713410">
          <w:marLeft w:val="0"/>
          <w:marRight w:val="0"/>
          <w:marTop w:val="0"/>
          <w:marBottom w:val="0"/>
          <w:divBdr>
            <w:top w:val="none" w:sz="0" w:space="0" w:color="auto"/>
            <w:left w:val="none" w:sz="0" w:space="0" w:color="auto"/>
            <w:bottom w:val="none" w:sz="0" w:space="0" w:color="auto"/>
            <w:right w:val="none" w:sz="0" w:space="0" w:color="auto"/>
          </w:divBdr>
        </w:div>
        <w:div w:id="991061969">
          <w:marLeft w:val="0"/>
          <w:marRight w:val="0"/>
          <w:marTop w:val="0"/>
          <w:marBottom w:val="0"/>
          <w:divBdr>
            <w:top w:val="none" w:sz="0" w:space="0" w:color="auto"/>
            <w:left w:val="none" w:sz="0" w:space="0" w:color="auto"/>
            <w:bottom w:val="none" w:sz="0" w:space="0" w:color="auto"/>
            <w:right w:val="none" w:sz="0" w:space="0" w:color="auto"/>
          </w:divBdr>
        </w:div>
        <w:div w:id="1089888073">
          <w:marLeft w:val="0"/>
          <w:marRight w:val="0"/>
          <w:marTop w:val="0"/>
          <w:marBottom w:val="0"/>
          <w:divBdr>
            <w:top w:val="none" w:sz="0" w:space="0" w:color="auto"/>
            <w:left w:val="none" w:sz="0" w:space="0" w:color="auto"/>
            <w:bottom w:val="none" w:sz="0" w:space="0" w:color="auto"/>
            <w:right w:val="none" w:sz="0" w:space="0" w:color="auto"/>
          </w:divBdr>
        </w:div>
        <w:div w:id="1436246210">
          <w:marLeft w:val="0"/>
          <w:marRight w:val="0"/>
          <w:marTop w:val="0"/>
          <w:marBottom w:val="0"/>
          <w:divBdr>
            <w:top w:val="none" w:sz="0" w:space="0" w:color="auto"/>
            <w:left w:val="none" w:sz="0" w:space="0" w:color="auto"/>
            <w:bottom w:val="none" w:sz="0" w:space="0" w:color="auto"/>
            <w:right w:val="none" w:sz="0" w:space="0" w:color="auto"/>
          </w:divBdr>
        </w:div>
        <w:div w:id="1645433177">
          <w:marLeft w:val="0"/>
          <w:marRight w:val="0"/>
          <w:marTop w:val="0"/>
          <w:marBottom w:val="0"/>
          <w:divBdr>
            <w:top w:val="none" w:sz="0" w:space="0" w:color="auto"/>
            <w:left w:val="none" w:sz="0" w:space="0" w:color="auto"/>
            <w:bottom w:val="none" w:sz="0" w:space="0" w:color="auto"/>
            <w:right w:val="none" w:sz="0" w:space="0" w:color="auto"/>
          </w:divBdr>
        </w:div>
        <w:div w:id="1746145413">
          <w:marLeft w:val="0"/>
          <w:marRight w:val="0"/>
          <w:marTop w:val="0"/>
          <w:marBottom w:val="0"/>
          <w:divBdr>
            <w:top w:val="none" w:sz="0" w:space="0" w:color="auto"/>
            <w:left w:val="none" w:sz="0" w:space="0" w:color="auto"/>
            <w:bottom w:val="none" w:sz="0" w:space="0" w:color="auto"/>
            <w:right w:val="none" w:sz="0" w:space="0" w:color="auto"/>
          </w:divBdr>
        </w:div>
        <w:div w:id="1779988956">
          <w:marLeft w:val="0"/>
          <w:marRight w:val="0"/>
          <w:marTop w:val="0"/>
          <w:marBottom w:val="0"/>
          <w:divBdr>
            <w:top w:val="none" w:sz="0" w:space="0" w:color="auto"/>
            <w:left w:val="none" w:sz="0" w:space="0" w:color="auto"/>
            <w:bottom w:val="none" w:sz="0" w:space="0" w:color="auto"/>
            <w:right w:val="none" w:sz="0" w:space="0" w:color="auto"/>
          </w:divBdr>
        </w:div>
        <w:div w:id="1960187801">
          <w:marLeft w:val="0"/>
          <w:marRight w:val="0"/>
          <w:marTop w:val="0"/>
          <w:marBottom w:val="0"/>
          <w:divBdr>
            <w:top w:val="none" w:sz="0" w:space="0" w:color="auto"/>
            <w:left w:val="none" w:sz="0" w:space="0" w:color="auto"/>
            <w:bottom w:val="none" w:sz="0" w:space="0" w:color="auto"/>
            <w:right w:val="none" w:sz="0" w:space="0" w:color="auto"/>
          </w:divBdr>
        </w:div>
        <w:div w:id="1991712574">
          <w:marLeft w:val="0"/>
          <w:marRight w:val="0"/>
          <w:marTop w:val="0"/>
          <w:marBottom w:val="0"/>
          <w:divBdr>
            <w:top w:val="none" w:sz="0" w:space="0" w:color="auto"/>
            <w:left w:val="none" w:sz="0" w:space="0" w:color="auto"/>
            <w:bottom w:val="none" w:sz="0" w:space="0" w:color="auto"/>
            <w:right w:val="none" w:sz="0" w:space="0" w:color="auto"/>
          </w:divBdr>
        </w:div>
      </w:divsChild>
    </w:div>
    <w:div w:id="740950619">
      <w:bodyDiv w:val="1"/>
      <w:marLeft w:val="0"/>
      <w:marRight w:val="0"/>
      <w:marTop w:val="0"/>
      <w:marBottom w:val="0"/>
      <w:divBdr>
        <w:top w:val="none" w:sz="0" w:space="0" w:color="auto"/>
        <w:left w:val="none" w:sz="0" w:space="0" w:color="auto"/>
        <w:bottom w:val="none" w:sz="0" w:space="0" w:color="auto"/>
        <w:right w:val="none" w:sz="0" w:space="0" w:color="auto"/>
      </w:divBdr>
      <w:divsChild>
        <w:div w:id="52900226">
          <w:marLeft w:val="0"/>
          <w:marRight w:val="0"/>
          <w:marTop w:val="0"/>
          <w:marBottom w:val="0"/>
          <w:divBdr>
            <w:top w:val="none" w:sz="0" w:space="0" w:color="auto"/>
            <w:left w:val="none" w:sz="0" w:space="0" w:color="auto"/>
            <w:bottom w:val="none" w:sz="0" w:space="0" w:color="auto"/>
            <w:right w:val="none" w:sz="0" w:space="0" w:color="auto"/>
          </w:divBdr>
        </w:div>
        <w:div w:id="55131965">
          <w:marLeft w:val="0"/>
          <w:marRight w:val="0"/>
          <w:marTop w:val="0"/>
          <w:marBottom w:val="0"/>
          <w:divBdr>
            <w:top w:val="none" w:sz="0" w:space="0" w:color="auto"/>
            <w:left w:val="none" w:sz="0" w:space="0" w:color="auto"/>
            <w:bottom w:val="none" w:sz="0" w:space="0" w:color="auto"/>
            <w:right w:val="none" w:sz="0" w:space="0" w:color="auto"/>
          </w:divBdr>
        </w:div>
        <w:div w:id="110630962">
          <w:marLeft w:val="0"/>
          <w:marRight w:val="0"/>
          <w:marTop w:val="0"/>
          <w:marBottom w:val="0"/>
          <w:divBdr>
            <w:top w:val="none" w:sz="0" w:space="0" w:color="auto"/>
            <w:left w:val="none" w:sz="0" w:space="0" w:color="auto"/>
            <w:bottom w:val="none" w:sz="0" w:space="0" w:color="auto"/>
            <w:right w:val="none" w:sz="0" w:space="0" w:color="auto"/>
          </w:divBdr>
        </w:div>
        <w:div w:id="328950067">
          <w:marLeft w:val="0"/>
          <w:marRight w:val="0"/>
          <w:marTop w:val="0"/>
          <w:marBottom w:val="0"/>
          <w:divBdr>
            <w:top w:val="none" w:sz="0" w:space="0" w:color="auto"/>
            <w:left w:val="none" w:sz="0" w:space="0" w:color="auto"/>
            <w:bottom w:val="none" w:sz="0" w:space="0" w:color="auto"/>
            <w:right w:val="none" w:sz="0" w:space="0" w:color="auto"/>
          </w:divBdr>
        </w:div>
        <w:div w:id="337386854">
          <w:marLeft w:val="0"/>
          <w:marRight w:val="0"/>
          <w:marTop w:val="0"/>
          <w:marBottom w:val="0"/>
          <w:divBdr>
            <w:top w:val="none" w:sz="0" w:space="0" w:color="auto"/>
            <w:left w:val="none" w:sz="0" w:space="0" w:color="auto"/>
            <w:bottom w:val="none" w:sz="0" w:space="0" w:color="auto"/>
            <w:right w:val="none" w:sz="0" w:space="0" w:color="auto"/>
          </w:divBdr>
        </w:div>
        <w:div w:id="852652050">
          <w:marLeft w:val="0"/>
          <w:marRight w:val="0"/>
          <w:marTop w:val="0"/>
          <w:marBottom w:val="0"/>
          <w:divBdr>
            <w:top w:val="none" w:sz="0" w:space="0" w:color="auto"/>
            <w:left w:val="none" w:sz="0" w:space="0" w:color="auto"/>
            <w:bottom w:val="none" w:sz="0" w:space="0" w:color="auto"/>
            <w:right w:val="none" w:sz="0" w:space="0" w:color="auto"/>
          </w:divBdr>
        </w:div>
        <w:div w:id="860512524">
          <w:marLeft w:val="0"/>
          <w:marRight w:val="0"/>
          <w:marTop w:val="0"/>
          <w:marBottom w:val="0"/>
          <w:divBdr>
            <w:top w:val="none" w:sz="0" w:space="0" w:color="auto"/>
            <w:left w:val="none" w:sz="0" w:space="0" w:color="auto"/>
            <w:bottom w:val="none" w:sz="0" w:space="0" w:color="auto"/>
            <w:right w:val="none" w:sz="0" w:space="0" w:color="auto"/>
          </w:divBdr>
        </w:div>
        <w:div w:id="1088308374">
          <w:marLeft w:val="0"/>
          <w:marRight w:val="0"/>
          <w:marTop w:val="0"/>
          <w:marBottom w:val="0"/>
          <w:divBdr>
            <w:top w:val="none" w:sz="0" w:space="0" w:color="auto"/>
            <w:left w:val="none" w:sz="0" w:space="0" w:color="auto"/>
            <w:bottom w:val="none" w:sz="0" w:space="0" w:color="auto"/>
            <w:right w:val="none" w:sz="0" w:space="0" w:color="auto"/>
          </w:divBdr>
        </w:div>
        <w:div w:id="1283615997">
          <w:marLeft w:val="0"/>
          <w:marRight w:val="0"/>
          <w:marTop w:val="0"/>
          <w:marBottom w:val="0"/>
          <w:divBdr>
            <w:top w:val="none" w:sz="0" w:space="0" w:color="auto"/>
            <w:left w:val="none" w:sz="0" w:space="0" w:color="auto"/>
            <w:bottom w:val="none" w:sz="0" w:space="0" w:color="auto"/>
            <w:right w:val="none" w:sz="0" w:space="0" w:color="auto"/>
          </w:divBdr>
        </w:div>
        <w:div w:id="1338531579">
          <w:marLeft w:val="0"/>
          <w:marRight w:val="0"/>
          <w:marTop w:val="0"/>
          <w:marBottom w:val="0"/>
          <w:divBdr>
            <w:top w:val="none" w:sz="0" w:space="0" w:color="auto"/>
            <w:left w:val="none" w:sz="0" w:space="0" w:color="auto"/>
            <w:bottom w:val="none" w:sz="0" w:space="0" w:color="auto"/>
            <w:right w:val="none" w:sz="0" w:space="0" w:color="auto"/>
          </w:divBdr>
        </w:div>
        <w:div w:id="1456752341">
          <w:marLeft w:val="0"/>
          <w:marRight w:val="0"/>
          <w:marTop w:val="0"/>
          <w:marBottom w:val="0"/>
          <w:divBdr>
            <w:top w:val="none" w:sz="0" w:space="0" w:color="auto"/>
            <w:left w:val="none" w:sz="0" w:space="0" w:color="auto"/>
            <w:bottom w:val="none" w:sz="0" w:space="0" w:color="auto"/>
            <w:right w:val="none" w:sz="0" w:space="0" w:color="auto"/>
          </w:divBdr>
        </w:div>
        <w:div w:id="1457479747">
          <w:marLeft w:val="0"/>
          <w:marRight w:val="0"/>
          <w:marTop w:val="0"/>
          <w:marBottom w:val="0"/>
          <w:divBdr>
            <w:top w:val="none" w:sz="0" w:space="0" w:color="auto"/>
            <w:left w:val="none" w:sz="0" w:space="0" w:color="auto"/>
            <w:bottom w:val="none" w:sz="0" w:space="0" w:color="auto"/>
            <w:right w:val="none" w:sz="0" w:space="0" w:color="auto"/>
          </w:divBdr>
        </w:div>
        <w:div w:id="1534460564">
          <w:marLeft w:val="0"/>
          <w:marRight w:val="0"/>
          <w:marTop w:val="0"/>
          <w:marBottom w:val="0"/>
          <w:divBdr>
            <w:top w:val="none" w:sz="0" w:space="0" w:color="auto"/>
            <w:left w:val="none" w:sz="0" w:space="0" w:color="auto"/>
            <w:bottom w:val="none" w:sz="0" w:space="0" w:color="auto"/>
            <w:right w:val="none" w:sz="0" w:space="0" w:color="auto"/>
          </w:divBdr>
        </w:div>
        <w:div w:id="1606887407">
          <w:marLeft w:val="0"/>
          <w:marRight w:val="0"/>
          <w:marTop w:val="0"/>
          <w:marBottom w:val="0"/>
          <w:divBdr>
            <w:top w:val="none" w:sz="0" w:space="0" w:color="auto"/>
            <w:left w:val="none" w:sz="0" w:space="0" w:color="auto"/>
            <w:bottom w:val="none" w:sz="0" w:space="0" w:color="auto"/>
            <w:right w:val="none" w:sz="0" w:space="0" w:color="auto"/>
          </w:divBdr>
        </w:div>
        <w:div w:id="1715302225">
          <w:marLeft w:val="0"/>
          <w:marRight w:val="0"/>
          <w:marTop w:val="0"/>
          <w:marBottom w:val="0"/>
          <w:divBdr>
            <w:top w:val="none" w:sz="0" w:space="0" w:color="auto"/>
            <w:left w:val="none" w:sz="0" w:space="0" w:color="auto"/>
            <w:bottom w:val="none" w:sz="0" w:space="0" w:color="auto"/>
            <w:right w:val="none" w:sz="0" w:space="0" w:color="auto"/>
          </w:divBdr>
        </w:div>
        <w:div w:id="1958095915">
          <w:marLeft w:val="0"/>
          <w:marRight w:val="0"/>
          <w:marTop w:val="0"/>
          <w:marBottom w:val="0"/>
          <w:divBdr>
            <w:top w:val="none" w:sz="0" w:space="0" w:color="auto"/>
            <w:left w:val="none" w:sz="0" w:space="0" w:color="auto"/>
            <w:bottom w:val="none" w:sz="0" w:space="0" w:color="auto"/>
            <w:right w:val="none" w:sz="0" w:space="0" w:color="auto"/>
          </w:divBdr>
        </w:div>
      </w:divsChild>
    </w:div>
    <w:div w:id="928777897">
      <w:bodyDiv w:val="1"/>
      <w:marLeft w:val="0"/>
      <w:marRight w:val="0"/>
      <w:marTop w:val="0"/>
      <w:marBottom w:val="0"/>
      <w:divBdr>
        <w:top w:val="none" w:sz="0" w:space="0" w:color="auto"/>
        <w:left w:val="none" w:sz="0" w:space="0" w:color="auto"/>
        <w:bottom w:val="none" w:sz="0" w:space="0" w:color="auto"/>
        <w:right w:val="none" w:sz="0" w:space="0" w:color="auto"/>
      </w:divBdr>
      <w:divsChild>
        <w:div w:id="12147228">
          <w:marLeft w:val="0"/>
          <w:marRight w:val="0"/>
          <w:marTop w:val="0"/>
          <w:marBottom w:val="0"/>
          <w:divBdr>
            <w:top w:val="none" w:sz="0" w:space="0" w:color="auto"/>
            <w:left w:val="none" w:sz="0" w:space="0" w:color="auto"/>
            <w:bottom w:val="none" w:sz="0" w:space="0" w:color="auto"/>
            <w:right w:val="none" w:sz="0" w:space="0" w:color="auto"/>
          </w:divBdr>
        </w:div>
        <w:div w:id="35980041">
          <w:marLeft w:val="0"/>
          <w:marRight w:val="0"/>
          <w:marTop w:val="0"/>
          <w:marBottom w:val="0"/>
          <w:divBdr>
            <w:top w:val="none" w:sz="0" w:space="0" w:color="auto"/>
            <w:left w:val="none" w:sz="0" w:space="0" w:color="auto"/>
            <w:bottom w:val="none" w:sz="0" w:space="0" w:color="auto"/>
            <w:right w:val="none" w:sz="0" w:space="0" w:color="auto"/>
          </w:divBdr>
        </w:div>
        <w:div w:id="37321737">
          <w:marLeft w:val="0"/>
          <w:marRight w:val="0"/>
          <w:marTop w:val="0"/>
          <w:marBottom w:val="0"/>
          <w:divBdr>
            <w:top w:val="none" w:sz="0" w:space="0" w:color="auto"/>
            <w:left w:val="none" w:sz="0" w:space="0" w:color="auto"/>
            <w:bottom w:val="none" w:sz="0" w:space="0" w:color="auto"/>
            <w:right w:val="none" w:sz="0" w:space="0" w:color="auto"/>
          </w:divBdr>
        </w:div>
        <w:div w:id="101073539">
          <w:marLeft w:val="0"/>
          <w:marRight w:val="0"/>
          <w:marTop w:val="0"/>
          <w:marBottom w:val="0"/>
          <w:divBdr>
            <w:top w:val="none" w:sz="0" w:space="0" w:color="auto"/>
            <w:left w:val="none" w:sz="0" w:space="0" w:color="auto"/>
            <w:bottom w:val="none" w:sz="0" w:space="0" w:color="auto"/>
            <w:right w:val="none" w:sz="0" w:space="0" w:color="auto"/>
          </w:divBdr>
        </w:div>
        <w:div w:id="314574182">
          <w:marLeft w:val="0"/>
          <w:marRight w:val="0"/>
          <w:marTop w:val="0"/>
          <w:marBottom w:val="0"/>
          <w:divBdr>
            <w:top w:val="none" w:sz="0" w:space="0" w:color="auto"/>
            <w:left w:val="none" w:sz="0" w:space="0" w:color="auto"/>
            <w:bottom w:val="none" w:sz="0" w:space="0" w:color="auto"/>
            <w:right w:val="none" w:sz="0" w:space="0" w:color="auto"/>
          </w:divBdr>
        </w:div>
        <w:div w:id="425152537">
          <w:marLeft w:val="0"/>
          <w:marRight w:val="0"/>
          <w:marTop w:val="0"/>
          <w:marBottom w:val="0"/>
          <w:divBdr>
            <w:top w:val="none" w:sz="0" w:space="0" w:color="auto"/>
            <w:left w:val="none" w:sz="0" w:space="0" w:color="auto"/>
            <w:bottom w:val="none" w:sz="0" w:space="0" w:color="auto"/>
            <w:right w:val="none" w:sz="0" w:space="0" w:color="auto"/>
          </w:divBdr>
        </w:div>
        <w:div w:id="433601358">
          <w:marLeft w:val="0"/>
          <w:marRight w:val="0"/>
          <w:marTop w:val="0"/>
          <w:marBottom w:val="0"/>
          <w:divBdr>
            <w:top w:val="none" w:sz="0" w:space="0" w:color="auto"/>
            <w:left w:val="none" w:sz="0" w:space="0" w:color="auto"/>
            <w:bottom w:val="none" w:sz="0" w:space="0" w:color="auto"/>
            <w:right w:val="none" w:sz="0" w:space="0" w:color="auto"/>
          </w:divBdr>
        </w:div>
        <w:div w:id="453063725">
          <w:marLeft w:val="0"/>
          <w:marRight w:val="0"/>
          <w:marTop w:val="0"/>
          <w:marBottom w:val="0"/>
          <w:divBdr>
            <w:top w:val="none" w:sz="0" w:space="0" w:color="auto"/>
            <w:left w:val="none" w:sz="0" w:space="0" w:color="auto"/>
            <w:bottom w:val="none" w:sz="0" w:space="0" w:color="auto"/>
            <w:right w:val="none" w:sz="0" w:space="0" w:color="auto"/>
          </w:divBdr>
        </w:div>
        <w:div w:id="463275888">
          <w:marLeft w:val="0"/>
          <w:marRight w:val="0"/>
          <w:marTop w:val="0"/>
          <w:marBottom w:val="0"/>
          <w:divBdr>
            <w:top w:val="none" w:sz="0" w:space="0" w:color="auto"/>
            <w:left w:val="none" w:sz="0" w:space="0" w:color="auto"/>
            <w:bottom w:val="none" w:sz="0" w:space="0" w:color="auto"/>
            <w:right w:val="none" w:sz="0" w:space="0" w:color="auto"/>
          </w:divBdr>
        </w:div>
        <w:div w:id="480924994">
          <w:marLeft w:val="0"/>
          <w:marRight w:val="0"/>
          <w:marTop w:val="0"/>
          <w:marBottom w:val="0"/>
          <w:divBdr>
            <w:top w:val="none" w:sz="0" w:space="0" w:color="auto"/>
            <w:left w:val="none" w:sz="0" w:space="0" w:color="auto"/>
            <w:bottom w:val="none" w:sz="0" w:space="0" w:color="auto"/>
            <w:right w:val="none" w:sz="0" w:space="0" w:color="auto"/>
          </w:divBdr>
        </w:div>
        <w:div w:id="528568911">
          <w:marLeft w:val="0"/>
          <w:marRight w:val="0"/>
          <w:marTop w:val="0"/>
          <w:marBottom w:val="0"/>
          <w:divBdr>
            <w:top w:val="none" w:sz="0" w:space="0" w:color="auto"/>
            <w:left w:val="none" w:sz="0" w:space="0" w:color="auto"/>
            <w:bottom w:val="none" w:sz="0" w:space="0" w:color="auto"/>
            <w:right w:val="none" w:sz="0" w:space="0" w:color="auto"/>
          </w:divBdr>
        </w:div>
        <w:div w:id="544679564">
          <w:marLeft w:val="0"/>
          <w:marRight w:val="0"/>
          <w:marTop w:val="0"/>
          <w:marBottom w:val="0"/>
          <w:divBdr>
            <w:top w:val="none" w:sz="0" w:space="0" w:color="auto"/>
            <w:left w:val="none" w:sz="0" w:space="0" w:color="auto"/>
            <w:bottom w:val="none" w:sz="0" w:space="0" w:color="auto"/>
            <w:right w:val="none" w:sz="0" w:space="0" w:color="auto"/>
          </w:divBdr>
        </w:div>
        <w:div w:id="596594356">
          <w:marLeft w:val="0"/>
          <w:marRight w:val="0"/>
          <w:marTop w:val="0"/>
          <w:marBottom w:val="0"/>
          <w:divBdr>
            <w:top w:val="none" w:sz="0" w:space="0" w:color="auto"/>
            <w:left w:val="none" w:sz="0" w:space="0" w:color="auto"/>
            <w:bottom w:val="none" w:sz="0" w:space="0" w:color="auto"/>
            <w:right w:val="none" w:sz="0" w:space="0" w:color="auto"/>
          </w:divBdr>
        </w:div>
        <w:div w:id="656959668">
          <w:marLeft w:val="0"/>
          <w:marRight w:val="0"/>
          <w:marTop w:val="0"/>
          <w:marBottom w:val="0"/>
          <w:divBdr>
            <w:top w:val="none" w:sz="0" w:space="0" w:color="auto"/>
            <w:left w:val="none" w:sz="0" w:space="0" w:color="auto"/>
            <w:bottom w:val="none" w:sz="0" w:space="0" w:color="auto"/>
            <w:right w:val="none" w:sz="0" w:space="0" w:color="auto"/>
          </w:divBdr>
        </w:div>
        <w:div w:id="662709535">
          <w:marLeft w:val="0"/>
          <w:marRight w:val="0"/>
          <w:marTop w:val="0"/>
          <w:marBottom w:val="0"/>
          <w:divBdr>
            <w:top w:val="none" w:sz="0" w:space="0" w:color="auto"/>
            <w:left w:val="none" w:sz="0" w:space="0" w:color="auto"/>
            <w:bottom w:val="none" w:sz="0" w:space="0" w:color="auto"/>
            <w:right w:val="none" w:sz="0" w:space="0" w:color="auto"/>
          </w:divBdr>
        </w:div>
        <w:div w:id="666055978">
          <w:marLeft w:val="0"/>
          <w:marRight w:val="0"/>
          <w:marTop w:val="0"/>
          <w:marBottom w:val="0"/>
          <w:divBdr>
            <w:top w:val="none" w:sz="0" w:space="0" w:color="auto"/>
            <w:left w:val="none" w:sz="0" w:space="0" w:color="auto"/>
            <w:bottom w:val="none" w:sz="0" w:space="0" w:color="auto"/>
            <w:right w:val="none" w:sz="0" w:space="0" w:color="auto"/>
          </w:divBdr>
        </w:div>
        <w:div w:id="672495447">
          <w:marLeft w:val="0"/>
          <w:marRight w:val="0"/>
          <w:marTop w:val="0"/>
          <w:marBottom w:val="0"/>
          <w:divBdr>
            <w:top w:val="none" w:sz="0" w:space="0" w:color="auto"/>
            <w:left w:val="none" w:sz="0" w:space="0" w:color="auto"/>
            <w:bottom w:val="none" w:sz="0" w:space="0" w:color="auto"/>
            <w:right w:val="none" w:sz="0" w:space="0" w:color="auto"/>
          </w:divBdr>
        </w:div>
        <w:div w:id="672991328">
          <w:marLeft w:val="0"/>
          <w:marRight w:val="0"/>
          <w:marTop w:val="0"/>
          <w:marBottom w:val="0"/>
          <w:divBdr>
            <w:top w:val="none" w:sz="0" w:space="0" w:color="auto"/>
            <w:left w:val="none" w:sz="0" w:space="0" w:color="auto"/>
            <w:bottom w:val="none" w:sz="0" w:space="0" w:color="auto"/>
            <w:right w:val="none" w:sz="0" w:space="0" w:color="auto"/>
          </w:divBdr>
        </w:div>
        <w:div w:id="796024117">
          <w:marLeft w:val="0"/>
          <w:marRight w:val="0"/>
          <w:marTop w:val="0"/>
          <w:marBottom w:val="0"/>
          <w:divBdr>
            <w:top w:val="none" w:sz="0" w:space="0" w:color="auto"/>
            <w:left w:val="none" w:sz="0" w:space="0" w:color="auto"/>
            <w:bottom w:val="none" w:sz="0" w:space="0" w:color="auto"/>
            <w:right w:val="none" w:sz="0" w:space="0" w:color="auto"/>
          </w:divBdr>
        </w:div>
        <w:div w:id="853425883">
          <w:marLeft w:val="0"/>
          <w:marRight w:val="0"/>
          <w:marTop w:val="0"/>
          <w:marBottom w:val="0"/>
          <w:divBdr>
            <w:top w:val="none" w:sz="0" w:space="0" w:color="auto"/>
            <w:left w:val="none" w:sz="0" w:space="0" w:color="auto"/>
            <w:bottom w:val="none" w:sz="0" w:space="0" w:color="auto"/>
            <w:right w:val="none" w:sz="0" w:space="0" w:color="auto"/>
          </w:divBdr>
        </w:div>
        <w:div w:id="933172219">
          <w:marLeft w:val="0"/>
          <w:marRight w:val="0"/>
          <w:marTop w:val="0"/>
          <w:marBottom w:val="0"/>
          <w:divBdr>
            <w:top w:val="none" w:sz="0" w:space="0" w:color="auto"/>
            <w:left w:val="none" w:sz="0" w:space="0" w:color="auto"/>
            <w:bottom w:val="none" w:sz="0" w:space="0" w:color="auto"/>
            <w:right w:val="none" w:sz="0" w:space="0" w:color="auto"/>
          </w:divBdr>
        </w:div>
        <w:div w:id="942418528">
          <w:marLeft w:val="0"/>
          <w:marRight w:val="0"/>
          <w:marTop w:val="0"/>
          <w:marBottom w:val="0"/>
          <w:divBdr>
            <w:top w:val="none" w:sz="0" w:space="0" w:color="auto"/>
            <w:left w:val="none" w:sz="0" w:space="0" w:color="auto"/>
            <w:bottom w:val="none" w:sz="0" w:space="0" w:color="auto"/>
            <w:right w:val="none" w:sz="0" w:space="0" w:color="auto"/>
          </w:divBdr>
        </w:div>
        <w:div w:id="1022363090">
          <w:marLeft w:val="0"/>
          <w:marRight w:val="0"/>
          <w:marTop w:val="0"/>
          <w:marBottom w:val="0"/>
          <w:divBdr>
            <w:top w:val="none" w:sz="0" w:space="0" w:color="auto"/>
            <w:left w:val="none" w:sz="0" w:space="0" w:color="auto"/>
            <w:bottom w:val="none" w:sz="0" w:space="0" w:color="auto"/>
            <w:right w:val="none" w:sz="0" w:space="0" w:color="auto"/>
          </w:divBdr>
        </w:div>
        <w:div w:id="1122073045">
          <w:marLeft w:val="0"/>
          <w:marRight w:val="0"/>
          <w:marTop w:val="0"/>
          <w:marBottom w:val="0"/>
          <w:divBdr>
            <w:top w:val="none" w:sz="0" w:space="0" w:color="auto"/>
            <w:left w:val="none" w:sz="0" w:space="0" w:color="auto"/>
            <w:bottom w:val="none" w:sz="0" w:space="0" w:color="auto"/>
            <w:right w:val="none" w:sz="0" w:space="0" w:color="auto"/>
          </w:divBdr>
        </w:div>
        <w:div w:id="1241327103">
          <w:marLeft w:val="0"/>
          <w:marRight w:val="0"/>
          <w:marTop w:val="0"/>
          <w:marBottom w:val="0"/>
          <w:divBdr>
            <w:top w:val="none" w:sz="0" w:space="0" w:color="auto"/>
            <w:left w:val="none" w:sz="0" w:space="0" w:color="auto"/>
            <w:bottom w:val="none" w:sz="0" w:space="0" w:color="auto"/>
            <w:right w:val="none" w:sz="0" w:space="0" w:color="auto"/>
          </w:divBdr>
        </w:div>
        <w:div w:id="1499031507">
          <w:marLeft w:val="0"/>
          <w:marRight w:val="0"/>
          <w:marTop w:val="0"/>
          <w:marBottom w:val="0"/>
          <w:divBdr>
            <w:top w:val="none" w:sz="0" w:space="0" w:color="auto"/>
            <w:left w:val="none" w:sz="0" w:space="0" w:color="auto"/>
            <w:bottom w:val="none" w:sz="0" w:space="0" w:color="auto"/>
            <w:right w:val="none" w:sz="0" w:space="0" w:color="auto"/>
          </w:divBdr>
        </w:div>
        <w:div w:id="1547257674">
          <w:marLeft w:val="0"/>
          <w:marRight w:val="0"/>
          <w:marTop w:val="0"/>
          <w:marBottom w:val="0"/>
          <w:divBdr>
            <w:top w:val="none" w:sz="0" w:space="0" w:color="auto"/>
            <w:left w:val="none" w:sz="0" w:space="0" w:color="auto"/>
            <w:bottom w:val="none" w:sz="0" w:space="0" w:color="auto"/>
            <w:right w:val="none" w:sz="0" w:space="0" w:color="auto"/>
          </w:divBdr>
        </w:div>
        <w:div w:id="1612972871">
          <w:marLeft w:val="0"/>
          <w:marRight w:val="0"/>
          <w:marTop w:val="0"/>
          <w:marBottom w:val="0"/>
          <w:divBdr>
            <w:top w:val="none" w:sz="0" w:space="0" w:color="auto"/>
            <w:left w:val="none" w:sz="0" w:space="0" w:color="auto"/>
            <w:bottom w:val="none" w:sz="0" w:space="0" w:color="auto"/>
            <w:right w:val="none" w:sz="0" w:space="0" w:color="auto"/>
          </w:divBdr>
        </w:div>
        <w:div w:id="1620525088">
          <w:marLeft w:val="0"/>
          <w:marRight w:val="0"/>
          <w:marTop w:val="0"/>
          <w:marBottom w:val="0"/>
          <w:divBdr>
            <w:top w:val="none" w:sz="0" w:space="0" w:color="auto"/>
            <w:left w:val="none" w:sz="0" w:space="0" w:color="auto"/>
            <w:bottom w:val="none" w:sz="0" w:space="0" w:color="auto"/>
            <w:right w:val="none" w:sz="0" w:space="0" w:color="auto"/>
          </w:divBdr>
        </w:div>
        <w:div w:id="1666543554">
          <w:marLeft w:val="0"/>
          <w:marRight w:val="0"/>
          <w:marTop w:val="0"/>
          <w:marBottom w:val="0"/>
          <w:divBdr>
            <w:top w:val="none" w:sz="0" w:space="0" w:color="auto"/>
            <w:left w:val="none" w:sz="0" w:space="0" w:color="auto"/>
            <w:bottom w:val="none" w:sz="0" w:space="0" w:color="auto"/>
            <w:right w:val="none" w:sz="0" w:space="0" w:color="auto"/>
          </w:divBdr>
        </w:div>
        <w:div w:id="1711345095">
          <w:marLeft w:val="0"/>
          <w:marRight w:val="0"/>
          <w:marTop w:val="0"/>
          <w:marBottom w:val="0"/>
          <w:divBdr>
            <w:top w:val="none" w:sz="0" w:space="0" w:color="auto"/>
            <w:left w:val="none" w:sz="0" w:space="0" w:color="auto"/>
            <w:bottom w:val="none" w:sz="0" w:space="0" w:color="auto"/>
            <w:right w:val="none" w:sz="0" w:space="0" w:color="auto"/>
          </w:divBdr>
        </w:div>
        <w:div w:id="1771507188">
          <w:marLeft w:val="0"/>
          <w:marRight w:val="0"/>
          <w:marTop w:val="0"/>
          <w:marBottom w:val="0"/>
          <w:divBdr>
            <w:top w:val="none" w:sz="0" w:space="0" w:color="auto"/>
            <w:left w:val="none" w:sz="0" w:space="0" w:color="auto"/>
            <w:bottom w:val="none" w:sz="0" w:space="0" w:color="auto"/>
            <w:right w:val="none" w:sz="0" w:space="0" w:color="auto"/>
          </w:divBdr>
        </w:div>
        <w:div w:id="1777023747">
          <w:marLeft w:val="0"/>
          <w:marRight w:val="0"/>
          <w:marTop w:val="0"/>
          <w:marBottom w:val="0"/>
          <w:divBdr>
            <w:top w:val="none" w:sz="0" w:space="0" w:color="auto"/>
            <w:left w:val="none" w:sz="0" w:space="0" w:color="auto"/>
            <w:bottom w:val="none" w:sz="0" w:space="0" w:color="auto"/>
            <w:right w:val="none" w:sz="0" w:space="0" w:color="auto"/>
          </w:divBdr>
        </w:div>
        <w:div w:id="1826120596">
          <w:marLeft w:val="0"/>
          <w:marRight w:val="0"/>
          <w:marTop w:val="0"/>
          <w:marBottom w:val="0"/>
          <w:divBdr>
            <w:top w:val="none" w:sz="0" w:space="0" w:color="auto"/>
            <w:left w:val="none" w:sz="0" w:space="0" w:color="auto"/>
            <w:bottom w:val="none" w:sz="0" w:space="0" w:color="auto"/>
            <w:right w:val="none" w:sz="0" w:space="0" w:color="auto"/>
          </w:divBdr>
        </w:div>
        <w:div w:id="1852793053">
          <w:marLeft w:val="0"/>
          <w:marRight w:val="0"/>
          <w:marTop w:val="0"/>
          <w:marBottom w:val="0"/>
          <w:divBdr>
            <w:top w:val="none" w:sz="0" w:space="0" w:color="auto"/>
            <w:left w:val="none" w:sz="0" w:space="0" w:color="auto"/>
            <w:bottom w:val="none" w:sz="0" w:space="0" w:color="auto"/>
            <w:right w:val="none" w:sz="0" w:space="0" w:color="auto"/>
          </w:divBdr>
        </w:div>
        <w:div w:id="1960527174">
          <w:marLeft w:val="0"/>
          <w:marRight w:val="0"/>
          <w:marTop w:val="0"/>
          <w:marBottom w:val="0"/>
          <w:divBdr>
            <w:top w:val="none" w:sz="0" w:space="0" w:color="auto"/>
            <w:left w:val="none" w:sz="0" w:space="0" w:color="auto"/>
            <w:bottom w:val="none" w:sz="0" w:space="0" w:color="auto"/>
            <w:right w:val="none" w:sz="0" w:space="0" w:color="auto"/>
          </w:divBdr>
        </w:div>
        <w:div w:id="1993370983">
          <w:marLeft w:val="0"/>
          <w:marRight w:val="0"/>
          <w:marTop w:val="0"/>
          <w:marBottom w:val="0"/>
          <w:divBdr>
            <w:top w:val="none" w:sz="0" w:space="0" w:color="auto"/>
            <w:left w:val="none" w:sz="0" w:space="0" w:color="auto"/>
            <w:bottom w:val="none" w:sz="0" w:space="0" w:color="auto"/>
            <w:right w:val="none" w:sz="0" w:space="0" w:color="auto"/>
          </w:divBdr>
        </w:div>
        <w:div w:id="2058235831">
          <w:marLeft w:val="0"/>
          <w:marRight w:val="0"/>
          <w:marTop w:val="0"/>
          <w:marBottom w:val="0"/>
          <w:divBdr>
            <w:top w:val="none" w:sz="0" w:space="0" w:color="auto"/>
            <w:left w:val="none" w:sz="0" w:space="0" w:color="auto"/>
            <w:bottom w:val="none" w:sz="0" w:space="0" w:color="auto"/>
            <w:right w:val="none" w:sz="0" w:space="0" w:color="auto"/>
          </w:divBdr>
        </w:div>
      </w:divsChild>
    </w:div>
    <w:div w:id="1317415004">
      <w:bodyDiv w:val="1"/>
      <w:marLeft w:val="0"/>
      <w:marRight w:val="0"/>
      <w:marTop w:val="0"/>
      <w:marBottom w:val="0"/>
      <w:divBdr>
        <w:top w:val="none" w:sz="0" w:space="0" w:color="auto"/>
        <w:left w:val="none" w:sz="0" w:space="0" w:color="auto"/>
        <w:bottom w:val="none" w:sz="0" w:space="0" w:color="auto"/>
        <w:right w:val="none" w:sz="0" w:space="0" w:color="auto"/>
      </w:divBdr>
      <w:divsChild>
        <w:div w:id="1650597106">
          <w:marLeft w:val="0"/>
          <w:marRight w:val="0"/>
          <w:marTop w:val="0"/>
          <w:marBottom w:val="0"/>
          <w:divBdr>
            <w:top w:val="none" w:sz="0" w:space="0" w:color="auto"/>
            <w:left w:val="none" w:sz="0" w:space="0" w:color="auto"/>
            <w:bottom w:val="none" w:sz="0" w:space="0" w:color="auto"/>
            <w:right w:val="none" w:sz="0" w:space="0" w:color="auto"/>
          </w:divBdr>
        </w:div>
        <w:div w:id="1837453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fimova\AppData\Roaming\Microsoft\Templates\EB_AIR\EB_AIR_WG%20(Singl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lcf76f155ced4ddcb4097134ff3c332f xmlns="99a2c2c3-fdcf-4e63-9c12-39b3de610a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FF7529-E1A7-40DD-AA41-7F94BCE3D9EF}">
  <ds:schemaRefs>
    <ds:schemaRef ds:uri="http://schemas.openxmlformats.org/officeDocument/2006/bibliography"/>
  </ds:schemaRefs>
</ds:datastoreItem>
</file>

<file path=customXml/itemProps2.xml><?xml version="1.0" encoding="utf-8"?>
<ds:datastoreItem xmlns:ds="http://schemas.openxmlformats.org/officeDocument/2006/customXml" ds:itemID="{CC519B63-5CEE-4D25-AE1A-76E4009E0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00BC84-CE94-4DEA-AADB-FF4EB06D453C}">
  <ds:schemaRefs>
    <ds:schemaRef ds:uri="http://schemas.microsoft.com/sharepoint/v3/contenttype/forms"/>
  </ds:schemaRefs>
</ds:datastoreItem>
</file>

<file path=customXml/itemProps4.xml><?xml version="1.0" encoding="utf-8"?>
<ds:datastoreItem xmlns:ds="http://schemas.openxmlformats.org/officeDocument/2006/customXml" ds:itemID="{B6B49833-6093-4DB6-875B-E0A3F694B2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EB_AIR_WG (Single)_E.dotm</Template>
  <TotalTime>19</TotalTime>
  <Pages>9</Pages>
  <Words>1613</Words>
  <Characters>10587</Characters>
  <Application>Microsoft Office Word</Application>
  <DocSecurity>0</DocSecurity>
  <Lines>589</Lines>
  <Paragraphs>131</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Trofimova</dc:creator>
  <cp:keywords/>
  <cp:lastModifiedBy>Maricar De La Cruz</cp:lastModifiedBy>
  <cp:revision>12</cp:revision>
  <cp:lastPrinted>2022-11-01T09:53:00Z</cp:lastPrinted>
  <dcterms:created xsi:type="dcterms:W3CDTF">2022-11-01T09:36:00Z</dcterms:created>
  <dcterms:modified xsi:type="dcterms:W3CDTF">2022-11-01T09:53:00Z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3c2596072928eb048587edb7896560e75c9bece9e478675ef24e86bbfdd5799e</vt:lpwstr>
  </property>
</Properties>
</file>