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6144"/>
      </w:tblGrid>
      <w:tr w:rsidR="00963CBA" w:rsidRPr="00A66CD9" w14:paraId="2CBE176E" w14:textId="77777777" w:rsidTr="00BC0574">
        <w:trPr>
          <w:trHeight w:val="851"/>
        </w:trPr>
        <w:tc>
          <w:tcPr>
            <w:tcW w:w="1259" w:type="dxa"/>
            <w:tcBorders>
              <w:top w:val="nil"/>
              <w:left w:val="nil"/>
              <w:bottom w:val="single" w:sz="4" w:space="0" w:color="auto"/>
              <w:right w:val="nil"/>
            </w:tcBorders>
            <w:shd w:val="clear" w:color="auto" w:fill="auto"/>
          </w:tcPr>
          <w:p w14:paraId="2CBE1769" w14:textId="77777777" w:rsidR="00446DE4" w:rsidRPr="00A66CD9" w:rsidRDefault="00446DE4" w:rsidP="000216CC">
            <w:pPr>
              <w:spacing w:after="80" w:line="340" w:lineRule="exact"/>
            </w:pPr>
          </w:p>
        </w:tc>
        <w:tc>
          <w:tcPr>
            <w:tcW w:w="2236" w:type="dxa"/>
            <w:tcBorders>
              <w:top w:val="nil"/>
              <w:left w:val="nil"/>
              <w:bottom w:val="single" w:sz="4" w:space="0" w:color="auto"/>
              <w:right w:val="nil"/>
            </w:tcBorders>
            <w:shd w:val="clear" w:color="auto" w:fill="auto"/>
            <w:vAlign w:val="bottom"/>
          </w:tcPr>
          <w:p w14:paraId="2CBE176A" w14:textId="77777777" w:rsidR="00446DE4" w:rsidRPr="00A66CD9" w:rsidRDefault="00446DE4" w:rsidP="000216CC">
            <w:pPr>
              <w:spacing w:after="80" w:line="340" w:lineRule="exact"/>
              <w:rPr>
                <w:sz w:val="28"/>
                <w:szCs w:val="28"/>
              </w:rPr>
            </w:pPr>
          </w:p>
        </w:tc>
        <w:tc>
          <w:tcPr>
            <w:tcW w:w="6144" w:type="dxa"/>
            <w:tcBorders>
              <w:top w:val="nil"/>
              <w:left w:val="nil"/>
              <w:bottom w:val="single" w:sz="4" w:space="0" w:color="auto"/>
              <w:right w:val="nil"/>
            </w:tcBorders>
            <w:shd w:val="clear" w:color="auto" w:fill="auto"/>
            <w:vAlign w:val="bottom"/>
          </w:tcPr>
          <w:p w14:paraId="2CBE176B" w14:textId="2C37ECE9" w:rsidR="00FC215C" w:rsidRPr="00A66CD9" w:rsidRDefault="00FC215C" w:rsidP="00FC215C">
            <w:pPr>
              <w:jc w:val="right"/>
              <w:rPr>
                <w:b/>
                <w:sz w:val="40"/>
                <w:szCs w:val="40"/>
              </w:rPr>
            </w:pPr>
            <w:r w:rsidRPr="00A66CD9">
              <w:rPr>
                <w:b/>
                <w:sz w:val="40"/>
                <w:szCs w:val="40"/>
              </w:rPr>
              <w:t>UN/SCETDG/</w:t>
            </w:r>
            <w:r w:rsidR="00DF2019" w:rsidRPr="00A66CD9">
              <w:rPr>
                <w:b/>
                <w:sz w:val="40"/>
                <w:szCs w:val="40"/>
              </w:rPr>
              <w:t>6</w:t>
            </w:r>
            <w:r w:rsidR="009D0D97" w:rsidRPr="00A66CD9">
              <w:rPr>
                <w:b/>
                <w:sz w:val="40"/>
                <w:szCs w:val="40"/>
              </w:rPr>
              <w:t>1</w:t>
            </w:r>
            <w:r w:rsidRPr="00A66CD9">
              <w:rPr>
                <w:b/>
                <w:sz w:val="40"/>
                <w:szCs w:val="40"/>
              </w:rPr>
              <w:t>/INF</w:t>
            </w:r>
            <w:r w:rsidR="00DF2019" w:rsidRPr="00A66CD9">
              <w:rPr>
                <w:b/>
                <w:sz w:val="40"/>
                <w:szCs w:val="40"/>
              </w:rPr>
              <w:t>.</w:t>
            </w:r>
            <w:r w:rsidR="009D0D97" w:rsidRPr="00A66CD9">
              <w:rPr>
                <w:b/>
                <w:sz w:val="40"/>
                <w:szCs w:val="40"/>
              </w:rPr>
              <w:t>4</w:t>
            </w:r>
            <w:r w:rsidR="003A19C8">
              <w:rPr>
                <w:b/>
                <w:sz w:val="40"/>
                <w:szCs w:val="40"/>
              </w:rPr>
              <w:t>2</w:t>
            </w:r>
          </w:p>
          <w:p w14:paraId="2CBE176C" w14:textId="66D37FDF" w:rsidR="00FC215C" w:rsidRPr="00A66CD9" w:rsidRDefault="00FC215C" w:rsidP="00FC215C">
            <w:pPr>
              <w:jc w:val="right"/>
              <w:rPr>
                <w:b/>
                <w:sz w:val="40"/>
                <w:szCs w:val="40"/>
              </w:rPr>
            </w:pPr>
            <w:r w:rsidRPr="00A66CD9">
              <w:rPr>
                <w:b/>
                <w:sz w:val="40"/>
                <w:szCs w:val="40"/>
              </w:rPr>
              <w:t>UN/SCEGHS/</w:t>
            </w:r>
            <w:r w:rsidR="00DF2019" w:rsidRPr="00A66CD9">
              <w:rPr>
                <w:b/>
                <w:sz w:val="40"/>
                <w:szCs w:val="40"/>
              </w:rPr>
              <w:t>4</w:t>
            </w:r>
            <w:r w:rsidR="009D0D97" w:rsidRPr="00A66CD9">
              <w:rPr>
                <w:b/>
                <w:sz w:val="40"/>
                <w:szCs w:val="40"/>
              </w:rPr>
              <w:t>3</w:t>
            </w:r>
            <w:r w:rsidRPr="00A66CD9">
              <w:rPr>
                <w:b/>
                <w:sz w:val="40"/>
                <w:szCs w:val="40"/>
              </w:rPr>
              <w:t>/INF.</w:t>
            </w:r>
            <w:r w:rsidR="00D26622" w:rsidRPr="00A66CD9">
              <w:rPr>
                <w:b/>
                <w:sz w:val="40"/>
                <w:szCs w:val="40"/>
              </w:rPr>
              <w:t>18</w:t>
            </w:r>
          </w:p>
          <w:p w14:paraId="2CBE176D" w14:textId="77777777" w:rsidR="000216CC" w:rsidRPr="00A66CD9" w:rsidRDefault="000216CC" w:rsidP="00497711">
            <w:pPr>
              <w:jc w:val="right"/>
            </w:pPr>
          </w:p>
        </w:tc>
      </w:tr>
    </w:tbl>
    <w:tbl>
      <w:tblPr>
        <w:tblW w:w="9645" w:type="dxa"/>
        <w:tblInd w:w="108" w:type="dxa"/>
        <w:tblLayout w:type="fixed"/>
        <w:tblLook w:val="04A0" w:firstRow="1" w:lastRow="0" w:firstColumn="1" w:lastColumn="0" w:noHBand="0" w:noVBand="1"/>
      </w:tblPr>
      <w:tblGrid>
        <w:gridCol w:w="4652"/>
        <w:gridCol w:w="4993"/>
      </w:tblGrid>
      <w:tr w:rsidR="00E1707A" w:rsidRPr="00A66CD9" w14:paraId="2CBE1771" w14:textId="77777777" w:rsidTr="00165735">
        <w:tc>
          <w:tcPr>
            <w:tcW w:w="9645" w:type="dxa"/>
            <w:gridSpan w:val="2"/>
            <w:tcMar>
              <w:top w:w="142" w:type="dxa"/>
              <w:left w:w="108" w:type="dxa"/>
              <w:bottom w:w="142" w:type="dxa"/>
              <w:right w:w="108" w:type="dxa"/>
            </w:tcMar>
          </w:tcPr>
          <w:p w14:paraId="2CBE1770" w14:textId="45ED6E1C" w:rsidR="00645A0B" w:rsidRPr="00A66CD9" w:rsidRDefault="00645A0B" w:rsidP="00F64C95">
            <w:pPr>
              <w:tabs>
                <w:tab w:val="right" w:pos="9214"/>
              </w:tabs>
            </w:pPr>
            <w:r w:rsidRPr="00A66CD9">
              <w:rPr>
                <w:b/>
                <w:sz w:val="24"/>
                <w:szCs w:val="24"/>
              </w:rPr>
              <w:t>Committee of Experts on the Transport of Dangerous Goods</w:t>
            </w:r>
            <w:r w:rsidRPr="00A66CD9">
              <w:rPr>
                <w:b/>
                <w:sz w:val="24"/>
                <w:szCs w:val="24"/>
              </w:rPr>
              <w:br/>
              <w:t>and on the Globally Harmonized System of Classification</w:t>
            </w:r>
            <w:r w:rsidRPr="00A66CD9">
              <w:rPr>
                <w:b/>
                <w:sz w:val="24"/>
                <w:szCs w:val="24"/>
              </w:rPr>
              <w:br/>
              <w:t>and Labelling of Chemicals</w:t>
            </w:r>
            <w:r w:rsidRPr="00A66CD9">
              <w:rPr>
                <w:b/>
              </w:rPr>
              <w:tab/>
            </w:r>
            <w:r w:rsidR="00D26622" w:rsidRPr="00445985">
              <w:rPr>
                <w:b/>
              </w:rPr>
              <w:t>2</w:t>
            </w:r>
            <w:r w:rsidR="008F6689" w:rsidRPr="00445985">
              <w:rPr>
                <w:b/>
              </w:rPr>
              <w:t>5</w:t>
            </w:r>
            <w:r w:rsidR="00DF2019" w:rsidRPr="00445985">
              <w:rPr>
                <w:b/>
              </w:rPr>
              <w:t xml:space="preserve"> </w:t>
            </w:r>
            <w:r w:rsidR="00D26622" w:rsidRPr="00445985">
              <w:rPr>
                <w:b/>
              </w:rPr>
              <w:t xml:space="preserve">November </w:t>
            </w:r>
            <w:r w:rsidR="00DF2019" w:rsidRPr="00445985">
              <w:rPr>
                <w:b/>
              </w:rPr>
              <w:t>2022</w:t>
            </w:r>
          </w:p>
        </w:tc>
      </w:tr>
      <w:tr w:rsidR="00645A0B" w:rsidRPr="00A66CD9" w14:paraId="2CBE1774" w14:textId="77777777" w:rsidTr="00165735">
        <w:tc>
          <w:tcPr>
            <w:tcW w:w="4652" w:type="dxa"/>
            <w:tcMar>
              <w:top w:w="57" w:type="dxa"/>
              <w:left w:w="108" w:type="dxa"/>
              <w:bottom w:w="0" w:type="dxa"/>
              <w:right w:w="108" w:type="dxa"/>
            </w:tcMar>
            <w:vAlign w:val="center"/>
          </w:tcPr>
          <w:p w14:paraId="2CBE1772" w14:textId="77777777" w:rsidR="00645A0B" w:rsidRPr="00A66CD9" w:rsidRDefault="00645A0B" w:rsidP="00165735">
            <w:pPr>
              <w:spacing w:before="120"/>
              <w:rPr>
                <w:b/>
              </w:rPr>
            </w:pPr>
            <w:r w:rsidRPr="00A66CD9">
              <w:rPr>
                <w:b/>
              </w:rPr>
              <w:t xml:space="preserve">Sub-Committee of Experts on the </w:t>
            </w:r>
            <w:r w:rsidRPr="00A66CD9">
              <w:rPr>
                <w:b/>
              </w:rPr>
              <w:br/>
              <w:t xml:space="preserve">Transport of Dangerous Goods </w:t>
            </w:r>
          </w:p>
        </w:tc>
        <w:tc>
          <w:tcPr>
            <w:tcW w:w="4993" w:type="dxa"/>
            <w:tcMar>
              <w:top w:w="57" w:type="dxa"/>
              <w:left w:w="108" w:type="dxa"/>
              <w:bottom w:w="0" w:type="dxa"/>
              <w:right w:w="108" w:type="dxa"/>
            </w:tcMar>
            <w:vAlign w:val="center"/>
          </w:tcPr>
          <w:p w14:paraId="2CBE1773" w14:textId="77777777" w:rsidR="00645A0B" w:rsidRPr="00A66CD9" w:rsidRDefault="00645A0B" w:rsidP="00165735">
            <w:pPr>
              <w:spacing w:before="120"/>
              <w:rPr>
                <w:b/>
              </w:rPr>
            </w:pPr>
            <w:r w:rsidRPr="00A66CD9">
              <w:rPr>
                <w:b/>
              </w:rPr>
              <w:t>Sub-Committee of Experts on the Globally Harmonized System of Classification and Labelling of Chemicals</w:t>
            </w:r>
          </w:p>
        </w:tc>
      </w:tr>
      <w:tr w:rsidR="00645A0B" w:rsidRPr="00A66CD9" w14:paraId="2CBE1777" w14:textId="77777777" w:rsidTr="00165735">
        <w:tc>
          <w:tcPr>
            <w:tcW w:w="4652" w:type="dxa"/>
            <w:tcMar>
              <w:top w:w="57" w:type="dxa"/>
              <w:left w:w="108" w:type="dxa"/>
              <w:bottom w:w="0" w:type="dxa"/>
              <w:right w:w="108" w:type="dxa"/>
            </w:tcMar>
          </w:tcPr>
          <w:p w14:paraId="2CBE1775" w14:textId="18355921" w:rsidR="00645A0B" w:rsidRPr="00A66CD9" w:rsidRDefault="003F750C" w:rsidP="00F64C95">
            <w:pPr>
              <w:spacing w:before="120"/>
              <w:ind w:left="34" w:hanging="34"/>
              <w:rPr>
                <w:b/>
              </w:rPr>
            </w:pPr>
            <w:r w:rsidRPr="00A66CD9">
              <w:rPr>
                <w:b/>
                <w:bCs/>
              </w:rPr>
              <w:t>Sixty-first session</w:t>
            </w:r>
          </w:p>
        </w:tc>
        <w:tc>
          <w:tcPr>
            <w:tcW w:w="4993" w:type="dxa"/>
            <w:tcMar>
              <w:top w:w="57" w:type="dxa"/>
              <w:left w:w="108" w:type="dxa"/>
              <w:bottom w:w="0" w:type="dxa"/>
              <w:right w:w="108" w:type="dxa"/>
            </w:tcMar>
          </w:tcPr>
          <w:p w14:paraId="2CBE1776" w14:textId="52BFE733" w:rsidR="00645A0B" w:rsidRPr="00A66CD9" w:rsidRDefault="00362334" w:rsidP="00E63DE8">
            <w:pPr>
              <w:spacing w:before="120"/>
              <w:ind w:left="34" w:hanging="34"/>
              <w:rPr>
                <w:b/>
              </w:rPr>
            </w:pPr>
            <w:r w:rsidRPr="00A66CD9">
              <w:rPr>
                <w:b/>
              </w:rPr>
              <w:t>Forty-</w:t>
            </w:r>
            <w:r w:rsidR="008A1598" w:rsidRPr="00A66CD9">
              <w:rPr>
                <w:b/>
              </w:rPr>
              <w:t xml:space="preserve">third </w:t>
            </w:r>
            <w:r w:rsidRPr="00A66CD9">
              <w:rPr>
                <w:b/>
              </w:rPr>
              <w:t>session</w:t>
            </w:r>
          </w:p>
        </w:tc>
      </w:tr>
      <w:tr w:rsidR="00645A0B" w:rsidRPr="00A66CD9" w14:paraId="2CBE177F" w14:textId="77777777" w:rsidTr="00165735">
        <w:tc>
          <w:tcPr>
            <w:tcW w:w="4652" w:type="dxa"/>
            <w:tcMar>
              <w:top w:w="28" w:type="dxa"/>
              <w:left w:w="108" w:type="dxa"/>
              <w:bottom w:w="0" w:type="dxa"/>
              <w:right w:w="108" w:type="dxa"/>
            </w:tcMar>
          </w:tcPr>
          <w:p w14:paraId="0A9A3D26" w14:textId="4448DE07" w:rsidR="006A4C67" w:rsidRPr="00A66CD9" w:rsidRDefault="00282D44" w:rsidP="006A4C67">
            <w:r w:rsidRPr="00A66CD9">
              <w:t>Geneva, 2</w:t>
            </w:r>
            <w:r w:rsidR="00922DEF" w:rsidRPr="00A66CD9">
              <w:t>8</w:t>
            </w:r>
            <w:r w:rsidRPr="00A66CD9">
              <w:t xml:space="preserve"> </w:t>
            </w:r>
            <w:r w:rsidR="00922DEF" w:rsidRPr="00A66CD9">
              <w:t>November</w:t>
            </w:r>
            <w:r w:rsidRPr="00A66CD9">
              <w:t xml:space="preserve">-6 </w:t>
            </w:r>
            <w:r w:rsidR="00922DEF" w:rsidRPr="00A66CD9">
              <w:t xml:space="preserve">December </w:t>
            </w:r>
            <w:r w:rsidRPr="00A66CD9">
              <w:t>2022</w:t>
            </w:r>
            <w:r w:rsidR="006A4C67" w:rsidRPr="00A66CD9">
              <w:br/>
              <w:t xml:space="preserve">Item </w:t>
            </w:r>
            <w:r w:rsidR="0084737B" w:rsidRPr="00A66CD9">
              <w:t>10</w:t>
            </w:r>
            <w:r w:rsidR="003B656D" w:rsidRPr="00A66CD9">
              <w:t xml:space="preserve"> (c)</w:t>
            </w:r>
            <w:r w:rsidR="006A4C67" w:rsidRPr="00A66CD9">
              <w:t xml:space="preserve"> of the provisional agenda</w:t>
            </w:r>
          </w:p>
          <w:p w14:paraId="2CBE177A" w14:textId="57359470" w:rsidR="00645A0B" w:rsidRPr="00A66CD9" w:rsidRDefault="0084737B" w:rsidP="0042348E">
            <w:pPr>
              <w:spacing w:before="40"/>
              <w:ind w:left="-18" w:firstLine="18"/>
              <w:rPr>
                <w:b/>
                <w:bCs/>
              </w:rPr>
            </w:pPr>
            <w:r w:rsidRPr="00A66CD9">
              <w:rPr>
                <w:b/>
                <w:bCs/>
              </w:rPr>
              <w:t>Issues relating to the Globally Harmonized System:</w:t>
            </w:r>
            <w:r w:rsidRPr="00A66CD9">
              <w:rPr>
                <w:b/>
                <w:bCs/>
              </w:rPr>
              <w:br/>
              <w:t xml:space="preserve">miscellaneous </w:t>
            </w:r>
          </w:p>
        </w:tc>
        <w:tc>
          <w:tcPr>
            <w:tcW w:w="4993" w:type="dxa"/>
            <w:tcMar>
              <w:top w:w="28" w:type="dxa"/>
              <w:left w:w="108" w:type="dxa"/>
              <w:bottom w:w="0" w:type="dxa"/>
              <w:right w:w="108" w:type="dxa"/>
            </w:tcMar>
          </w:tcPr>
          <w:p w14:paraId="76D7D06D" w14:textId="29D65BE0" w:rsidR="007C4B64" w:rsidRPr="00A66CD9" w:rsidRDefault="00440CA9" w:rsidP="007C4B64">
            <w:r w:rsidRPr="00A66CD9">
              <w:t xml:space="preserve">Geneva, </w:t>
            </w:r>
            <w:r w:rsidR="008A1598" w:rsidRPr="00A66CD9">
              <w:t>7</w:t>
            </w:r>
            <w:r w:rsidRPr="00A66CD9">
              <w:t>-</w:t>
            </w:r>
            <w:r w:rsidR="008A1598" w:rsidRPr="00A66CD9">
              <w:t>9</w:t>
            </w:r>
            <w:r w:rsidRPr="00A66CD9">
              <w:t xml:space="preserve"> </w:t>
            </w:r>
            <w:r w:rsidR="008A1598" w:rsidRPr="00A66CD9">
              <w:t xml:space="preserve">December </w:t>
            </w:r>
            <w:r w:rsidRPr="00A66CD9">
              <w:t>2022</w:t>
            </w:r>
            <w:r w:rsidR="007C4B64" w:rsidRPr="00A66CD9">
              <w:br/>
              <w:t xml:space="preserve">Item </w:t>
            </w:r>
            <w:r w:rsidR="008A1598" w:rsidRPr="00A66CD9">
              <w:t>3</w:t>
            </w:r>
            <w:r w:rsidR="003B656D" w:rsidRPr="00A66CD9">
              <w:t xml:space="preserve"> (</w:t>
            </w:r>
            <w:r w:rsidR="008A1598" w:rsidRPr="00A66CD9">
              <w:t>i</w:t>
            </w:r>
            <w:r w:rsidR="003B656D" w:rsidRPr="00A66CD9">
              <w:t>)</w:t>
            </w:r>
            <w:r w:rsidR="007C4B64" w:rsidRPr="00A66CD9">
              <w:t xml:space="preserve"> of the provisional agenda</w:t>
            </w:r>
          </w:p>
          <w:p w14:paraId="2CBE177E" w14:textId="37E6F86B" w:rsidR="00645A0B" w:rsidRPr="00A66CD9" w:rsidRDefault="00217BB8" w:rsidP="006D51B8">
            <w:pPr>
              <w:rPr>
                <w:b/>
                <w:bCs/>
              </w:rPr>
            </w:pPr>
            <w:r w:rsidRPr="00A66CD9">
              <w:rPr>
                <w:b/>
              </w:rPr>
              <w:t>Work on the Globally Harmonized System of Classification and Labelling of Chemicals: other matters</w:t>
            </w:r>
          </w:p>
        </w:tc>
      </w:tr>
    </w:tbl>
    <w:p w14:paraId="3398DECC" w14:textId="76DCF2BD" w:rsidR="00443E39" w:rsidRPr="00A66CD9" w:rsidRDefault="008A2EF9" w:rsidP="008A2EF9">
      <w:pPr>
        <w:pStyle w:val="HChG"/>
        <w:rPr>
          <w:rFonts w:eastAsia="MS Mincho"/>
          <w:lang w:val="en-GB" w:eastAsia="ja-JP"/>
        </w:rPr>
      </w:pPr>
      <w:r w:rsidRPr="00A66CD9">
        <w:rPr>
          <w:lang w:val="en-GB"/>
        </w:rPr>
        <w:tab/>
      </w:r>
      <w:r w:rsidRPr="00A66CD9">
        <w:rPr>
          <w:lang w:val="en-GB"/>
        </w:rPr>
        <w:tab/>
      </w:r>
      <w:r w:rsidR="006E599F" w:rsidRPr="00A66CD9">
        <w:rPr>
          <w:lang w:val="en-GB"/>
        </w:rPr>
        <w:t>Comments on document</w:t>
      </w:r>
      <w:r w:rsidR="001E29A7" w:rsidRPr="00A66CD9">
        <w:rPr>
          <w:lang w:val="en-GB"/>
        </w:rPr>
        <w:t>s</w:t>
      </w:r>
      <w:r w:rsidR="006E599F" w:rsidRPr="00A66CD9">
        <w:rPr>
          <w:lang w:val="en-GB"/>
        </w:rPr>
        <w:t xml:space="preserve"> ST/SG/AC.10/C.3/2022/50 − ST/SG/AC.10/C.4/2022/10</w:t>
      </w:r>
      <w:r w:rsidR="001E29A7" w:rsidRPr="00A66CD9">
        <w:rPr>
          <w:lang w:val="en-GB"/>
        </w:rPr>
        <w:t xml:space="preserve"> and informal documents INF.</w:t>
      </w:r>
      <w:r w:rsidR="00646BF2" w:rsidRPr="00A66CD9">
        <w:rPr>
          <w:lang w:val="en-GB"/>
        </w:rPr>
        <w:t>20 (TDG) – INF.12 (GHS)</w:t>
      </w:r>
      <w:r w:rsidRPr="00A66CD9">
        <w:rPr>
          <w:lang w:val="en-GB"/>
        </w:rPr>
        <w:t xml:space="preserve">: </w:t>
      </w:r>
      <w:r w:rsidRPr="00A66CD9">
        <w:rPr>
          <w:rFonts w:eastAsia="MS Mincho"/>
          <w:lang w:val="en-GB" w:eastAsia="ja-JP"/>
        </w:rPr>
        <w:t>C</w:t>
      </w:r>
      <w:r w:rsidRPr="00A66CD9">
        <w:rPr>
          <w:lang w:val="en-GB"/>
        </w:rPr>
        <w:t>lassification of desensitized explosives according to the GHS</w:t>
      </w:r>
    </w:p>
    <w:p w14:paraId="0AA7FF5F" w14:textId="217D53F5" w:rsidR="00443E39" w:rsidRPr="00A66CD9" w:rsidRDefault="00443E39" w:rsidP="006E599F">
      <w:pPr>
        <w:pStyle w:val="H1G"/>
        <w:rPr>
          <w:lang w:eastAsia="ja-JP"/>
        </w:rPr>
      </w:pPr>
      <w:r w:rsidRPr="00A66CD9">
        <w:rPr>
          <w:lang w:eastAsia="ja-JP"/>
        </w:rPr>
        <w:tab/>
      </w:r>
      <w:r w:rsidRPr="00A66CD9">
        <w:rPr>
          <w:lang w:eastAsia="ja-JP"/>
        </w:rPr>
        <w:tab/>
        <w:t xml:space="preserve">Transmitted by the expert from </w:t>
      </w:r>
      <w:r w:rsidR="006E599F" w:rsidRPr="00A66CD9">
        <w:rPr>
          <w:lang w:eastAsia="ja-JP"/>
        </w:rPr>
        <w:t>the United Kingdom</w:t>
      </w:r>
    </w:p>
    <w:p w14:paraId="5C8EA9DD" w14:textId="7F513D7C" w:rsidR="0029596A" w:rsidRPr="00A66CD9" w:rsidRDefault="0029596A" w:rsidP="0029596A">
      <w:pPr>
        <w:pStyle w:val="HChG"/>
        <w:rPr>
          <w:lang w:val="en-GB"/>
        </w:rPr>
      </w:pPr>
      <w:r w:rsidRPr="00A66CD9">
        <w:rPr>
          <w:lang w:val="en-GB"/>
        </w:rPr>
        <w:tab/>
      </w:r>
      <w:r w:rsidRPr="00A66CD9">
        <w:rPr>
          <w:lang w:val="en-GB"/>
        </w:rPr>
        <w:tab/>
        <w:t>Introduction</w:t>
      </w:r>
    </w:p>
    <w:p w14:paraId="5BE709BA" w14:textId="7A438266" w:rsidR="004A413F" w:rsidRPr="00A66CD9" w:rsidRDefault="0029596A" w:rsidP="0029596A">
      <w:pPr>
        <w:pStyle w:val="SingleTxtG"/>
        <w:rPr>
          <w:lang w:val="en-GB"/>
        </w:rPr>
      </w:pPr>
      <w:r w:rsidRPr="00A66CD9">
        <w:rPr>
          <w:lang w:val="en-GB"/>
        </w:rPr>
        <w:t>1.</w:t>
      </w:r>
      <w:r w:rsidRPr="00A66CD9">
        <w:rPr>
          <w:lang w:val="en-GB"/>
        </w:rPr>
        <w:tab/>
        <w:t xml:space="preserve">The expert from the United Kingdom supports in principle the proposal in ST/SG/AC.10/C.3/2022/50 − ST/SG/AC.10/C.4/2022/10. </w:t>
      </w:r>
      <w:r w:rsidR="00FB4910" w:rsidRPr="00A66CD9">
        <w:rPr>
          <w:lang w:val="en-GB"/>
        </w:rPr>
        <w:t>The expert from the United Kingdom also notes the matters transmitted by the Australasian Explosives Industry Safety Group (AEISG) in informal document INF.20 (TDG) -</w:t>
      </w:r>
      <w:r w:rsidR="00FB4910" w:rsidRPr="00A66CD9" w:rsidDel="0076725C">
        <w:rPr>
          <w:lang w:val="en-GB"/>
        </w:rPr>
        <w:t xml:space="preserve"> </w:t>
      </w:r>
      <w:r w:rsidR="00FB4910" w:rsidRPr="00A66CD9">
        <w:rPr>
          <w:lang w:val="en-GB"/>
        </w:rPr>
        <w:t xml:space="preserve">INF.12 (GHS) and </w:t>
      </w:r>
      <w:proofErr w:type="gramStart"/>
      <w:r w:rsidR="00FB4910" w:rsidRPr="00A66CD9">
        <w:rPr>
          <w:lang w:val="en-GB"/>
        </w:rPr>
        <w:t>in particular the</w:t>
      </w:r>
      <w:proofErr w:type="gramEnd"/>
      <w:r w:rsidR="00FB4910" w:rsidRPr="00A66CD9">
        <w:rPr>
          <w:lang w:val="en-GB"/>
        </w:rPr>
        <w:t xml:space="preserve"> significance and the improved clarity introduced </w:t>
      </w:r>
      <w:r w:rsidR="001044DB" w:rsidRPr="00A66CD9">
        <w:rPr>
          <w:lang w:val="en-GB"/>
        </w:rPr>
        <w:t xml:space="preserve">by the suggested changes associated with </w:t>
      </w:r>
      <w:r w:rsidR="00FB4910" w:rsidRPr="00A66CD9">
        <w:rPr>
          <w:lang w:val="en-GB"/>
        </w:rPr>
        <w:t>issues 3 and 4.</w:t>
      </w:r>
    </w:p>
    <w:p w14:paraId="681767E9" w14:textId="5539938C" w:rsidR="0029596A" w:rsidRPr="00A66CD9" w:rsidRDefault="0099284F" w:rsidP="00950292">
      <w:pPr>
        <w:pStyle w:val="SingleTxtG"/>
        <w:rPr>
          <w:lang w:val="en-GB"/>
        </w:rPr>
      </w:pPr>
      <w:r w:rsidRPr="00A66CD9">
        <w:rPr>
          <w:lang w:val="en-GB"/>
        </w:rPr>
        <w:t>2.</w:t>
      </w:r>
      <w:r w:rsidRPr="00A66CD9">
        <w:rPr>
          <w:lang w:val="en-GB"/>
        </w:rPr>
        <w:tab/>
      </w:r>
      <w:r w:rsidR="0029596A" w:rsidRPr="00A66CD9">
        <w:rPr>
          <w:lang w:val="en-GB"/>
        </w:rPr>
        <w:t xml:space="preserve">However, the United Kingdom believes that the </w:t>
      </w:r>
      <w:r w:rsidR="00F40783" w:rsidRPr="00A66CD9">
        <w:rPr>
          <w:lang w:val="en-GB"/>
        </w:rPr>
        <w:t xml:space="preserve">proposal </w:t>
      </w:r>
      <w:r w:rsidR="0029596A" w:rsidRPr="00A66CD9">
        <w:rPr>
          <w:lang w:val="en-GB"/>
        </w:rPr>
        <w:t xml:space="preserve">as presented </w:t>
      </w:r>
      <w:r w:rsidR="00F40783" w:rsidRPr="00A66CD9">
        <w:rPr>
          <w:lang w:val="en-GB"/>
        </w:rPr>
        <w:t>in ST/SG/AC.10/C.3/2022/50 − ST/SG/AC.10/C.4/2022/10</w:t>
      </w:r>
      <w:r w:rsidR="00E56863" w:rsidRPr="00A66CD9">
        <w:rPr>
          <w:lang w:val="en-GB"/>
        </w:rPr>
        <w:t xml:space="preserve"> </w:t>
      </w:r>
      <w:r w:rsidR="000B55E5">
        <w:rPr>
          <w:lang w:val="en-GB"/>
        </w:rPr>
        <w:t xml:space="preserve">could be further improved </w:t>
      </w:r>
      <w:r w:rsidR="00950292">
        <w:rPr>
          <w:lang w:val="en-GB"/>
        </w:rPr>
        <w:t>for clarity</w:t>
      </w:r>
      <w:r w:rsidR="00CD6C27" w:rsidRPr="00A66CD9">
        <w:rPr>
          <w:lang w:val="en-GB"/>
        </w:rPr>
        <w:t xml:space="preserve">. </w:t>
      </w:r>
      <w:r w:rsidR="0029596A" w:rsidRPr="00A66CD9">
        <w:rPr>
          <w:lang w:val="en-GB"/>
        </w:rPr>
        <w:t xml:space="preserve">The </w:t>
      </w:r>
      <w:r w:rsidR="004B0E8D" w:rsidRPr="00A66CD9">
        <w:rPr>
          <w:lang w:val="en-GB"/>
        </w:rPr>
        <w:t xml:space="preserve">proposed </w:t>
      </w:r>
      <w:r w:rsidR="0029596A" w:rsidRPr="00A66CD9">
        <w:rPr>
          <w:lang w:val="en-GB"/>
        </w:rPr>
        <w:t xml:space="preserve">improvements </w:t>
      </w:r>
      <w:r w:rsidR="00CD6C4E" w:rsidRPr="00A66CD9">
        <w:rPr>
          <w:lang w:val="en-GB"/>
        </w:rPr>
        <w:t>to</w:t>
      </w:r>
      <w:r w:rsidR="0076554F" w:rsidRPr="00A66CD9">
        <w:rPr>
          <w:lang w:val="en-GB"/>
        </w:rPr>
        <w:t xml:space="preserve"> </w:t>
      </w:r>
      <w:r w:rsidR="0029596A" w:rsidRPr="00A66CD9">
        <w:rPr>
          <w:lang w:val="en-GB"/>
        </w:rPr>
        <w:t xml:space="preserve">Chapter 2.17 </w:t>
      </w:r>
      <w:r w:rsidR="0076554F" w:rsidRPr="00A66CD9">
        <w:rPr>
          <w:lang w:val="en-GB"/>
        </w:rPr>
        <w:t xml:space="preserve">(paragraphs 2.17.2 and 2.17.4.1) and </w:t>
      </w:r>
      <w:r w:rsidR="0029596A" w:rsidRPr="00A66CD9">
        <w:rPr>
          <w:lang w:val="en-GB"/>
        </w:rPr>
        <w:t>Section 51 of the Manual of Tests and Criteria are presented below for consideration by the sub-committees.</w:t>
      </w:r>
    </w:p>
    <w:p w14:paraId="64FA53AC" w14:textId="039133B0" w:rsidR="0029596A" w:rsidRPr="00A66CD9" w:rsidRDefault="0076554F" w:rsidP="0029596A">
      <w:pPr>
        <w:pStyle w:val="SingleTxtG"/>
        <w:rPr>
          <w:lang w:val="en-GB"/>
        </w:rPr>
      </w:pPr>
      <w:r w:rsidRPr="00A66CD9">
        <w:rPr>
          <w:lang w:val="en-GB"/>
        </w:rPr>
        <w:t>3.</w:t>
      </w:r>
      <w:r w:rsidRPr="00A66CD9">
        <w:rPr>
          <w:lang w:val="en-GB"/>
        </w:rPr>
        <w:tab/>
      </w:r>
      <w:r w:rsidR="0029596A" w:rsidRPr="00A66CD9">
        <w:rPr>
          <w:lang w:val="en-GB"/>
        </w:rPr>
        <w:t>Further, if the AEISG proposed text for the note beneath 2.17.2.</w:t>
      </w:r>
      <w:r w:rsidR="00AE25D3" w:rsidRPr="00A66CD9">
        <w:rPr>
          <w:lang w:val="en-GB"/>
        </w:rPr>
        <w:t>3</w:t>
      </w:r>
      <w:r w:rsidR="0029596A" w:rsidRPr="00A66CD9">
        <w:rPr>
          <w:lang w:val="en-GB"/>
        </w:rPr>
        <w:t xml:space="preserve"> was not accepted, the expert from the United Kingdom </w:t>
      </w:r>
      <w:r w:rsidR="00CD6C4E" w:rsidRPr="00A66CD9">
        <w:rPr>
          <w:lang w:val="en-GB"/>
        </w:rPr>
        <w:t>proposes</w:t>
      </w:r>
      <w:r w:rsidR="0029596A" w:rsidRPr="00A66CD9">
        <w:rPr>
          <w:lang w:val="en-GB"/>
        </w:rPr>
        <w:t xml:space="preserve"> </w:t>
      </w:r>
      <w:r w:rsidR="00CD6C4E" w:rsidRPr="00A66CD9">
        <w:rPr>
          <w:lang w:val="en-GB"/>
        </w:rPr>
        <w:t xml:space="preserve">an </w:t>
      </w:r>
      <w:r w:rsidR="0029596A" w:rsidRPr="00A66CD9">
        <w:rPr>
          <w:lang w:val="en-GB"/>
        </w:rPr>
        <w:t>alternative text</w:t>
      </w:r>
      <w:r w:rsidR="00FF0A2D" w:rsidRPr="00A66CD9">
        <w:rPr>
          <w:lang w:val="en-GB"/>
        </w:rPr>
        <w:t xml:space="preserve"> as indicated in the</w:t>
      </w:r>
      <w:r w:rsidR="0029596A" w:rsidRPr="00A66CD9">
        <w:rPr>
          <w:lang w:val="en-GB"/>
        </w:rPr>
        <w:t xml:space="preserve"> proposal below.</w:t>
      </w:r>
    </w:p>
    <w:p w14:paraId="289ACB30" w14:textId="6C0033A5" w:rsidR="00D17FFD" w:rsidRPr="00A66CD9" w:rsidRDefault="00D17FFD" w:rsidP="00FF1502">
      <w:pPr>
        <w:pStyle w:val="HChG"/>
        <w:rPr>
          <w:lang w:val="en-GB"/>
        </w:rPr>
      </w:pPr>
      <w:r w:rsidRPr="00A66CD9">
        <w:rPr>
          <w:lang w:val="en-GB"/>
        </w:rPr>
        <w:tab/>
      </w:r>
      <w:r w:rsidR="00CD6C4E" w:rsidRPr="00A66CD9">
        <w:rPr>
          <w:lang w:val="en-GB"/>
        </w:rPr>
        <w:tab/>
      </w:r>
      <w:r w:rsidR="00CD6C4E" w:rsidRPr="00A66CD9">
        <w:rPr>
          <w:lang w:val="en-GB"/>
        </w:rPr>
        <w:tab/>
      </w:r>
      <w:r w:rsidRPr="00A66CD9">
        <w:rPr>
          <w:lang w:val="en-GB"/>
        </w:rPr>
        <w:t>Proposal</w:t>
      </w:r>
    </w:p>
    <w:p w14:paraId="66E3882F" w14:textId="2ACA34BE" w:rsidR="00846AB0" w:rsidRPr="00A66CD9" w:rsidRDefault="0079158D" w:rsidP="00F47657">
      <w:pPr>
        <w:pStyle w:val="SingleTxtG"/>
        <w:rPr>
          <w:lang w:val="en-GB"/>
        </w:rPr>
      </w:pPr>
      <w:r w:rsidRPr="00A66CD9">
        <w:rPr>
          <w:lang w:val="en-GB"/>
        </w:rPr>
        <w:t>4.</w:t>
      </w:r>
      <w:r w:rsidRPr="00A66CD9">
        <w:rPr>
          <w:lang w:val="en-GB"/>
        </w:rPr>
        <w:tab/>
      </w:r>
      <w:r w:rsidR="00173B3C" w:rsidRPr="00A66CD9">
        <w:rPr>
          <w:lang w:val="en-GB"/>
        </w:rPr>
        <w:t xml:space="preserve">The text below takes account of the amendments proposed by Germany and </w:t>
      </w:r>
      <w:r w:rsidR="007D201D" w:rsidRPr="00A66CD9">
        <w:rPr>
          <w:lang w:val="en-GB"/>
        </w:rPr>
        <w:t xml:space="preserve">the United States of America </w:t>
      </w:r>
      <w:r w:rsidR="00173B3C" w:rsidRPr="00A66CD9">
        <w:rPr>
          <w:lang w:val="en-GB"/>
        </w:rPr>
        <w:t>in document ST/SG/AC.10/C.3/2022/50 − ST/SG/AC.10/C.4/2022/10</w:t>
      </w:r>
      <w:r w:rsidR="00846AB0" w:rsidRPr="00A66CD9">
        <w:rPr>
          <w:lang w:val="en-GB"/>
        </w:rPr>
        <w:t xml:space="preserve">, </w:t>
      </w:r>
      <w:r w:rsidR="00F47657" w:rsidRPr="00A66CD9">
        <w:rPr>
          <w:lang w:val="en-GB"/>
        </w:rPr>
        <w:t xml:space="preserve">as well as those proposed </w:t>
      </w:r>
      <w:r w:rsidR="00846AB0" w:rsidRPr="00A66CD9">
        <w:rPr>
          <w:lang w:val="en-GB"/>
        </w:rPr>
        <w:t xml:space="preserve">by </w:t>
      </w:r>
      <w:r w:rsidR="007D201D" w:rsidRPr="00A66CD9">
        <w:rPr>
          <w:lang w:val="en-GB"/>
        </w:rPr>
        <w:t>AEISG in informal document INF.20 (TDG) – INF.12 (GHS)</w:t>
      </w:r>
      <w:r w:rsidR="00E43050" w:rsidRPr="00A66CD9">
        <w:rPr>
          <w:lang w:val="en-GB"/>
        </w:rPr>
        <w:t xml:space="preserve">. </w:t>
      </w:r>
    </w:p>
    <w:p w14:paraId="2C237870" w14:textId="77777777" w:rsidR="00E1105D" w:rsidRPr="00A66CD9" w:rsidRDefault="00846AB0" w:rsidP="0002050F">
      <w:pPr>
        <w:pStyle w:val="SingleTxtG"/>
        <w:rPr>
          <w:lang w:val="en-GB"/>
        </w:rPr>
      </w:pPr>
      <w:r w:rsidRPr="00A66CD9">
        <w:rPr>
          <w:lang w:val="en-GB"/>
        </w:rPr>
        <w:t>5.</w:t>
      </w:r>
      <w:r w:rsidRPr="00A66CD9">
        <w:rPr>
          <w:lang w:val="en-GB"/>
        </w:rPr>
        <w:tab/>
      </w:r>
      <w:r w:rsidR="00B908FC" w:rsidRPr="00A66CD9">
        <w:rPr>
          <w:lang w:val="en-GB"/>
        </w:rPr>
        <w:t>The a</w:t>
      </w:r>
      <w:r w:rsidR="007D201D" w:rsidRPr="00A66CD9">
        <w:rPr>
          <w:lang w:val="en-GB"/>
        </w:rPr>
        <w:t xml:space="preserve">dditional </w:t>
      </w:r>
      <w:r w:rsidR="00B908FC" w:rsidRPr="00A66CD9">
        <w:rPr>
          <w:lang w:val="en-GB"/>
        </w:rPr>
        <w:t>editorial improvements proposed by the expert from the United Kingdom</w:t>
      </w:r>
      <w:r w:rsidR="007D201D" w:rsidRPr="00A66CD9">
        <w:rPr>
          <w:lang w:val="en-GB"/>
        </w:rPr>
        <w:t xml:space="preserve"> to the proposals therein are </w:t>
      </w:r>
      <w:r w:rsidR="00E1105D" w:rsidRPr="00A66CD9">
        <w:rPr>
          <w:lang w:val="en-GB"/>
        </w:rPr>
        <w:t xml:space="preserve">listed below. </w:t>
      </w:r>
    </w:p>
    <w:p w14:paraId="546A3E66" w14:textId="09E8D42B" w:rsidR="007D201D" w:rsidRPr="00A66CD9" w:rsidRDefault="00E1105D" w:rsidP="00EE7D34">
      <w:pPr>
        <w:pStyle w:val="SingleTxtG"/>
        <w:rPr>
          <w:lang w:val="en-GB"/>
        </w:rPr>
      </w:pPr>
      <w:r w:rsidRPr="00A66CD9">
        <w:rPr>
          <w:lang w:val="en-GB"/>
        </w:rPr>
        <w:t>6.</w:t>
      </w:r>
      <w:r w:rsidRPr="00A66CD9">
        <w:rPr>
          <w:lang w:val="en-GB"/>
        </w:rPr>
        <w:tab/>
        <w:t xml:space="preserve">The </w:t>
      </w:r>
      <w:r w:rsidR="00EE7D34" w:rsidRPr="00A66CD9">
        <w:rPr>
          <w:lang w:val="en-GB"/>
        </w:rPr>
        <w:t xml:space="preserve">consolidated </w:t>
      </w:r>
      <w:r w:rsidRPr="00A66CD9">
        <w:rPr>
          <w:lang w:val="en-GB"/>
        </w:rPr>
        <w:t xml:space="preserve">text of Chapter 2.17 of the GHS and </w:t>
      </w:r>
      <w:r w:rsidR="00EE7D34" w:rsidRPr="00A66CD9">
        <w:rPr>
          <w:lang w:val="en-GB"/>
        </w:rPr>
        <w:t>the relevant parts of s</w:t>
      </w:r>
      <w:r w:rsidRPr="00A66CD9">
        <w:rPr>
          <w:lang w:val="en-GB"/>
        </w:rPr>
        <w:t xml:space="preserve">ection 51 of the Manual of Tests and Criteria, showing the proposed amendments </w:t>
      </w:r>
      <w:r w:rsidR="00286532" w:rsidRPr="00A66CD9">
        <w:rPr>
          <w:lang w:val="en-GB"/>
        </w:rPr>
        <w:t>is provided in the annex to this document.</w:t>
      </w:r>
    </w:p>
    <w:p w14:paraId="39A316BC" w14:textId="5D84886C" w:rsidR="00D065C6" w:rsidRPr="00A66CD9" w:rsidRDefault="00E04108" w:rsidP="00FF1502">
      <w:pPr>
        <w:pStyle w:val="H1G"/>
      </w:pPr>
      <w:r w:rsidRPr="00A66CD9">
        <w:lastRenderedPageBreak/>
        <w:tab/>
      </w:r>
      <w:r w:rsidRPr="00A66CD9">
        <w:tab/>
      </w:r>
      <w:r w:rsidR="00D065C6" w:rsidRPr="00A66CD9">
        <w:t>Amendments to Chapter 2.17</w:t>
      </w:r>
      <w:r w:rsidR="00FF1502" w:rsidRPr="00A66CD9">
        <w:t xml:space="preserve"> of the GHS</w:t>
      </w:r>
    </w:p>
    <w:p w14:paraId="2D1B6E5D" w14:textId="66BD5833" w:rsidR="00E22B67" w:rsidRPr="00A66CD9" w:rsidRDefault="00E04108" w:rsidP="00E22B67">
      <w:pPr>
        <w:pStyle w:val="SingleTxtG"/>
        <w:rPr>
          <w:lang w:val="en-GB"/>
        </w:rPr>
      </w:pPr>
      <w:r w:rsidRPr="00A66CD9">
        <w:rPr>
          <w:lang w:val="en-GB"/>
        </w:rPr>
        <w:tab/>
      </w:r>
      <w:r w:rsidR="007B6BC7" w:rsidRPr="00A66CD9">
        <w:rPr>
          <w:lang w:val="en-GB"/>
        </w:rPr>
        <w:t>7.</w:t>
      </w:r>
      <w:r w:rsidR="007B6BC7" w:rsidRPr="00A66CD9">
        <w:rPr>
          <w:lang w:val="en-GB"/>
        </w:rPr>
        <w:tab/>
        <w:t>Amend the text of Chapter 2.17 of the GHS, as proposed by Germany and the United States of America in document ST/SG/AC.10/C.3/2022/50 − ST/SG/AC.10/C.4/2022/10 and as amended by AEISG in informal document INF.20 (TDG) – INF.12 (GHS), as follows:</w:t>
      </w:r>
    </w:p>
    <w:p w14:paraId="175D4FFD" w14:textId="067F33FA" w:rsidR="00DD6849" w:rsidRPr="00A66CD9" w:rsidRDefault="00CE551D" w:rsidP="004105A9">
      <w:pPr>
        <w:pStyle w:val="SingleTxtG"/>
        <w:ind w:left="1701"/>
        <w:rPr>
          <w:lang w:val="en-GB"/>
        </w:rPr>
      </w:pPr>
      <w:r w:rsidRPr="00A66CD9">
        <w:rPr>
          <w:lang w:val="en-GB"/>
        </w:rPr>
        <w:t>2.17.2</w:t>
      </w:r>
      <w:r w:rsidR="008C1810" w:rsidRPr="00A66CD9">
        <w:rPr>
          <w:lang w:val="en-GB"/>
        </w:rPr>
        <w:t>.1</w:t>
      </w:r>
      <w:r w:rsidR="00DD6849" w:rsidRPr="00A66CD9">
        <w:rPr>
          <w:lang w:val="en-GB"/>
        </w:rPr>
        <w:t xml:space="preserve"> and 2.17.2.2</w:t>
      </w:r>
      <w:r w:rsidR="00DD6849" w:rsidRPr="00A66CD9">
        <w:rPr>
          <w:lang w:val="en-GB"/>
        </w:rPr>
        <w:tab/>
      </w:r>
      <w:r w:rsidR="008C1810" w:rsidRPr="00A66CD9">
        <w:rPr>
          <w:lang w:val="en-GB"/>
        </w:rPr>
        <w:tab/>
      </w:r>
      <w:r w:rsidR="00DD6849" w:rsidRPr="00A66CD9">
        <w:rPr>
          <w:lang w:val="en-GB"/>
        </w:rPr>
        <w:t>In the first sentence, r</w:t>
      </w:r>
      <w:r w:rsidR="008C1810" w:rsidRPr="00A66CD9">
        <w:rPr>
          <w:lang w:val="en-GB"/>
        </w:rPr>
        <w:t xml:space="preserve">eplace </w:t>
      </w:r>
      <w:r w:rsidR="0069438D">
        <w:rPr>
          <w:lang w:val="en-GB"/>
        </w:rPr>
        <w:t>“</w:t>
      </w:r>
      <w:r w:rsidR="0069438D" w:rsidRPr="005276AF">
        <w:rPr>
          <w:lang w:val="en-GB"/>
        </w:rPr>
        <w:t>An explosive which is phlegmatized</w:t>
      </w:r>
      <w:r w:rsidR="0069438D">
        <w:rPr>
          <w:lang w:val="en-GB"/>
        </w:rPr>
        <w:t>” with “</w:t>
      </w:r>
      <w:r w:rsidR="0069438D" w:rsidRPr="005276AF">
        <w:t>A phlegmatized explosive</w:t>
      </w:r>
      <w:r w:rsidR="0069438D">
        <w:rPr>
          <w:lang w:val="en-GB"/>
        </w:rPr>
        <w:t>”</w:t>
      </w:r>
      <w:r w:rsidR="00E61897">
        <w:rPr>
          <w:lang w:val="en-GB"/>
        </w:rPr>
        <w:t>,</w:t>
      </w:r>
      <w:r w:rsidR="0069438D">
        <w:rPr>
          <w:lang w:val="en-GB"/>
        </w:rPr>
        <w:t xml:space="preserve"> and</w:t>
      </w:r>
      <w:r w:rsidR="0069438D" w:rsidRPr="00A66CD9">
        <w:rPr>
          <w:lang w:val="en-GB"/>
        </w:rPr>
        <w:t xml:space="preserve"> </w:t>
      </w:r>
      <w:r w:rsidR="008C1810" w:rsidRPr="00A66CD9">
        <w:rPr>
          <w:lang w:val="en-GB"/>
        </w:rPr>
        <w:t>“considered in this</w:t>
      </w:r>
      <w:r w:rsidR="00DD6849" w:rsidRPr="00A66CD9">
        <w:rPr>
          <w:lang w:val="en-GB"/>
        </w:rPr>
        <w:t xml:space="preserve"> class” with “considered for inclusion in this class”.</w:t>
      </w:r>
    </w:p>
    <w:p w14:paraId="71407F3F" w14:textId="31F2DEE7" w:rsidR="00111DD6" w:rsidRDefault="00111DD6" w:rsidP="00111DD6">
      <w:pPr>
        <w:pStyle w:val="SingleTxtG"/>
        <w:ind w:left="1701"/>
        <w:rPr>
          <w:lang w:val="en-GB"/>
        </w:rPr>
      </w:pPr>
      <w:r w:rsidRPr="00A66CD9">
        <w:rPr>
          <w:lang w:val="en-GB"/>
        </w:rPr>
        <w:t>2.17.2.2. (</w:t>
      </w:r>
      <w:r>
        <w:rPr>
          <w:lang w:val="en-GB"/>
        </w:rPr>
        <w:t>b</w:t>
      </w:r>
      <w:r w:rsidRPr="00A66CD9">
        <w:rPr>
          <w:lang w:val="en-GB"/>
        </w:rPr>
        <w:t>)</w:t>
      </w:r>
      <w:r>
        <w:rPr>
          <w:lang w:val="en-GB"/>
        </w:rPr>
        <w:t xml:space="preserve"> in subparagraphs (i), (ii) and (iii), replace “according to” with “in accordance with”.</w:t>
      </w:r>
    </w:p>
    <w:p w14:paraId="67137D4D" w14:textId="7C228599" w:rsidR="00DD6849" w:rsidRPr="00A66CD9" w:rsidRDefault="00A02513" w:rsidP="004105A9">
      <w:pPr>
        <w:pStyle w:val="SingleTxtG"/>
        <w:ind w:left="1701"/>
        <w:rPr>
          <w:lang w:val="en-GB"/>
        </w:rPr>
      </w:pPr>
      <w:r w:rsidRPr="00A66CD9">
        <w:rPr>
          <w:lang w:val="en-GB"/>
        </w:rPr>
        <w:t xml:space="preserve">2.17.2.2. (c) Amend the beginning </w:t>
      </w:r>
      <w:r w:rsidR="00DA0160">
        <w:rPr>
          <w:lang w:val="en-GB"/>
        </w:rPr>
        <w:t xml:space="preserve">of the sentence </w:t>
      </w:r>
      <w:r w:rsidRPr="00A66CD9">
        <w:rPr>
          <w:lang w:val="en-GB"/>
        </w:rPr>
        <w:t>to read: “it presents no mass explosion hazard and has a corrected burning rate…”</w:t>
      </w:r>
      <w:r w:rsidR="00C82C96">
        <w:rPr>
          <w:lang w:val="en-GB"/>
        </w:rPr>
        <w:t xml:space="preserve"> and replace “according to” with “in accordance with”</w:t>
      </w:r>
      <w:r w:rsidR="00E22B67" w:rsidRPr="00A66CD9">
        <w:rPr>
          <w:lang w:val="en-GB"/>
        </w:rPr>
        <w:t>.</w:t>
      </w:r>
    </w:p>
    <w:p w14:paraId="79DA9F26" w14:textId="367A1E99" w:rsidR="00E22B67" w:rsidRPr="00A66CD9" w:rsidRDefault="00E22B67" w:rsidP="004105A9">
      <w:pPr>
        <w:pStyle w:val="SingleTxtG"/>
        <w:ind w:left="1701"/>
        <w:rPr>
          <w:lang w:val="en-GB"/>
        </w:rPr>
      </w:pPr>
      <w:r w:rsidRPr="00A66CD9">
        <w:rPr>
          <w:lang w:val="en-GB"/>
        </w:rPr>
        <w:t>2.17.2.2</w:t>
      </w:r>
      <w:r w:rsidRPr="00A66CD9">
        <w:rPr>
          <w:lang w:val="en-GB"/>
        </w:rPr>
        <w:tab/>
        <w:t xml:space="preserve">Amend the beginning of the note under paragraph </w:t>
      </w:r>
      <w:r w:rsidR="008B3A9A" w:rsidRPr="00A66CD9">
        <w:rPr>
          <w:lang w:val="en-GB"/>
        </w:rPr>
        <w:t>2.17.2.2</w:t>
      </w:r>
      <w:r w:rsidR="008B3A9A">
        <w:rPr>
          <w:lang w:val="en-GB"/>
        </w:rPr>
        <w:t xml:space="preserve"> </w:t>
      </w:r>
      <w:r w:rsidRPr="00A66CD9">
        <w:rPr>
          <w:lang w:val="en-GB"/>
        </w:rPr>
        <w:t>to read: “</w:t>
      </w:r>
      <w:r w:rsidR="00EA6533" w:rsidRPr="00DA0160">
        <w:rPr>
          <w:i/>
          <w:iCs/>
          <w:lang w:val="en-GB"/>
        </w:rPr>
        <w:t>P</w:t>
      </w:r>
      <w:proofErr w:type="spellStart"/>
      <w:r w:rsidR="005055BD" w:rsidRPr="00DA0160">
        <w:rPr>
          <w:i/>
          <w:iCs/>
        </w:rPr>
        <w:t>hlegmatized</w:t>
      </w:r>
      <w:proofErr w:type="spellEnd"/>
      <w:r w:rsidR="005055BD" w:rsidRPr="00DA0160">
        <w:rPr>
          <w:i/>
          <w:iCs/>
        </w:rPr>
        <w:t xml:space="preserve"> explosive</w:t>
      </w:r>
      <w:r w:rsidR="00F222B6" w:rsidRPr="00DA0160">
        <w:rPr>
          <w:i/>
          <w:iCs/>
          <w:lang w:val="en-GB"/>
        </w:rPr>
        <w:t>s</w:t>
      </w:r>
      <w:r w:rsidR="005055BD" w:rsidRPr="00A66CD9" w:rsidDel="00AE63E6">
        <w:rPr>
          <w:lang w:val="en-GB"/>
        </w:rPr>
        <w:t xml:space="preserve"> </w:t>
      </w:r>
      <w:r w:rsidRPr="00A66CD9">
        <w:rPr>
          <w:i/>
          <w:iCs/>
          <w:lang w:val="en-GB"/>
        </w:rPr>
        <w:t>which do not meet the criteria of…”</w:t>
      </w:r>
    </w:p>
    <w:p w14:paraId="27640CD2" w14:textId="68B2669A" w:rsidR="00DD6849" w:rsidRPr="00A66CD9" w:rsidRDefault="00843561" w:rsidP="004105A9">
      <w:pPr>
        <w:pStyle w:val="SingleTxtG"/>
        <w:ind w:left="1701"/>
        <w:rPr>
          <w:lang w:val="en-GB"/>
        </w:rPr>
      </w:pPr>
      <w:r w:rsidRPr="00A66CD9">
        <w:rPr>
          <w:lang w:val="en-GB"/>
        </w:rPr>
        <w:t>2.17.2.3</w:t>
      </w:r>
      <w:r w:rsidRPr="00A66CD9">
        <w:rPr>
          <w:lang w:val="en-GB"/>
        </w:rPr>
        <w:tab/>
        <w:t>I</w:t>
      </w:r>
      <w:r w:rsidR="00B01C3C" w:rsidRPr="00A66CD9">
        <w:rPr>
          <w:lang w:val="en-GB"/>
        </w:rPr>
        <w:t>n</w:t>
      </w:r>
      <w:r w:rsidRPr="00A66CD9">
        <w:rPr>
          <w:lang w:val="en-GB"/>
        </w:rPr>
        <w:t xml:space="preserve"> the first sentence replace “according to Appendix 10” with “in accordance with Appendix 10”.</w:t>
      </w:r>
    </w:p>
    <w:p w14:paraId="2BF92457" w14:textId="2F6E7AE1" w:rsidR="00B01C3C" w:rsidRPr="00A66CD9" w:rsidRDefault="00B01C3C" w:rsidP="00487DE4">
      <w:pPr>
        <w:pStyle w:val="SingleTxtG"/>
        <w:tabs>
          <w:tab w:val="left" w:pos="8504"/>
        </w:tabs>
        <w:ind w:left="2268"/>
        <w:rPr>
          <w:lang w:val="en-GB"/>
        </w:rPr>
      </w:pPr>
      <w:r w:rsidRPr="00A66CD9">
        <w:rPr>
          <w:lang w:val="en-GB"/>
        </w:rPr>
        <w:t xml:space="preserve">[Amend the note under 2.17.2.3 as follows: </w:t>
      </w:r>
    </w:p>
    <w:p w14:paraId="4AE98EDF" w14:textId="674F432C" w:rsidR="00DD6849" w:rsidRPr="00A66CD9" w:rsidRDefault="00CF0871" w:rsidP="00E00272">
      <w:pPr>
        <w:ind w:left="2268" w:right="849"/>
        <w:rPr>
          <w:i/>
          <w:iCs/>
        </w:rPr>
      </w:pPr>
      <w:r>
        <w:rPr>
          <w:b/>
          <w:bCs/>
          <w:i/>
          <w:iCs/>
        </w:rPr>
        <w:t>“</w:t>
      </w:r>
      <w:r w:rsidR="002D3956" w:rsidRPr="00A66CD9">
        <w:rPr>
          <w:b/>
          <w:bCs/>
          <w:i/>
          <w:iCs/>
        </w:rPr>
        <w:t>NOTE:</w:t>
      </w:r>
      <w:r w:rsidR="00CF4205" w:rsidRPr="00A66CD9">
        <w:rPr>
          <w:b/>
          <w:bCs/>
          <w:i/>
          <w:iCs/>
        </w:rPr>
        <w:t xml:space="preserve">  </w:t>
      </w:r>
      <w:r w:rsidR="002D3956" w:rsidRPr="00A66CD9">
        <w:rPr>
          <w:i/>
          <w:iCs/>
        </w:rPr>
        <w:t>Nitrocellulose mixtures containing no explosives other than nitrocellulose, do not need to meet the criterion of 2.17.2.2 (b) (ii).”]</w:t>
      </w:r>
    </w:p>
    <w:p w14:paraId="4D7E3D8D" w14:textId="7BD01B5C" w:rsidR="004110FA" w:rsidRPr="000D280C" w:rsidRDefault="00AC3668" w:rsidP="004105A9">
      <w:pPr>
        <w:pStyle w:val="SingleTxtG"/>
        <w:spacing w:before="240"/>
        <w:ind w:left="1701"/>
        <w:rPr>
          <w:lang w:val="en-GB"/>
        </w:rPr>
      </w:pPr>
      <w:r w:rsidRPr="00A66CD9">
        <w:t>2.17.2.4</w:t>
      </w:r>
      <w:r>
        <w:tab/>
      </w:r>
      <w:r w:rsidR="00C025AF">
        <w:rPr>
          <w:lang w:val="en-GB"/>
        </w:rPr>
        <w:t>Replace</w:t>
      </w:r>
      <w:r w:rsidR="00817F98">
        <w:rPr>
          <w:lang w:val="en-GB"/>
        </w:rPr>
        <w:t xml:space="preserve"> </w:t>
      </w:r>
      <w:r w:rsidR="003C19B2">
        <w:rPr>
          <w:lang w:val="en-GB"/>
        </w:rPr>
        <w:t>“</w:t>
      </w:r>
      <w:r w:rsidR="00817F98">
        <w:rPr>
          <w:lang w:val="en-GB"/>
        </w:rPr>
        <w:t>using the test “burning rate (external fire)”</w:t>
      </w:r>
      <w:r w:rsidR="00C025AF">
        <w:rPr>
          <w:lang w:val="en-GB"/>
        </w:rPr>
        <w:t xml:space="preserve"> </w:t>
      </w:r>
      <w:r w:rsidR="00341645" w:rsidRPr="000D280C">
        <w:rPr>
          <w:lang w:val="en-GB"/>
        </w:rPr>
        <w:t xml:space="preserve">with </w:t>
      </w:r>
      <w:r w:rsidR="0044409E" w:rsidRPr="000D280C">
        <w:rPr>
          <w:lang w:val="en-GB"/>
        </w:rPr>
        <w:t>“</w:t>
      </w:r>
      <w:r w:rsidR="0044409E" w:rsidRPr="000D280C">
        <w:t>determined using the burning rate (external fire) test</w:t>
      </w:r>
      <w:r w:rsidR="0044409E" w:rsidRPr="000D280C">
        <w:rPr>
          <w:lang w:val="en-GB"/>
        </w:rPr>
        <w:t>”.</w:t>
      </w:r>
    </w:p>
    <w:p w14:paraId="422488E6" w14:textId="1DB98D5C" w:rsidR="00DD6849" w:rsidRDefault="004C4BE5" w:rsidP="004105A9">
      <w:pPr>
        <w:pStyle w:val="SingleTxtG"/>
        <w:spacing w:before="240"/>
        <w:ind w:left="1701"/>
        <w:rPr>
          <w:lang w:val="en-GB"/>
        </w:rPr>
      </w:pPr>
      <w:r w:rsidRPr="00A66CD9">
        <w:rPr>
          <w:lang w:val="en-GB"/>
        </w:rPr>
        <w:t>2.17.4.1</w:t>
      </w:r>
      <w:r w:rsidRPr="00A66CD9">
        <w:rPr>
          <w:lang w:val="en-GB"/>
        </w:rPr>
        <w:tab/>
      </w:r>
      <w:r w:rsidR="005339FC" w:rsidRPr="00A66CD9">
        <w:rPr>
          <w:lang w:val="en-GB"/>
        </w:rPr>
        <w:t xml:space="preserve">Amend the </w:t>
      </w:r>
      <w:r w:rsidR="00C60B64">
        <w:rPr>
          <w:lang w:val="en-GB"/>
        </w:rPr>
        <w:t xml:space="preserve">second </w:t>
      </w:r>
      <w:r w:rsidR="005339FC" w:rsidRPr="00A66CD9">
        <w:rPr>
          <w:lang w:val="en-GB"/>
        </w:rPr>
        <w:t xml:space="preserve">sentence starting with “For </w:t>
      </w:r>
      <w:proofErr w:type="gramStart"/>
      <w:r w:rsidR="005339FC" w:rsidRPr="00A66CD9">
        <w:rPr>
          <w:lang w:val="en-GB"/>
        </w:rPr>
        <w:t>nitrocellulose,…</w:t>
      </w:r>
      <w:proofErr w:type="gramEnd"/>
      <w:r w:rsidR="005339FC" w:rsidRPr="00A66CD9">
        <w:rPr>
          <w:lang w:val="en-GB"/>
        </w:rPr>
        <w:t>” to read “Where a mixture contains nitrocellulose,…”.</w:t>
      </w:r>
    </w:p>
    <w:p w14:paraId="1A6619CA" w14:textId="46262613" w:rsidR="00531ED6" w:rsidRDefault="00531ED6" w:rsidP="003E44F8">
      <w:pPr>
        <w:pStyle w:val="SingleTxtG"/>
        <w:tabs>
          <w:tab w:val="left" w:pos="2268"/>
        </w:tabs>
        <w:spacing w:before="240"/>
        <w:ind w:left="1701"/>
        <w:rPr>
          <w:lang w:val="en-GB"/>
        </w:rPr>
      </w:pPr>
      <w:r>
        <w:rPr>
          <w:lang w:val="en-GB"/>
        </w:rPr>
        <w:tab/>
      </w:r>
      <w:r>
        <w:rPr>
          <w:lang w:val="en-GB"/>
        </w:rPr>
        <w:tab/>
        <w:t>[</w:t>
      </w:r>
      <w:r w:rsidR="00905376">
        <w:rPr>
          <w:lang w:val="en-GB"/>
        </w:rPr>
        <w:t>A</w:t>
      </w:r>
      <w:r>
        <w:rPr>
          <w:lang w:val="en-GB"/>
        </w:rPr>
        <w:t>mend footnote 2 to decision logic 2.17.1 as follows:</w:t>
      </w:r>
    </w:p>
    <w:p w14:paraId="4909C22F" w14:textId="77777777" w:rsidR="003E44F8" w:rsidRPr="003E44F8" w:rsidRDefault="00531ED6" w:rsidP="003E44F8">
      <w:pPr>
        <w:ind w:left="2268" w:right="991"/>
      </w:pPr>
      <w:r w:rsidRPr="003E44F8">
        <w:t>“</w:t>
      </w:r>
      <w:r w:rsidRPr="003E44F8">
        <w:rPr>
          <w:vertAlign w:val="superscript"/>
        </w:rPr>
        <w:t>2</w:t>
      </w:r>
      <w:r w:rsidRPr="003E44F8">
        <w:t xml:space="preserve"> </w:t>
      </w:r>
      <w:r w:rsidRPr="003E44F8">
        <w:tab/>
        <w:t>Test 3 (c) is not applicable to nitrocellulose mixtures containing no explosives other than nitrocellulose.”]</w:t>
      </w:r>
      <w:r w:rsidR="003B7257" w:rsidRPr="003E44F8">
        <w:tab/>
      </w:r>
      <w:r w:rsidR="003B7257" w:rsidRPr="003E44F8">
        <w:tab/>
      </w:r>
    </w:p>
    <w:p w14:paraId="1DAAB613" w14:textId="6C02F8A5" w:rsidR="003B7257" w:rsidRPr="003E44F8" w:rsidRDefault="003B7257" w:rsidP="003E44F8">
      <w:pPr>
        <w:pStyle w:val="H1G"/>
        <w:ind w:firstLine="142"/>
        <w:rPr>
          <w:szCs w:val="24"/>
        </w:rPr>
      </w:pPr>
      <w:r w:rsidRPr="003E44F8">
        <w:rPr>
          <w:szCs w:val="24"/>
        </w:rPr>
        <w:t>Amendments to Section 51 of the Manual of Tests and Criteria</w:t>
      </w:r>
    </w:p>
    <w:p w14:paraId="616BDDB9" w14:textId="7CB76383" w:rsidR="00DD6849" w:rsidRPr="00A66CD9" w:rsidRDefault="003B7257" w:rsidP="004105A9">
      <w:pPr>
        <w:pStyle w:val="SingleTxtG"/>
        <w:rPr>
          <w:lang w:val="en-GB"/>
        </w:rPr>
      </w:pPr>
      <w:r w:rsidRPr="00A66CD9">
        <w:rPr>
          <w:lang w:val="en-GB"/>
        </w:rPr>
        <w:t>8.</w:t>
      </w:r>
      <w:r w:rsidRPr="00A66CD9">
        <w:rPr>
          <w:lang w:val="en-GB"/>
        </w:rPr>
        <w:tab/>
        <w:t>Amend the text of section 51 of the Manual of Tests and Criteria, as proposed by Germany and the United States of America in document ST/SG/AC.10/C.3/2022/50 − ST/SG/AC.10/C.4/2022/10 and as amended by AEISG in informal document INF.20 (TDG) – INF.12 (GHS), as follows:</w:t>
      </w:r>
    </w:p>
    <w:p w14:paraId="1225436C" w14:textId="6CAB09BA" w:rsidR="00692C6F" w:rsidRPr="00A66CD9" w:rsidRDefault="00692C6F" w:rsidP="00B2301B">
      <w:pPr>
        <w:pStyle w:val="SingleTxtG"/>
        <w:tabs>
          <w:tab w:val="left" w:pos="2552"/>
        </w:tabs>
        <w:ind w:left="1701"/>
        <w:rPr>
          <w:lang w:val="en-GB"/>
        </w:rPr>
      </w:pPr>
      <w:r w:rsidRPr="00A66CD9">
        <w:rPr>
          <w:lang w:val="en-GB"/>
        </w:rPr>
        <w:t>51.2.2</w:t>
      </w:r>
      <w:r w:rsidR="00A942AC" w:rsidRPr="00A66CD9">
        <w:rPr>
          <w:lang w:val="en-GB"/>
        </w:rPr>
        <w:t xml:space="preserve"> (b)</w:t>
      </w:r>
      <w:r w:rsidR="004105A9" w:rsidRPr="00A66CD9">
        <w:rPr>
          <w:lang w:val="en-GB"/>
        </w:rPr>
        <w:t xml:space="preserve"> and</w:t>
      </w:r>
      <w:r w:rsidR="00A942AC" w:rsidRPr="00A66CD9">
        <w:rPr>
          <w:lang w:val="en-GB"/>
        </w:rPr>
        <w:t xml:space="preserve"> (c) Replace (three times) “according to” with “in accordance with”</w:t>
      </w:r>
      <w:r w:rsidR="009B6FA9">
        <w:rPr>
          <w:lang w:val="en-GB"/>
        </w:rPr>
        <w:t>.</w:t>
      </w:r>
      <w:r w:rsidR="00A942AC" w:rsidRPr="00A66CD9">
        <w:rPr>
          <w:lang w:val="en-GB"/>
        </w:rPr>
        <w:t xml:space="preserve"> </w:t>
      </w:r>
    </w:p>
    <w:p w14:paraId="5D391CA2" w14:textId="78A128D1" w:rsidR="00DD6849" w:rsidRPr="00A66CD9" w:rsidRDefault="004105A9" w:rsidP="00B2301B">
      <w:pPr>
        <w:pStyle w:val="SingleTxtG"/>
        <w:tabs>
          <w:tab w:val="left" w:pos="2835"/>
        </w:tabs>
        <w:ind w:left="1701"/>
        <w:rPr>
          <w:lang w:val="en-GB"/>
        </w:rPr>
      </w:pPr>
      <w:r w:rsidRPr="00A66CD9">
        <w:rPr>
          <w:lang w:val="en-GB"/>
        </w:rPr>
        <w:t>5.</w:t>
      </w:r>
      <w:r w:rsidR="007674BB" w:rsidRPr="00A66CD9">
        <w:rPr>
          <w:lang w:val="en-GB"/>
        </w:rPr>
        <w:t>1.2.3</w:t>
      </w:r>
      <w:r w:rsidR="007674BB" w:rsidRPr="00A66CD9">
        <w:rPr>
          <w:lang w:val="en-GB"/>
        </w:rPr>
        <w:tab/>
      </w:r>
      <w:r w:rsidR="00152053" w:rsidRPr="00A66CD9">
        <w:rPr>
          <w:lang w:val="en-GB"/>
        </w:rPr>
        <w:tab/>
        <w:t>Replace “according to” with “in accordance with”</w:t>
      </w:r>
      <w:r w:rsidR="009B6FA9">
        <w:rPr>
          <w:lang w:val="en-GB"/>
        </w:rPr>
        <w:t>.</w:t>
      </w:r>
    </w:p>
    <w:p w14:paraId="6347ED7D" w14:textId="088BC223" w:rsidR="00DD6849" w:rsidRPr="00A66CD9" w:rsidRDefault="00912806" w:rsidP="00B2301B">
      <w:pPr>
        <w:pStyle w:val="SingleTxtG"/>
        <w:tabs>
          <w:tab w:val="left" w:pos="2835"/>
        </w:tabs>
        <w:ind w:left="1701"/>
        <w:rPr>
          <w:lang w:val="en-GB"/>
        </w:rPr>
      </w:pPr>
      <w:r w:rsidRPr="00A66CD9">
        <w:rPr>
          <w:lang w:val="en-GB"/>
        </w:rPr>
        <w:t>51.3.1</w:t>
      </w:r>
      <w:r w:rsidRPr="00A66CD9">
        <w:rPr>
          <w:lang w:val="en-GB"/>
        </w:rPr>
        <w:tab/>
      </w:r>
      <w:r w:rsidR="004105A9" w:rsidRPr="00A66CD9">
        <w:rPr>
          <w:lang w:val="en-GB"/>
        </w:rPr>
        <w:t>In</w:t>
      </w:r>
      <w:r w:rsidRPr="00A66CD9">
        <w:rPr>
          <w:lang w:val="en-GB"/>
        </w:rPr>
        <w:t xml:space="preserve"> the first sentence, replace “should be performed to </w:t>
      </w:r>
      <w:r w:rsidR="004105A9" w:rsidRPr="00A66CD9">
        <w:rPr>
          <w:lang w:val="en-GB"/>
        </w:rPr>
        <w:t>rule out the possibility of mass explosion</w:t>
      </w:r>
      <w:r w:rsidR="007B77C8">
        <w:rPr>
          <w:lang w:val="en-GB"/>
        </w:rPr>
        <w:t>.</w:t>
      </w:r>
      <w:r w:rsidR="004105A9" w:rsidRPr="00A66CD9">
        <w:rPr>
          <w:lang w:val="en-GB"/>
        </w:rPr>
        <w:t>” with “should be performed to provide assurance that the likelihood of a mass explosion is very low</w:t>
      </w:r>
      <w:r w:rsidR="007B77C8">
        <w:rPr>
          <w:lang w:val="en-GB"/>
        </w:rPr>
        <w:t>.</w:t>
      </w:r>
      <w:r w:rsidR="004105A9" w:rsidRPr="00A66CD9">
        <w:rPr>
          <w:lang w:val="en-GB"/>
        </w:rPr>
        <w:t>”</w:t>
      </w:r>
      <w:r w:rsidR="00C326C2" w:rsidRPr="00A66CD9">
        <w:rPr>
          <w:lang w:val="en-GB"/>
        </w:rPr>
        <w:t>.</w:t>
      </w:r>
    </w:p>
    <w:p w14:paraId="7F7937EF" w14:textId="5466D159" w:rsidR="00793AE5" w:rsidRPr="00A66CD9" w:rsidRDefault="00793AE5" w:rsidP="00793AE5">
      <w:pPr>
        <w:pStyle w:val="SingleTxtG"/>
        <w:tabs>
          <w:tab w:val="left" w:pos="2835"/>
        </w:tabs>
        <w:ind w:left="2835"/>
        <w:rPr>
          <w:lang w:val="en-GB"/>
        </w:rPr>
      </w:pPr>
      <w:r w:rsidRPr="00A66CD9">
        <w:rPr>
          <w:lang w:val="en-GB"/>
        </w:rPr>
        <w:t>In the second sentence replace “According to” with “In accordance with”.</w:t>
      </w:r>
    </w:p>
    <w:p w14:paraId="7686B4B5" w14:textId="59A7CAB1" w:rsidR="00793AE5" w:rsidRPr="00A66CD9" w:rsidRDefault="000375B0" w:rsidP="00793AE5">
      <w:pPr>
        <w:pStyle w:val="SingleTxtG"/>
        <w:tabs>
          <w:tab w:val="left" w:pos="2835"/>
        </w:tabs>
        <w:ind w:left="2835"/>
        <w:rPr>
          <w:lang w:val="en-GB"/>
        </w:rPr>
      </w:pPr>
      <w:r w:rsidRPr="00A66CD9">
        <w:rPr>
          <w:lang w:val="en-GB"/>
        </w:rPr>
        <w:t xml:space="preserve">In the last sentence replace “the initiation system causing” </w:t>
      </w:r>
      <w:r w:rsidR="00D51378" w:rsidRPr="00A66CD9">
        <w:rPr>
          <w:lang w:val="en-GB"/>
        </w:rPr>
        <w:t>with “the same initiation system that caused”</w:t>
      </w:r>
      <w:r w:rsidR="009B6FA9">
        <w:rPr>
          <w:lang w:val="en-GB"/>
        </w:rPr>
        <w:t>.</w:t>
      </w:r>
      <w:r w:rsidR="00D51378" w:rsidRPr="00A66CD9">
        <w:rPr>
          <w:lang w:val="en-GB"/>
        </w:rPr>
        <w:t xml:space="preserve"> </w:t>
      </w:r>
    </w:p>
    <w:p w14:paraId="1875D2CD" w14:textId="6B3013D6" w:rsidR="00C326C2" w:rsidRPr="000D280C" w:rsidRDefault="00FD20DF" w:rsidP="00793AE5">
      <w:pPr>
        <w:pStyle w:val="SingleTxtG"/>
        <w:tabs>
          <w:tab w:val="left" w:pos="2835"/>
        </w:tabs>
        <w:ind w:left="1701"/>
        <w:rPr>
          <w:lang w:val="en-GB"/>
        </w:rPr>
      </w:pPr>
      <w:r w:rsidRPr="00A66CD9">
        <w:rPr>
          <w:lang w:val="en-GB"/>
        </w:rPr>
        <w:t>51.3.2</w:t>
      </w:r>
      <w:r w:rsidRPr="00A66CD9">
        <w:rPr>
          <w:lang w:val="en-GB"/>
        </w:rPr>
        <w:tab/>
      </w:r>
      <w:r w:rsidR="00C50DDA" w:rsidRPr="00A66CD9">
        <w:rPr>
          <w:lang w:val="en-GB"/>
        </w:rPr>
        <w:t>In (a), replace “before phlegmatized” with “before being phlegmatized”</w:t>
      </w:r>
      <w:r w:rsidR="003E44F8">
        <w:rPr>
          <w:lang w:val="en-GB"/>
        </w:rPr>
        <w:t xml:space="preserve"> </w:t>
      </w:r>
      <w:r w:rsidR="003E44F8" w:rsidRPr="003E44F8">
        <w:rPr>
          <w:lang w:val="en-GB"/>
        </w:rPr>
        <w:t>and “</w:t>
      </w:r>
      <w:r w:rsidR="003E44F8" w:rsidRPr="003E44F8">
        <w:rPr>
          <w:rFonts w:eastAsia="Calibri" w:cs="TimesNewRomanPSMT"/>
        </w:rPr>
        <w:t>according to</w:t>
      </w:r>
      <w:r w:rsidR="003E44F8" w:rsidRPr="003E44F8">
        <w:rPr>
          <w:rFonts w:eastAsia="Calibri" w:cs="TimesNewRomanPSMT"/>
          <w:lang w:val="en-GB"/>
        </w:rPr>
        <w:t>” with</w:t>
      </w:r>
      <w:r w:rsidR="003E44F8" w:rsidRPr="003E44F8">
        <w:rPr>
          <w:rFonts w:eastAsia="Calibri" w:cs="TimesNewRomanPSMT"/>
        </w:rPr>
        <w:t xml:space="preserve"> </w:t>
      </w:r>
      <w:r w:rsidR="003E44F8" w:rsidRPr="003E44F8">
        <w:rPr>
          <w:rFonts w:eastAsia="Calibri" w:cs="TimesNewRomanPSMT"/>
          <w:lang w:val="en-GB"/>
        </w:rPr>
        <w:t>“</w:t>
      </w:r>
      <w:r w:rsidR="003E44F8" w:rsidRPr="000D280C">
        <w:rPr>
          <w:rFonts w:eastAsia="Calibri" w:cs="TimesNewRomanPSMT"/>
        </w:rPr>
        <w:t>in accordance with</w:t>
      </w:r>
      <w:r w:rsidR="003E44F8" w:rsidRPr="000D280C">
        <w:rPr>
          <w:rFonts w:eastAsia="Calibri" w:cs="TimesNewRomanPSMT"/>
          <w:lang w:val="en-GB"/>
        </w:rPr>
        <w:t>”.</w:t>
      </w:r>
      <w:r w:rsidR="003E44F8" w:rsidRPr="000D280C">
        <w:rPr>
          <w:rFonts w:eastAsia="Calibri" w:cs="TimesNewRomanPSMT"/>
        </w:rPr>
        <w:t xml:space="preserve"> </w:t>
      </w:r>
    </w:p>
    <w:p w14:paraId="17ACB17A" w14:textId="2A5B6D87" w:rsidR="00C25BC6" w:rsidRPr="00A66CD9" w:rsidRDefault="00C50DDA" w:rsidP="00F21B6F">
      <w:pPr>
        <w:pStyle w:val="SingleTxtG"/>
        <w:tabs>
          <w:tab w:val="left" w:pos="2835"/>
        </w:tabs>
        <w:ind w:left="2835"/>
        <w:rPr>
          <w:lang w:val="en-GB"/>
        </w:rPr>
      </w:pPr>
      <w:r w:rsidRPr="00A66CD9">
        <w:rPr>
          <w:lang w:val="en-GB"/>
        </w:rPr>
        <w:tab/>
        <w:t>In (</w:t>
      </w:r>
      <w:r w:rsidR="00F21B6F" w:rsidRPr="00A66CD9">
        <w:rPr>
          <w:lang w:val="en-GB"/>
        </w:rPr>
        <w:t xml:space="preserve">c), replace “containing no </w:t>
      </w:r>
      <w:r w:rsidR="000F73E4" w:rsidRPr="00A66CD9">
        <w:rPr>
          <w:lang w:val="en-GB"/>
        </w:rPr>
        <w:t xml:space="preserve">other </w:t>
      </w:r>
      <w:r w:rsidR="00F21B6F" w:rsidRPr="00A66CD9">
        <w:rPr>
          <w:lang w:val="en-GB"/>
        </w:rPr>
        <w:t>explosives</w:t>
      </w:r>
      <w:r w:rsidR="00177652" w:rsidRPr="00A66CD9">
        <w:rPr>
          <w:lang w:val="en-GB"/>
        </w:rPr>
        <w:t>,</w:t>
      </w:r>
      <w:r w:rsidR="00F21B6F" w:rsidRPr="00A66CD9">
        <w:rPr>
          <w:lang w:val="en-GB"/>
        </w:rPr>
        <w:t xml:space="preserve"> for which stability of the nitrocellulose is established</w:t>
      </w:r>
      <w:r w:rsidR="006F4C6A">
        <w:rPr>
          <w:lang w:val="en-GB"/>
        </w:rPr>
        <w:t xml:space="preserve"> according to Appendix 10</w:t>
      </w:r>
      <w:r w:rsidR="002B15ED">
        <w:rPr>
          <w:lang w:val="en-GB"/>
        </w:rPr>
        <w:t>.</w:t>
      </w:r>
      <w:r w:rsidR="00F21B6F" w:rsidRPr="00A66CD9">
        <w:rPr>
          <w:lang w:val="en-GB"/>
        </w:rPr>
        <w:t xml:space="preserve">” with </w:t>
      </w:r>
      <w:r w:rsidR="00810F2C" w:rsidRPr="00A66CD9">
        <w:rPr>
          <w:lang w:val="en-GB"/>
        </w:rPr>
        <w:t>“</w:t>
      </w:r>
      <w:r w:rsidR="00D2033E" w:rsidRPr="00A66CD9">
        <w:rPr>
          <w:lang w:val="en-GB"/>
        </w:rPr>
        <w:t xml:space="preserve">containing no explosives other than nitrocellulose, for which </w:t>
      </w:r>
      <w:r w:rsidR="00712344">
        <w:rPr>
          <w:lang w:val="en-GB"/>
        </w:rPr>
        <w:t xml:space="preserve">the </w:t>
      </w:r>
      <w:r w:rsidR="00D2033E" w:rsidRPr="00A66CD9">
        <w:rPr>
          <w:lang w:val="en-GB"/>
        </w:rPr>
        <w:lastRenderedPageBreak/>
        <w:t>stability of the nitrocellulose has been established</w:t>
      </w:r>
      <w:r w:rsidR="00712344">
        <w:rPr>
          <w:lang w:val="en-GB"/>
        </w:rPr>
        <w:t xml:space="preserve"> in accordance with Appendix 10.</w:t>
      </w:r>
      <w:r w:rsidR="00D2033E" w:rsidRPr="00A66CD9">
        <w:rPr>
          <w:lang w:val="en-GB"/>
        </w:rPr>
        <w:t>”.</w:t>
      </w:r>
      <w:r w:rsidR="00531ED6">
        <w:rPr>
          <w:lang w:val="en-GB"/>
        </w:rPr>
        <w:t xml:space="preserve"> </w:t>
      </w:r>
    </w:p>
    <w:p w14:paraId="4384E857" w14:textId="77777777" w:rsidR="005B01CE" w:rsidRDefault="005B01CE" w:rsidP="00F21B6F">
      <w:pPr>
        <w:pStyle w:val="SingleTxtG"/>
        <w:tabs>
          <w:tab w:val="left" w:pos="2835"/>
        </w:tabs>
        <w:ind w:left="2835"/>
        <w:rPr>
          <w:lang w:val="en-GB"/>
        </w:rPr>
      </w:pPr>
      <w:r>
        <w:rPr>
          <w:lang w:val="en-GB"/>
        </w:rPr>
        <w:t>In (d), replace “a</w:t>
      </w:r>
      <w:r w:rsidRPr="00A66CD9">
        <w:rPr>
          <w:lang w:val="en-GB"/>
        </w:rPr>
        <w:t>ccording to” with “</w:t>
      </w:r>
      <w:r>
        <w:rPr>
          <w:lang w:val="en-GB"/>
        </w:rPr>
        <w:t>i</w:t>
      </w:r>
      <w:r w:rsidRPr="00A66CD9">
        <w:rPr>
          <w:lang w:val="en-GB"/>
        </w:rPr>
        <w:t>n accordance with”</w:t>
      </w:r>
      <w:r w:rsidR="00B368D6">
        <w:rPr>
          <w:lang w:val="en-GB"/>
        </w:rPr>
        <w:t>.</w:t>
      </w:r>
    </w:p>
    <w:p w14:paraId="5290DF8C" w14:textId="60FA602A" w:rsidR="00A23C78" w:rsidRPr="000E54D9" w:rsidRDefault="002E2CD0" w:rsidP="00A23C78">
      <w:pPr>
        <w:ind w:left="1134" w:right="991"/>
        <w:jc w:val="both"/>
      </w:pPr>
      <w:r>
        <w:t>9.</w:t>
      </w:r>
      <w:r>
        <w:tab/>
      </w:r>
      <w:r w:rsidR="001553A9" w:rsidRPr="00E33B91">
        <w:t>The Sub-Committee</w:t>
      </w:r>
      <w:r w:rsidR="001553A9">
        <w:t>s are</w:t>
      </w:r>
      <w:r w:rsidR="001553A9" w:rsidRPr="00E33B91">
        <w:t xml:space="preserve"> invited to</w:t>
      </w:r>
      <w:r w:rsidR="00FC3B96" w:rsidRPr="00CC4E88">
        <w:t xml:space="preserve"> consider the proposed amendments listed in paragraph</w:t>
      </w:r>
      <w:r w:rsidR="00FC3B96">
        <w:t>s 7 and 8</w:t>
      </w:r>
      <w:r w:rsidR="00FC3B96" w:rsidRPr="00CC4E88">
        <w:t xml:space="preserve"> </w:t>
      </w:r>
      <w:r w:rsidR="005C06EE">
        <w:t>above</w:t>
      </w:r>
      <w:r w:rsidR="00CB2AE0">
        <w:t xml:space="preserve"> </w:t>
      </w:r>
      <w:r w:rsidR="00E33839">
        <w:t xml:space="preserve">when considering the proposals </w:t>
      </w:r>
      <w:r w:rsidR="000D5FE3">
        <w:t xml:space="preserve">provided </w:t>
      </w:r>
      <w:r w:rsidR="00E33839">
        <w:t xml:space="preserve">in </w:t>
      </w:r>
      <w:r w:rsidR="008F6440" w:rsidRPr="00A66CD9">
        <w:t>ST/SG/AC.10/C.3/2022/50 − ST/SG/AC.10/C.4/2022/10</w:t>
      </w:r>
      <w:r w:rsidR="00FC3B96" w:rsidRPr="00CC4E88">
        <w:rPr>
          <w:rFonts w:eastAsia="MS Mincho"/>
          <w:lang w:val="en-US" w:eastAsia="ja-JP"/>
        </w:rPr>
        <w:t xml:space="preserve"> </w:t>
      </w:r>
      <w:r w:rsidR="00AA2484" w:rsidRPr="00A66CD9">
        <w:t xml:space="preserve">as well as those proposed by AEISG in informal document </w:t>
      </w:r>
      <w:r w:rsidR="00A23C78" w:rsidRPr="000E54D9">
        <w:t>INF.20</w:t>
      </w:r>
      <w:r w:rsidR="004A6958">
        <w:t xml:space="preserve"> (TDG)</w:t>
      </w:r>
      <w:r w:rsidR="00A23C78">
        <w:t xml:space="preserve"> - </w:t>
      </w:r>
      <w:r w:rsidR="00A23C78" w:rsidRPr="000E54D9">
        <w:t>INF.12</w:t>
      </w:r>
      <w:r w:rsidR="004A6958">
        <w:t xml:space="preserve"> (GHS)</w:t>
      </w:r>
      <w:r w:rsidR="00E33839">
        <w:t>.</w:t>
      </w:r>
    </w:p>
    <w:p w14:paraId="2078CFBE" w14:textId="1ADCD1B5" w:rsidR="008F6440" w:rsidRDefault="008F6440" w:rsidP="002E2CD0">
      <w:pPr>
        <w:pStyle w:val="SingleTxtG"/>
        <w:rPr>
          <w:rFonts w:eastAsia="MS Mincho"/>
          <w:lang w:val="en-US" w:eastAsia="ja-JP"/>
        </w:rPr>
      </w:pPr>
    </w:p>
    <w:p w14:paraId="63B5459A" w14:textId="77777777" w:rsidR="002E2CD0" w:rsidRDefault="002E2CD0" w:rsidP="00F21B6F">
      <w:pPr>
        <w:pStyle w:val="SingleTxtG"/>
        <w:tabs>
          <w:tab w:val="left" w:pos="2835"/>
        </w:tabs>
        <w:ind w:left="2835"/>
        <w:rPr>
          <w:lang w:val="en-GB"/>
        </w:rPr>
      </w:pPr>
    </w:p>
    <w:p w14:paraId="67A6D44A" w14:textId="77777777" w:rsidR="002E2CD0" w:rsidRDefault="002E2CD0" w:rsidP="00F21B6F">
      <w:pPr>
        <w:pStyle w:val="SingleTxtG"/>
        <w:tabs>
          <w:tab w:val="left" w:pos="2835"/>
        </w:tabs>
        <w:ind w:left="2835"/>
        <w:rPr>
          <w:lang w:val="en-GB"/>
        </w:rPr>
      </w:pPr>
    </w:p>
    <w:p w14:paraId="2F6F0FD7" w14:textId="3C3C12B7" w:rsidR="002E2CD0" w:rsidRPr="00A66CD9" w:rsidRDefault="002E2CD0" w:rsidP="00F21B6F">
      <w:pPr>
        <w:pStyle w:val="SingleTxtG"/>
        <w:tabs>
          <w:tab w:val="left" w:pos="2835"/>
        </w:tabs>
        <w:ind w:left="2835"/>
        <w:rPr>
          <w:lang w:val="en-GB"/>
        </w:rPr>
        <w:sectPr w:rsidR="002E2CD0" w:rsidRPr="00A66CD9" w:rsidSect="00266BDD">
          <w:headerReference w:type="even" r:id="rId11"/>
          <w:headerReference w:type="default" r:id="rId12"/>
          <w:footerReference w:type="even" r:id="rId13"/>
          <w:footerReference w:type="default" r:id="rId14"/>
          <w:headerReference w:type="first" r:id="rId15"/>
          <w:endnotePr>
            <w:numFmt w:val="decimal"/>
          </w:endnotePr>
          <w:pgSz w:w="11906" w:h="16838" w:code="9"/>
          <w:pgMar w:top="1418" w:right="1134" w:bottom="1134" w:left="1134" w:header="851" w:footer="680" w:gutter="0"/>
          <w:cols w:space="708"/>
          <w:titlePg/>
          <w:docGrid w:linePitch="360"/>
        </w:sectPr>
      </w:pPr>
    </w:p>
    <w:p w14:paraId="353CAD95" w14:textId="23BF62B3" w:rsidR="00236BBD" w:rsidRPr="00A66CD9" w:rsidRDefault="00236BBD" w:rsidP="000216C2">
      <w:pPr>
        <w:pStyle w:val="HChG"/>
        <w:rPr>
          <w:lang w:val="en-GB"/>
        </w:rPr>
      </w:pPr>
      <w:r w:rsidRPr="00A66CD9">
        <w:rPr>
          <w:lang w:val="en-GB"/>
        </w:rPr>
        <w:lastRenderedPageBreak/>
        <w:t>Annex</w:t>
      </w:r>
    </w:p>
    <w:p w14:paraId="4946A065" w14:textId="02901871" w:rsidR="00EF5FA8" w:rsidRPr="00A66CD9" w:rsidRDefault="00EF5FA8" w:rsidP="00EF5FA8">
      <w:pPr>
        <w:pStyle w:val="HChG"/>
        <w:rPr>
          <w:lang w:val="en-GB"/>
        </w:rPr>
      </w:pPr>
      <w:r w:rsidRPr="00A66CD9">
        <w:rPr>
          <w:lang w:val="en-GB"/>
        </w:rPr>
        <w:tab/>
      </w:r>
      <w:r w:rsidR="001E7A06">
        <w:rPr>
          <w:lang w:val="en-GB"/>
        </w:rPr>
        <w:t>Part I:</w:t>
      </w:r>
      <w:r w:rsidRPr="00A66CD9">
        <w:rPr>
          <w:lang w:val="en-GB"/>
        </w:rPr>
        <w:tab/>
      </w:r>
      <w:r w:rsidR="00443E39" w:rsidRPr="00A66CD9">
        <w:rPr>
          <w:lang w:val="en-GB"/>
        </w:rPr>
        <w:t>Amended version of Chapter 2.17 of the GHS</w:t>
      </w:r>
    </w:p>
    <w:p w14:paraId="24EE60E4" w14:textId="0AED6A29" w:rsidR="00EF5FA8" w:rsidRPr="00A66CD9" w:rsidRDefault="00EF5FA8" w:rsidP="001E7A06">
      <w:pPr>
        <w:pStyle w:val="SingleTxtG"/>
        <w:ind w:right="-1"/>
        <w:rPr>
          <w:lang w:val="en-GB"/>
        </w:rPr>
      </w:pPr>
      <w:r w:rsidRPr="00A66CD9">
        <w:rPr>
          <w:lang w:val="en-GB"/>
        </w:rPr>
        <w:tab/>
      </w:r>
      <w:r w:rsidR="00A606AC" w:rsidRPr="00A66CD9">
        <w:rPr>
          <w:lang w:val="en-GB"/>
        </w:rPr>
        <w:t xml:space="preserve">The consolidated </w:t>
      </w:r>
      <w:r w:rsidR="004C7E31" w:rsidRPr="00A66CD9">
        <w:rPr>
          <w:lang w:val="en-GB"/>
        </w:rPr>
        <w:t xml:space="preserve">text </w:t>
      </w:r>
      <w:r w:rsidR="004B7389" w:rsidRPr="00A66CD9">
        <w:rPr>
          <w:lang w:val="en-GB"/>
        </w:rPr>
        <w:t xml:space="preserve">of </w:t>
      </w:r>
      <w:r w:rsidRPr="00A66CD9">
        <w:rPr>
          <w:lang w:val="en-GB"/>
        </w:rPr>
        <w:t>Chapter 2.17 of the GHS, as amended by</w:t>
      </w:r>
      <w:r w:rsidR="004B7389" w:rsidRPr="00A66CD9">
        <w:rPr>
          <w:lang w:val="en-GB"/>
        </w:rPr>
        <w:t xml:space="preserve"> </w:t>
      </w:r>
      <w:r w:rsidR="0037488D" w:rsidRPr="00A66CD9">
        <w:rPr>
          <w:lang w:val="en-GB"/>
        </w:rPr>
        <w:t xml:space="preserve">Germany and the United States of America in </w:t>
      </w:r>
      <w:r w:rsidR="004C7E31" w:rsidRPr="00A66CD9">
        <w:rPr>
          <w:lang w:val="en-GB"/>
        </w:rPr>
        <w:t>ST/SG/AC.10/C.3/2022/50 − ST/SG/AC.10/C.4/2022/10</w:t>
      </w:r>
      <w:r w:rsidR="004B7389" w:rsidRPr="00A66CD9">
        <w:rPr>
          <w:lang w:val="en-GB"/>
        </w:rPr>
        <w:t xml:space="preserve"> </w:t>
      </w:r>
      <w:r w:rsidR="0037488D" w:rsidRPr="00A66CD9">
        <w:rPr>
          <w:lang w:val="en-GB"/>
        </w:rPr>
        <w:t>and</w:t>
      </w:r>
      <w:r w:rsidR="004B7389" w:rsidRPr="00A66CD9">
        <w:rPr>
          <w:lang w:val="en-GB"/>
        </w:rPr>
        <w:t xml:space="preserve"> </w:t>
      </w:r>
      <w:r w:rsidR="0037488D" w:rsidRPr="00A66CD9">
        <w:rPr>
          <w:lang w:val="en-GB"/>
        </w:rPr>
        <w:t xml:space="preserve">by AEISG in </w:t>
      </w:r>
      <w:r w:rsidR="004C7E31" w:rsidRPr="00A66CD9">
        <w:rPr>
          <w:lang w:val="en-GB"/>
        </w:rPr>
        <w:t>informal document INF.20 (TDG) -</w:t>
      </w:r>
      <w:r w:rsidR="004C7E31" w:rsidRPr="00A66CD9" w:rsidDel="0076725C">
        <w:rPr>
          <w:lang w:val="en-GB"/>
        </w:rPr>
        <w:t xml:space="preserve"> </w:t>
      </w:r>
      <w:r w:rsidR="004C7E31" w:rsidRPr="00A66CD9">
        <w:rPr>
          <w:lang w:val="en-GB"/>
        </w:rPr>
        <w:t>INF.12 (GHS)</w:t>
      </w:r>
      <w:r w:rsidR="00D70F1F">
        <w:rPr>
          <w:lang w:val="en-GB"/>
        </w:rPr>
        <w:t xml:space="preserve"> is shown below, </w:t>
      </w:r>
      <w:r w:rsidR="004B7389" w:rsidRPr="00A66CD9">
        <w:rPr>
          <w:lang w:val="en-GB"/>
        </w:rPr>
        <w:t xml:space="preserve">with the additional </w:t>
      </w:r>
      <w:r w:rsidR="009E4A5F" w:rsidRPr="00A66CD9">
        <w:rPr>
          <w:lang w:val="en-GB"/>
        </w:rPr>
        <w:t>editorial improvements proposed by the United Kingdom in this document</w:t>
      </w:r>
      <w:r w:rsidR="00311A8D" w:rsidRPr="00A66CD9">
        <w:rPr>
          <w:lang w:val="en-GB"/>
        </w:rPr>
        <w:t>, is shown below.</w:t>
      </w:r>
    </w:p>
    <w:p w14:paraId="4631BCED" w14:textId="7B7893AF" w:rsidR="00A606AC" w:rsidRPr="00A66CD9" w:rsidRDefault="00A606AC" w:rsidP="001E7A06">
      <w:pPr>
        <w:pStyle w:val="SingleTxtG"/>
        <w:ind w:right="-1"/>
        <w:rPr>
          <w:strike/>
          <w:lang w:val="en-GB"/>
        </w:rPr>
      </w:pPr>
      <w:r w:rsidRPr="00A66CD9">
        <w:rPr>
          <w:lang w:val="en-GB"/>
        </w:rPr>
        <w:t xml:space="preserve">Only the amendments </w:t>
      </w:r>
      <w:r w:rsidR="00084B06" w:rsidRPr="00A66CD9">
        <w:rPr>
          <w:lang w:val="en-GB"/>
        </w:rPr>
        <w:t xml:space="preserve">proposed in this document are </w:t>
      </w:r>
      <w:r w:rsidR="00084B06" w:rsidRPr="00A66CD9">
        <w:rPr>
          <w:highlight w:val="yellow"/>
          <w:lang w:val="en-GB"/>
        </w:rPr>
        <w:t>highlighted</w:t>
      </w:r>
      <w:r w:rsidR="00084B06" w:rsidRPr="00A66CD9">
        <w:rPr>
          <w:lang w:val="en-GB"/>
        </w:rPr>
        <w:t xml:space="preserve">. Inserted text is </w:t>
      </w:r>
      <w:r w:rsidR="00EB374E" w:rsidRPr="00A66CD9">
        <w:rPr>
          <w:lang w:val="en-GB"/>
        </w:rPr>
        <w:t>s</w:t>
      </w:r>
      <w:r w:rsidR="00084B06" w:rsidRPr="00A66CD9">
        <w:rPr>
          <w:lang w:val="en-GB"/>
        </w:rPr>
        <w:t>how</w:t>
      </w:r>
      <w:r w:rsidR="00EB374E" w:rsidRPr="00A66CD9">
        <w:rPr>
          <w:lang w:val="en-GB"/>
        </w:rPr>
        <w:t xml:space="preserve">n in </w:t>
      </w:r>
      <w:r w:rsidR="00EB374E" w:rsidRPr="00A66CD9">
        <w:rPr>
          <w:b/>
          <w:bCs/>
          <w:u w:val="single"/>
          <w:lang w:val="en-GB"/>
        </w:rPr>
        <w:t xml:space="preserve">bold, underlined, </w:t>
      </w:r>
      <w:r w:rsidR="00EB374E" w:rsidRPr="00A66CD9">
        <w:rPr>
          <w:lang w:val="en-GB"/>
        </w:rPr>
        <w:t xml:space="preserve">deleted text is </w:t>
      </w:r>
      <w:proofErr w:type="gramStart"/>
      <w:r w:rsidR="00EB374E" w:rsidRPr="00A66CD9">
        <w:rPr>
          <w:strike/>
          <w:lang w:val="en-GB"/>
        </w:rPr>
        <w:t>crossed-out</w:t>
      </w:r>
      <w:proofErr w:type="gramEnd"/>
      <w:r w:rsidR="00EB374E" w:rsidRPr="00A66CD9">
        <w:rPr>
          <w:strike/>
          <w:lang w:val="en-GB"/>
        </w:rPr>
        <w:t>.</w:t>
      </w:r>
    </w:p>
    <w:p w14:paraId="18A60AE0" w14:textId="77777777" w:rsidR="000D2A50" w:rsidRPr="00A66CD9" w:rsidRDefault="000D2A50" w:rsidP="00837902">
      <w:pPr>
        <w:pStyle w:val="Heading2"/>
        <w:jc w:val="center"/>
        <w:rPr>
          <w:b/>
          <w:bCs/>
        </w:rPr>
      </w:pPr>
    </w:p>
    <w:p w14:paraId="76ADB820" w14:textId="6057856A" w:rsidR="00837902" w:rsidRPr="00A66CD9" w:rsidRDefault="00837902" w:rsidP="00837902">
      <w:pPr>
        <w:pStyle w:val="Heading2"/>
        <w:jc w:val="center"/>
        <w:rPr>
          <w:b/>
          <w:bCs/>
        </w:rPr>
      </w:pPr>
      <w:r w:rsidRPr="00A66CD9">
        <w:rPr>
          <w:b/>
          <w:bCs/>
        </w:rPr>
        <w:t>“CHAPTER 2.17</w:t>
      </w:r>
    </w:p>
    <w:p w14:paraId="017DA9D3" w14:textId="77777777" w:rsidR="00837902" w:rsidRPr="00A66CD9" w:rsidRDefault="00837902" w:rsidP="00837902"/>
    <w:p w14:paraId="4CE8C36A" w14:textId="77777777" w:rsidR="00837902" w:rsidRPr="00A66CD9" w:rsidRDefault="00837902" w:rsidP="00837902">
      <w:pPr>
        <w:pStyle w:val="Heading2"/>
        <w:jc w:val="center"/>
        <w:rPr>
          <w:b/>
          <w:bCs/>
        </w:rPr>
      </w:pPr>
      <w:r w:rsidRPr="00A66CD9">
        <w:rPr>
          <w:b/>
          <w:bCs/>
        </w:rPr>
        <w:t>DESENSITIZED EXPLOSIVES</w:t>
      </w:r>
    </w:p>
    <w:p w14:paraId="189DA974" w14:textId="77777777" w:rsidR="00837902" w:rsidRPr="00A66CD9" w:rsidRDefault="00837902" w:rsidP="00A66CD9">
      <w:pPr>
        <w:pStyle w:val="GHSHeading3"/>
        <w:spacing w:before="240" w:after="240"/>
        <w:jc w:val="both"/>
        <w:rPr>
          <w:sz w:val="20"/>
          <w:szCs w:val="20"/>
        </w:rPr>
      </w:pPr>
      <w:r w:rsidRPr="00A66CD9">
        <w:rPr>
          <w:sz w:val="20"/>
          <w:szCs w:val="20"/>
        </w:rPr>
        <w:t xml:space="preserve">2.17.1 </w:t>
      </w:r>
      <w:r w:rsidRPr="00A66CD9">
        <w:rPr>
          <w:sz w:val="20"/>
          <w:szCs w:val="20"/>
        </w:rPr>
        <w:tab/>
        <w:t>Definitions and general considerations</w:t>
      </w:r>
    </w:p>
    <w:p w14:paraId="737A9450" w14:textId="34FC0546" w:rsidR="00837902" w:rsidRPr="00A66CD9" w:rsidRDefault="00837902" w:rsidP="00A66CD9">
      <w:pPr>
        <w:tabs>
          <w:tab w:val="left" w:pos="1418"/>
        </w:tabs>
        <w:spacing w:after="240"/>
        <w:jc w:val="both"/>
      </w:pPr>
      <w:r w:rsidRPr="00A66CD9">
        <w:t xml:space="preserve">2.17.1.1 </w:t>
      </w:r>
      <w:r w:rsidRPr="00A66CD9">
        <w:tab/>
        <w:t>Desensitized explosives are substances and mixtures in the scope of Chapter 2.1which are phlegmatized to suppress their explosive properties in such a manner that they meet the criteria as specified in 2.17.2 and thus may be exempted from the hazard class “Explosives” (Chapter 2.1; see paragraph 2.1.1.2.2).</w:t>
      </w:r>
    </w:p>
    <w:p w14:paraId="4098C4B6" w14:textId="77777777" w:rsidR="00837902" w:rsidRPr="00A66CD9" w:rsidRDefault="00837902" w:rsidP="00A66CD9">
      <w:pPr>
        <w:tabs>
          <w:tab w:val="left" w:pos="1418"/>
        </w:tabs>
        <w:spacing w:after="240"/>
        <w:jc w:val="both"/>
      </w:pPr>
      <w:r w:rsidRPr="00A66CD9">
        <w:t>2.17.1.2</w:t>
      </w:r>
      <w:r w:rsidRPr="00A66CD9">
        <w:tab/>
        <w:t>The class of desensitized explosives comprises:</w:t>
      </w:r>
    </w:p>
    <w:p w14:paraId="3FBF5980" w14:textId="77777777" w:rsidR="00837902" w:rsidRPr="00A66CD9" w:rsidRDefault="00837902" w:rsidP="00A66CD9">
      <w:pPr>
        <w:tabs>
          <w:tab w:val="left" w:pos="1418"/>
          <w:tab w:val="left" w:pos="1985"/>
        </w:tabs>
        <w:spacing w:after="240"/>
        <w:ind w:left="1985" w:hanging="567"/>
        <w:jc w:val="both"/>
      </w:pPr>
      <w:r w:rsidRPr="00A66CD9">
        <w:t>(a)</w:t>
      </w:r>
      <w:r w:rsidRPr="00A66CD9">
        <w:tab/>
        <w:t>Solid desensitized explosives: explosive substances or mixtures which are wetted with water or alcohols or are diluted with other substances, to form a homogeneous solid mixture to suppress their explosive properties.</w:t>
      </w:r>
    </w:p>
    <w:p w14:paraId="2AD9661B" w14:textId="77777777" w:rsidR="00837902" w:rsidRPr="00A66CD9" w:rsidRDefault="00837902" w:rsidP="00A66CD9">
      <w:pPr>
        <w:spacing w:after="240"/>
        <w:ind w:left="1985"/>
        <w:jc w:val="both"/>
      </w:pPr>
      <w:r w:rsidRPr="00A66CD9">
        <w:rPr>
          <w:b/>
          <w:i/>
        </w:rPr>
        <w:t>NOTE:</w:t>
      </w:r>
      <w:r w:rsidRPr="00A66CD9">
        <w:t xml:space="preserve"> </w:t>
      </w:r>
      <w:r w:rsidRPr="00A66CD9">
        <w:rPr>
          <w:i/>
        </w:rPr>
        <w:t>This includes desensitization achieved by formation of hydrates of the substances.</w:t>
      </w:r>
      <w:r w:rsidRPr="00A66CD9">
        <w:t xml:space="preserve"> </w:t>
      </w:r>
    </w:p>
    <w:p w14:paraId="712EF525" w14:textId="77777777" w:rsidR="00837902" w:rsidRPr="00A66CD9" w:rsidRDefault="00837902" w:rsidP="00A66CD9">
      <w:pPr>
        <w:tabs>
          <w:tab w:val="left" w:pos="1418"/>
          <w:tab w:val="left" w:pos="1985"/>
        </w:tabs>
        <w:spacing w:after="240"/>
        <w:ind w:left="1985" w:hanging="567"/>
        <w:jc w:val="both"/>
      </w:pPr>
      <w:r w:rsidRPr="00A66CD9">
        <w:t>(b)</w:t>
      </w:r>
      <w:r w:rsidRPr="00A66CD9">
        <w:tab/>
        <w:t>Liquid desensitized explosives: explosive substances or mixtures which are dissolved or suspended in water or other liquid substances, to form a homogeneous liquid mixture to suppress their explosive properties.</w:t>
      </w:r>
    </w:p>
    <w:p w14:paraId="317F7664" w14:textId="77777777" w:rsidR="00837902" w:rsidRPr="00A66CD9" w:rsidRDefault="00837902" w:rsidP="00A66CD9">
      <w:pPr>
        <w:pStyle w:val="GHSHeading3"/>
        <w:spacing w:before="240" w:after="240"/>
        <w:jc w:val="both"/>
        <w:rPr>
          <w:sz w:val="20"/>
          <w:szCs w:val="20"/>
        </w:rPr>
      </w:pPr>
      <w:r w:rsidRPr="00A66CD9">
        <w:rPr>
          <w:sz w:val="20"/>
          <w:szCs w:val="20"/>
        </w:rPr>
        <w:t xml:space="preserve">2.17.2 </w:t>
      </w:r>
      <w:r w:rsidRPr="00A66CD9">
        <w:rPr>
          <w:sz w:val="20"/>
          <w:szCs w:val="20"/>
        </w:rPr>
        <w:tab/>
        <w:t>Classification criteria</w:t>
      </w:r>
    </w:p>
    <w:p w14:paraId="01EDAE2D" w14:textId="04962E34" w:rsidR="00837902" w:rsidRPr="00A66CD9" w:rsidRDefault="00837902" w:rsidP="00A66CD9">
      <w:pPr>
        <w:pStyle w:val="GHStext"/>
        <w:rPr>
          <w:lang w:val="en-GB"/>
        </w:rPr>
      </w:pPr>
      <w:r w:rsidRPr="00A66CD9">
        <w:rPr>
          <w:szCs w:val="20"/>
          <w:lang w:val="en-GB"/>
        </w:rPr>
        <w:t xml:space="preserve">2.17.2.1 </w:t>
      </w:r>
      <w:r w:rsidRPr="00A66CD9">
        <w:rPr>
          <w:szCs w:val="20"/>
          <w:lang w:val="en-GB"/>
        </w:rPr>
        <w:tab/>
      </w:r>
      <w:r w:rsidRPr="003E7A8E">
        <w:rPr>
          <w:strike/>
          <w:highlight w:val="yellow"/>
          <w:lang w:val="en-GB"/>
        </w:rPr>
        <w:t xml:space="preserve">An explosive which is </w:t>
      </w:r>
      <w:proofErr w:type="gramStart"/>
      <w:r w:rsidRPr="003E7A8E">
        <w:rPr>
          <w:strike/>
          <w:highlight w:val="yellow"/>
          <w:lang w:val="en-GB"/>
        </w:rPr>
        <w:t>phlegmatized</w:t>
      </w:r>
      <w:r w:rsidRPr="003E7A8E">
        <w:rPr>
          <w:highlight w:val="yellow"/>
          <w:lang w:val="en-GB"/>
        </w:rPr>
        <w:t xml:space="preserve"> </w:t>
      </w:r>
      <w:r w:rsidR="00941B52" w:rsidRPr="003E7A8E">
        <w:rPr>
          <w:highlight w:val="yellow"/>
        </w:rPr>
        <w:t xml:space="preserve"> </w:t>
      </w:r>
      <w:r w:rsidR="00941B52" w:rsidRPr="003E7A8E">
        <w:rPr>
          <w:b/>
          <w:bCs/>
          <w:highlight w:val="yellow"/>
          <w:u w:val="single"/>
        </w:rPr>
        <w:t>A</w:t>
      </w:r>
      <w:proofErr w:type="gramEnd"/>
      <w:r w:rsidR="00941B52" w:rsidRPr="003E7A8E">
        <w:rPr>
          <w:b/>
          <w:bCs/>
          <w:highlight w:val="yellow"/>
          <w:u w:val="single"/>
        </w:rPr>
        <w:t xml:space="preserve"> </w:t>
      </w:r>
      <w:proofErr w:type="spellStart"/>
      <w:r w:rsidR="00941B52" w:rsidRPr="00BC1DEC">
        <w:rPr>
          <w:b/>
          <w:bCs/>
          <w:highlight w:val="yellow"/>
          <w:u w:val="single"/>
        </w:rPr>
        <w:t>phlegmatized</w:t>
      </w:r>
      <w:proofErr w:type="spellEnd"/>
      <w:r w:rsidR="00941B52" w:rsidRPr="00BC1DEC">
        <w:rPr>
          <w:b/>
          <w:bCs/>
          <w:highlight w:val="yellow"/>
          <w:u w:val="single"/>
        </w:rPr>
        <w:t xml:space="preserve"> explosive</w:t>
      </w:r>
      <w:r w:rsidR="00941B52" w:rsidRPr="00A66CD9" w:rsidDel="00AE63E6">
        <w:rPr>
          <w:lang w:val="en-GB"/>
        </w:rPr>
        <w:t xml:space="preserve"> </w:t>
      </w:r>
      <w:r w:rsidRPr="00A66CD9">
        <w:rPr>
          <w:lang w:val="en-GB"/>
        </w:rPr>
        <w:t xml:space="preserve">should be considered </w:t>
      </w:r>
      <w:r w:rsidRPr="00A66CD9">
        <w:rPr>
          <w:b/>
          <w:bCs/>
          <w:highlight w:val="yellow"/>
          <w:u w:val="single"/>
          <w:lang w:val="en-GB"/>
        </w:rPr>
        <w:t>for inclusion</w:t>
      </w:r>
      <w:r w:rsidRPr="00A66CD9">
        <w:rPr>
          <w:lang w:val="en-GB"/>
        </w:rPr>
        <w:t xml:space="preserve"> in this class if, in that state, the exothermic decomposition energy is ≥ 300 J/g.</w:t>
      </w:r>
    </w:p>
    <w:p w14:paraId="163FB1A4" w14:textId="77777777" w:rsidR="00837902" w:rsidRPr="00A66CD9" w:rsidRDefault="00837902" w:rsidP="00A66CD9">
      <w:pPr>
        <w:pStyle w:val="GHStext"/>
        <w:ind w:left="1134"/>
        <w:rPr>
          <w:i/>
          <w:iCs/>
          <w:lang w:val="en-GB"/>
        </w:rPr>
      </w:pPr>
      <w:r w:rsidRPr="00A66CD9">
        <w:rPr>
          <w:b/>
          <w:bCs/>
          <w:i/>
          <w:iCs/>
          <w:lang w:val="en-GB"/>
        </w:rPr>
        <w:t>NOTE 1</w:t>
      </w:r>
      <w:r w:rsidRPr="00A66CD9">
        <w:rPr>
          <w:i/>
          <w:iCs/>
          <w:lang w:val="en-GB"/>
        </w:rPr>
        <w:t>:</w:t>
      </w:r>
      <w:r w:rsidRPr="00A66CD9">
        <w:rPr>
          <w:i/>
          <w:iCs/>
          <w:lang w:val="en-GB"/>
        </w:rPr>
        <w:tab/>
        <w:t>The exothermic decomposition energy may be estimated using a suitable calorimetric technique (see section 20, sub-section 20.3.3.3 in Part II of the Manual of Tests and Criteria).</w:t>
      </w:r>
    </w:p>
    <w:p w14:paraId="248EAA63" w14:textId="77777777" w:rsidR="00837902" w:rsidRPr="00A66CD9" w:rsidRDefault="00837902" w:rsidP="00A66CD9">
      <w:pPr>
        <w:pStyle w:val="GHStext"/>
        <w:ind w:left="1134"/>
        <w:rPr>
          <w:i/>
          <w:iCs/>
          <w:lang w:val="en-GB"/>
        </w:rPr>
      </w:pPr>
      <w:r w:rsidRPr="00A66CD9">
        <w:rPr>
          <w:b/>
          <w:bCs/>
          <w:i/>
          <w:iCs/>
          <w:lang w:val="en-GB"/>
        </w:rPr>
        <w:t>NOTE 2:</w:t>
      </w:r>
      <w:r w:rsidRPr="00A66CD9">
        <w:rPr>
          <w:i/>
          <w:iCs/>
          <w:lang w:val="en-GB"/>
        </w:rPr>
        <w:tab/>
        <w:t>Substances and mixtures with an exothermic decomposition energy &lt; 300 J/g should be considered for other physical hazard classes (</w:t>
      </w:r>
      <w:proofErr w:type="gramStart"/>
      <w:r w:rsidRPr="00A66CD9">
        <w:rPr>
          <w:i/>
          <w:iCs/>
          <w:lang w:val="en-GB"/>
        </w:rPr>
        <w:t>e.g.</w:t>
      </w:r>
      <w:proofErr w:type="gramEnd"/>
      <w:r w:rsidRPr="00A66CD9">
        <w:rPr>
          <w:i/>
          <w:iCs/>
          <w:lang w:val="en-GB"/>
        </w:rPr>
        <w:t xml:space="preserve"> as flammable liquids or flammable solids).</w:t>
      </w:r>
    </w:p>
    <w:p w14:paraId="102B5F3A" w14:textId="0DE3D4AB" w:rsidR="00837902" w:rsidRPr="00A66CD9" w:rsidRDefault="00837902" w:rsidP="00A66CD9">
      <w:pPr>
        <w:pStyle w:val="GHStext"/>
        <w:rPr>
          <w:lang w:val="en-GB"/>
        </w:rPr>
      </w:pPr>
      <w:r w:rsidRPr="00A66CD9">
        <w:rPr>
          <w:snapToGrid/>
          <w:lang w:val="en-GB"/>
        </w:rPr>
        <w:t>2.17.2.2</w:t>
      </w:r>
      <w:r w:rsidRPr="00A66CD9">
        <w:rPr>
          <w:snapToGrid/>
          <w:lang w:val="en-GB"/>
        </w:rPr>
        <w:tab/>
      </w:r>
      <w:r w:rsidRPr="003E7A8E">
        <w:rPr>
          <w:strike/>
          <w:szCs w:val="20"/>
          <w:highlight w:val="yellow"/>
          <w:lang w:val="en-GB"/>
        </w:rPr>
        <w:t xml:space="preserve">An explosive which is </w:t>
      </w:r>
      <w:proofErr w:type="gramStart"/>
      <w:r w:rsidRPr="003E7A8E">
        <w:rPr>
          <w:strike/>
          <w:szCs w:val="20"/>
          <w:highlight w:val="yellow"/>
          <w:lang w:val="en-GB"/>
        </w:rPr>
        <w:t>phlegmatized</w:t>
      </w:r>
      <w:r w:rsidRPr="003E7A8E">
        <w:rPr>
          <w:szCs w:val="20"/>
          <w:highlight w:val="yellow"/>
          <w:lang w:val="en-GB"/>
        </w:rPr>
        <w:t xml:space="preserve"> </w:t>
      </w:r>
      <w:r w:rsidR="00B97F1D" w:rsidRPr="003E7A8E">
        <w:rPr>
          <w:b/>
          <w:bCs/>
          <w:highlight w:val="yellow"/>
          <w:u w:val="single"/>
        </w:rPr>
        <w:t xml:space="preserve"> A</w:t>
      </w:r>
      <w:proofErr w:type="gramEnd"/>
      <w:r w:rsidR="00B97F1D" w:rsidRPr="003E7A8E">
        <w:rPr>
          <w:b/>
          <w:bCs/>
          <w:highlight w:val="yellow"/>
          <w:u w:val="single"/>
        </w:rPr>
        <w:t xml:space="preserve"> </w:t>
      </w:r>
      <w:proofErr w:type="spellStart"/>
      <w:r w:rsidR="00B97F1D" w:rsidRPr="00BC1DEC">
        <w:rPr>
          <w:b/>
          <w:bCs/>
          <w:highlight w:val="yellow"/>
          <w:u w:val="single"/>
        </w:rPr>
        <w:t>phlegmatized</w:t>
      </w:r>
      <w:proofErr w:type="spellEnd"/>
      <w:r w:rsidR="00B97F1D" w:rsidRPr="00BC1DEC">
        <w:rPr>
          <w:b/>
          <w:bCs/>
          <w:highlight w:val="yellow"/>
          <w:u w:val="single"/>
        </w:rPr>
        <w:t xml:space="preserve"> explosive</w:t>
      </w:r>
      <w:r w:rsidR="00B97F1D" w:rsidRPr="00A66CD9" w:rsidDel="00AE63E6">
        <w:rPr>
          <w:lang w:val="en-GB"/>
        </w:rPr>
        <w:t xml:space="preserve"> </w:t>
      </w:r>
      <w:r w:rsidRPr="00A66CD9">
        <w:rPr>
          <w:szCs w:val="20"/>
          <w:lang w:val="en-GB"/>
        </w:rPr>
        <w:t>should be considered</w:t>
      </w:r>
      <w:r w:rsidRPr="00A66CD9">
        <w:rPr>
          <w:szCs w:val="20"/>
          <w:highlight w:val="yellow"/>
          <w:lang w:val="en-GB"/>
        </w:rPr>
        <w:t xml:space="preserve"> </w:t>
      </w:r>
      <w:r w:rsidRPr="00A66CD9">
        <w:rPr>
          <w:b/>
          <w:bCs/>
          <w:szCs w:val="20"/>
          <w:highlight w:val="yellow"/>
          <w:u w:val="single"/>
          <w:lang w:val="en-GB"/>
        </w:rPr>
        <w:t>for inclusion</w:t>
      </w:r>
      <w:r w:rsidRPr="00A66CD9">
        <w:rPr>
          <w:szCs w:val="20"/>
          <w:lang w:val="en-GB"/>
        </w:rPr>
        <w:t xml:space="preserve"> in this class if in that state, it meets the following criteria:</w:t>
      </w:r>
    </w:p>
    <w:p w14:paraId="6AF0DD94" w14:textId="77777777" w:rsidR="00837902" w:rsidRPr="00A66CD9" w:rsidRDefault="00837902" w:rsidP="00A66CD9">
      <w:pPr>
        <w:tabs>
          <w:tab w:val="left" w:pos="1418"/>
          <w:tab w:val="left" w:pos="1985"/>
        </w:tabs>
        <w:spacing w:after="240"/>
        <w:ind w:left="1985" w:hanging="567"/>
        <w:jc w:val="both"/>
      </w:pPr>
      <w:r w:rsidRPr="00A66CD9">
        <w:t>(a)</w:t>
      </w:r>
      <w:r w:rsidRPr="00A66CD9">
        <w:tab/>
        <w:t>It is not intended to produce a practical explosive or pyrotechnic effect; and</w:t>
      </w:r>
    </w:p>
    <w:p w14:paraId="357168BC" w14:textId="77777777" w:rsidR="00837902" w:rsidRPr="00A66CD9" w:rsidRDefault="00837902" w:rsidP="00A66CD9">
      <w:pPr>
        <w:tabs>
          <w:tab w:val="left" w:pos="1418"/>
          <w:tab w:val="left" w:pos="1985"/>
        </w:tabs>
        <w:spacing w:after="240"/>
        <w:ind w:left="1985" w:hanging="567"/>
        <w:jc w:val="both"/>
      </w:pPr>
      <w:r w:rsidRPr="00A66CD9">
        <w:t>(b)</w:t>
      </w:r>
      <w:r w:rsidRPr="00A66CD9">
        <w:tab/>
        <w:t>It is phlegmatized to an extent that,</w:t>
      </w:r>
    </w:p>
    <w:p w14:paraId="5ACBB269" w14:textId="65A6BA6D" w:rsidR="00837902" w:rsidRPr="00A66CD9" w:rsidRDefault="00837902" w:rsidP="00A66CD9">
      <w:pPr>
        <w:tabs>
          <w:tab w:val="left" w:pos="1418"/>
        </w:tabs>
        <w:spacing w:after="240"/>
        <w:ind w:left="2410" w:hanging="425"/>
        <w:jc w:val="both"/>
        <w:rPr>
          <w:i/>
        </w:rPr>
      </w:pPr>
      <w:r w:rsidRPr="00A66CD9">
        <w:t>(i)</w:t>
      </w:r>
      <w:r w:rsidRPr="00A66CD9">
        <w:tab/>
        <w:t>it has no mass explosion hazard</w:t>
      </w:r>
      <w:r w:rsidR="00FF0AA6">
        <w:t xml:space="preserve"> </w:t>
      </w:r>
      <w:r w:rsidR="00FF0AA6" w:rsidRPr="00FF0AA6">
        <w:rPr>
          <w:b/>
          <w:bCs/>
          <w:highlight w:val="yellow"/>
          <w:u w:val="single"/>
        </w:rPr>
        <w:t xml:space="preserve">in accordance </w:t>
      </w:r>
      <w:r w:rsidR="00FF0AA6" w:rsidRPr="003E7A8E">
        <w:rPr>
          <w:b/>
          <w:bCs/>
          <w:highlight w:val="yellow"/>
          <w:u w:val="single"/>
        </w:rPr>
        <w:t>with</w:t>
      </w:r>
      <w:r w:rsidRPr="003E7A8E">
        <w:rPr>
          <w:highlight w:val="yellow"/>
        </w:rPr>
        <w:t xml:space="preserve"> </w:t>
      </w:r>
      <w:r w:rsidRPr="003E7A8E">
        <w:rPr>
          <w:strike/>
          <w:highlight w:val="yellow"/>
        </w:rPr>
        <w:t>according to</w:t>
      </w:r>
      <w:r w:rsidRPr="00A66CD9">
        <w:t xml:space="preserve"> test series 6 (a) or 6 (b) of the </w:t>
      </w:r>
      <w:r w:rsidRPr="00A66CD9">
        <w:rPr>
          <w:i/>
        </w:rPr>
        <w:t>Manual of Tests and Criteria; and</w:t>
      </w:r>
    </w:p>
    <w:p w14:paraId="5388563D" w14:textId="0C8CF519" w:rsidR="00837902" w:rsidRPr="00A66CD9" w:rsidRDefault="00837902" w:rsidP="00A66CD9">
      <w:pPr>
        <w:spacing w:before="120" w:line="240" w:lineRule="auto"/>
        <w:ind w:left="2410" w:hanging="425"/>
        <w:jc w:val="both"/>
      </w:pPr>
      <w:r w:rsidRPr="00A66CD9">
        <w:t>(ii)</w:t>
      </w:r>
      <w:r w:rsidRPr="00A66CD9">
        <w:tab/>
        <w:t>it is not too sensitive or thermally unstable</w:t>
      </w:r>
      <w:r w:rsidR="00FF0AA6">
        <w:t xml:space="preserve"> </w:t>
      </w:r>
      <w:r w:rsidR="00FF0AA6" w:rsidRPr="00FF0AA6">
        <w:rPr>
          <w:b/>
          <w:bCs/>
          <w:highlight w:val="yellow"/>
          <w:u w:val="single"/>
        </w:rPr>
        <w:t xml:space="preserve">in accordance </w:t>
      </w:r>
      <w:r w:rsidR="00FF0AA6" w:rsidRPr="003E7A8E">
        <w:rPr>
          <w:b/>
          <w:bCs/>
          <w:highlight w:val="yellow"/>
          <w:u w:val="single"/>
        </w:rPr>
        <w:t>with</w:t>
      </w:r>
      <w:r w:rsidRPr="003E7A8E">
        <w:rPr>
          <w:highlight w:val="yellow"/>
        </w:rPr>
        <w:t xml:space="preserve"> </w:t>
      </w:r>
      <w:r w:rsidRPr="003E7A8E">
        <w:rPr>
          <w:strike/>
          <w:highlight w:val="yellow"/>
        </w:rPr>
        <w:t>according to</w:t>
      </w:r>
      <w:r w:rsidRPr="00A66CD9">
        <w:t xml:space="preserve"> test series 3 of the </w:t>
      </w:r>
      <w:r w:rsidRPr="00A66CD9">
        <w:rPr>
          <w:i/>
          <w:iCs/>
        </w:rPr>
        <w:t xml:space="preserve">Manual of Tests and </w:t>
      </w:r>
      <w:proofErr w:type="gramStart"/>
      <w:r w:rsidRPr="00A66CD9">
        <w:rPr>
          <w:i/>
          <w:iCs/>
        </w:rPr>
        <w:t>Criteria</w:t>
      </w:r>
      <w:r w:rsidRPr="00A66CD9">
        <w:t>;</w:t>
      </w:r>
      <w:proofErr w:type="gramEnd"/>
    </w:p>
    <w:p w14:paraId="306131CF" w14:textId="77777777" w:rsidR="00837902" w:rsidRPr="00A66CD9" w:rsidRDefault="00837902" w:rsidP="00A66CD9">
      <w:pPr>
        <w:spacing w:before="120" w:line="240" w:lineRule="auto"/>
        <w:ind w:left="2410" w:hanging="425"/>
        <w:jc w:val="both"/>
      </w:pPr>
      <w:r w:rsidRPr="00A66CD9">
        <w:lastRenderedPageBreak/>
        <w:t>or that</w:t>
      </w:r>
    </w:p>
    <w:p w14:paraId="1BC0AF43" w14:textId="654E6E2B" w:rsidR="00837902" w:rsidRPr="00A66CD9" w:rsidRDefault="00837902" w:rsidP="00A66CD9">
      <w:pPr>
        <w:spacing w:before="120" w:line="240" w:lineRule="auto"/>
        <w:ind w:left="2410" w:hanging="425"/>
        <w:jc w:val="both"/>
      </w:pPr>
      <w:r w:rsidRPr="00A66CD9">
        <w:t>(iii)</w:t>
      </w:r>
      <w:r w:rsidRPr="00A66CD9">
        <w:tab/>
        <w:t>it is too insensitive for inclusion into in the class of explosives</w:t>
      </w:r>
      <w:r w:rsidR="00F259AF">
        <w:t xml:space="preserve"> </w:t>
      </w:r>
      <w:r w:rsidR="00F259AF" w:rsidRPr="00FF0AA6">
        <w:rPr>
          <w:b/>
          <w:bCs/>
          <w:highlight w:val="yellow"/>
          <w:u w:val="single"/>
        </w:rPr>
        <w:t xml:space="preserve">in accordance </w:t>
      </w:r>
      <w:r w:rsidR="00F259AF" w:rsidRPr="003E7A8E">
        <w:rPr>
          <w:b/>
          <w:bCs/>
          <w:highlight w:val="yellow"/>
          <w:u w:val="single"/>
        </w:rPr>
        <w:t>with</w:t>
      </w:r>
      <w:r w:rsidRPr="003E7A8E">
        <w:rPr>
          <w:highlight w:val="yellow"/>
        </w:rPr>
        <w:t xml:space="preserve"> </w:t>
      </w:r>
      <w:r w:rsidRPr="003E7A8E">
        <w:rPr>
          <w:strike/>
          <w:highlight w:val="yellow"/>
        </w:rPr>
        <w:t>according to</w:t>
      </w:r>
      <w:r w:rsidRPr="00A66CD9">
        <w:t xml:space="preserve"> test series 2 of the </w:t>
      </w:r>
      <w:r w:rsidRPr="00A66CD9">
        <w:rPr>
          <w:i/>
          <w:iCs/>
        </w:rPr>
        <w:t>Manual of Tests and Criteria</w:t>
      </w:r>
      <w:r w:rsidRPr="00A66CD9">
        <w:t>; and</w:t>
      </w:r>
    </w:p>
    <w:p w14:paraId="4A1067BE" w14:textId="0CE563DB" w:rsidR="00837902" w:rsidRPr="00A66CD9" w:rsidRDefault="00837902" w:rsidP="00A66CD9">
      <w:pPr>
        <w:spacing w:before="120" w:line="240" w:lineRule="auto"/>
        <w:ind w:left="1843" w:hanging="425"/>
        <w:jc w:val="both"/>
      </w:pPr>
      <w:r w:rsidRPr="00A66CD9">
        <w:t>(c)</w:t>
      </w:r>
      <w:r w:rsidRPr="00A66CD9">
        <w:tab/>
        <w:t xml:space="preserve">it </w:t>
      </w:r>
      <w:r w:rsidRPr="00A66CD9">
        <w:rPr>
          <w:b/>
          <w:bCs/>
          <w:highlight w:val="yellow"/>
          <w:u w:val="single"/>
        </w:rPr>
        <w:t>presents</w:t>
      </w:r>
      <w:r w:rsidRPr="00A66CD9">
        <w:rPr>
          <w:highlight w:val="yellow"/>
        </w:rPr>
        <w:t xml:space="preserve"> </w:t>
      </w:r>
      <w:r w:rsidR="006E642F" w:rsidRPr="00A66CD9">
        <w:rPr>
          <w:strike/>
          <w:highlight w:val="yellow"/>
        </w:rPr>
        <w:t>has</w:t>
      </w:r>
      <w:r w:rsidR="006E642F" w:rsidRPr="00A66CD9">
        <w:t xml:space="preserve"> </w:t>
      </w:r>
      <w:r w:rsidRPr="00A66CD9">
        <w:t xml:space="preserve">no mass explosion hazard and </w:t>
      </w:r>
      <w:r w:rsidRPr="00A66CD9">
        <w:rPr>
          <w:b/>
          <w:bCs/>
          <w:highlight w:val="yellow"/>
          <w:u w:val="single"/>
        </w:rPr>
        <w:t>has</w:t>
      </w:r>
      <w:r w:rsidRPr="00A66CD9">
        <w:t xml:space="preserve"> a corrected burning rate ≤ 1200 kg/min </w:t>
      </w:r>
      <w:r w:rsidR="00F259AF" w:rsidRPr="00FF0AA6">
        <w:rPr>
          <w:b/>
          <w:bCs/>
          <w:highlight w:val="yellow"/>
          <w:u w:val="single"/>
        </w:rPr>
        <w:t>in accordance with</w:t>
      </w:r>
      <w:r w:rsidR="00F259AF" w:rsidRPr="00A66CD9">
        <w:t xml:space="preserve"> </w:t>
      </w:r>
      <w:r w:rsidRPr="00F259AF">
        <w:rPr>
          <w:strike/>
        </w:rPr>
        <w:t>according to</w:t>
      </w:r>
      <w:r w:rsidRPr="00A66CD9">
        <w:t xml:space="preserve"> the burning rate test of subsection 51.4 of the </w:t>
      </w:r>
      <w:r w:rsidRPr="00A66CD9">
        <w:rPr>
          <w:i/>
        </w:rPr>
        <w:t>Manual of Tests and Criteria</w:t>
      </w:r>
    </w:p>
    <w:p w14:paraId="7268CC05" w14:textId="77777777" w:rsidR="00837902" w:rsidRPr="00A66CD9" w:rsidRDefault="00837902" w:rsidP="00A66CD9">
      <w:pPr>
        <w:spacing w:before="120" w:line="240" w:lineRule="auto"/>
        <w:ind w:left="1843" w:hanging="425"/>
        <w:jc w:val="both"/>
      </w:pPr>
    </w:p>
    <w:p w14:paraId="3967E084" w14:textId="2E04EB0D" w:rsidR="00837902" w:rsidRPr="00A66CD9" w:rsidRDefault="00837902" w:rsidP="00A66CD9">
      <w:pPr>
        <w:pStyle w:val="GHStext"/>
        <w:tabs>
          <w:tab w:val="left" w:pos="1418"/>
        </w:tabs>
        <w:rPr>
          <w:i/>
          <w:iCs/>
          <w:lang w:val="en-GB"/>
        </w:rPr>
      </w:pPr>
      <w:r w:rsidRPr="00A66CD9">
        <w:rPr>
          <w:b/>
          <w:i/>
          <w:iCs/>
          <w:lang w:val="en-GB"/>
        </w:rPr>
        <w:t xml:space="preserve">NOTE: </w:t>
      </w:r>
      <w:r w:rsidRPr="00A66CD9">
        <w:rPr>
          <w:b/>
          <w:i/>
          <w:iCs/>
          <w:lang w:val="en-GB"/>
        </w:rPr>
        <w:tab/>
      </w:r>
      <w:r w:rsidR="00840AD5" w:rsidRPr="004260D3">
        <w:rPr>
          <w:b/>
          <w:i/>
          <w:iCs/>
          <w:highlight w:val="yellow"/>
          <w:u w:val="single"/>
          <w:lang w:val="en-GB"/>
        </w:rPr>
        <w:t xml:space="preserve">Phlegmatized </w:t>
      </w:r>
      <w:r w:rsidR="00840AD5" w:rsidRPr="003E7A8E">
        <w:rPr>
          <w:b/>
          <w:i/>
          <w:iCs/>
          <w:highlight w:val="yellow"/>
          <w:u w:val="single"/>
          <w:lang w:val="en-GB"/>
        </w:rPr>
        <w:t>explosives</w:t>
      </w:r>
      <w:r w:rsidR="00840AD5" w:rsidRPr="003E7A8E">
        <w:rPr>
          <w:b/>
          <w:i/>
          <w:iCs/>
          <w:highlight w:val="yellow"/>
          <w:lang w:val="en-GB"/>
        </w:rPr>
        <w:t xml:space="preserve"> </w:t>
      </w:r>
      <w:r w:rsidRPr="003E7A8E">
        <w:rPr>
          <w:i/>
          <w:iCs/>
          <w:strike/>
          <w:highlight w:val="yellow"/>
          <w:lang w:val="en-GB"/>
        </w:rPr>
        <w:t>Substances and mixtures</w:t>
      </w:r>
      <w:r w:rsidRPr="00A66CD9">
        <w:rPr>
          <w:i/>
          <w:iCs/>
          <w:lang w:val="en-GB"/>
        </w:rPr>
        <w:t xml:space="preserve"> which do not meet the criteria of 2.17.2.2 should be classified as explosives (see Chapter 2.1). </w:t>
      </w:r>
    </w:p>
    <w:p w14:paraId="611CF5CD" w14:textId="77777777" w:rsidR="00837902" w:rsidRPr="00A66CD9" w:rsidRDefault="00837902" w:rsidP="00A66CD9">
      <w:pPr>
        <w:pStyle w:val="GHStext"/>
        <w:tabs>
          <w:tab w:val="left" w:pos="1418"/>
        </w:tabs>
        <w:rPr>
          <w:bCs/>
          <w:lang w:val="en-GB"/>
        </w:rPr>
      </w:pPr>
      <w:r w:rsidRPr="00A66CD9">
        <w:rPr>
          <w:bCs/>
          <w:lang w:val="en-GB"/>
        </w:rPr>
        <w:t>2.17.2.3</w:t>
      </w:r>
      <w:r w:rsidRPr="00A66CD9">
        <w:rPr>
          <w:bCs/>
          <w:lang w:val="en-GB"/>
        </w:rPr>
        <w:tab/>
        <w:t xml:space="preserve">In addition to the criteria in 2.17.2.1 and 2.17.2.2, nitrocellulose should be stable </w:t>
      </w:r>
      <w:r w:rsidRPr="00A66CD9">
        <w:rPr>
          <w:bCs/>
          <w:strike/>
          <w:highlight w:val="yellow"/>
          <w:lang w:val="en-GB"/>
        </w:rPr>
        <w:t>according to</w:t>
      </w:r>
      <w:r w:rsidRPr="00A66CD9">
        <w:rPr>
          <w:bCs/>
          <w:highlight w:val="yellow"/>
          <w:lang w:val="en-GB"/>
        </w:rPr>
        <w:t xml:space="preserve"> </w:t>
      </w:r>
      <w:r w:rsidRPr="00A66CD9">
        <w:rPr>
          <w:b/>
          <w:highlight w:val="yellow"/>
          <w:u w:val="single"/>
          <w:lang w:val="en-GB"/>
        </w:rPr>
        <w:t>in accordance with</w:t>
      </w:r>
      <w:r w:rsidRPr="00A66CD9">
        <w:rPr>
          <w:bCs/>
          <w:lang w:val="en-GB"/>
        </w:rPr>
        <w:t xml:space="preserve"> Appendix 10 of the Manual of Tests and Criteria </w:t>
      </w:r>
      <w:proofErr w:type="gramStart"/>
      <w:r w:rsidRPr="00A66CD9">
        <w:rPr>
          <w:bCs/>
          <w:lang w:val="en-GB"/>
        </w:rPr>
        <w:t>in order to</w:t>
      </w:r>
      <w:proofErr w:type="gramEnd"/>
      <w:r w:rsidRPr="00A66CD9">
        <w:rPr>
          <w:bCs/>
          <w:lang w:val="en-GB"/>
        </w:rPr>
        <w:t xml:space="preserve"> be used in nitrocellulose mixtures considered for this class.</w:t>
      </w:r>
    </w:p>
    <w:p w14:paraId="2F0EAF1D" w14:textId="77777777" w:rsidR="00837902" w:rsidRPr="00A66CD9" w:rsidRDefault="00837902" w:rsidP="00A66CD9">
      <w:pPr>
        <w:pStyle w:val="GHStext"/>
        <w:tabs>
          <w:tab w:val="left" w:pos="1418"/>
        </w:tabs>
        <w:rPr>
          <w:bCs/>
          <w:i/>
          <w:iCs/>
          <w:strike/>
          <w:lang w:val="en-GB"/>
        </w:rPr>
      </w:pPr>
      <w:r w:rsidRPr="00A66CD9">
        <w:rPr>
          <w:b/>
          <w:i/>
          <w:iCs/>
          <w:strike/>
          <w:lang w:val="en-GB"/>
        </w:rPr>
        <w:t>NOTE:</w:t>
      </w:r>
      <w:r w:rsidRPr="00A66CD9">
        <w:rPr>
          <w:b/>
          <w:i/>
          <w:iCs/>
          <w:strike/>
          <w:lang w:val="en-GB"/>
        </w:rPr>
        <w:tab/>
      </w:r>
      <w:r w:rsidRPr="00A66CD9">
        <w:rPr>
          <w:bCs/>
          <w:i/>
          <w:iCs/>
          <w:strike/>
          <w:lang w:val="en-GB"/>
        </w:rPr>
        <w:t>Nitrocellulose mixtures containing no other explosives than nitrocellulose, do not need to meet the criterion of 2.17.2.2 (b) (ii).</w:t>
      </w:r>
    </w:p>
    <w:p w14:paraId="6160A5C1" w14:textId="77777777" w:rsidR="00837902" w:rsidRPr="00A66CD9" w:rsidRDefault="00837902" w:rsidP="00A66CD9">
      <w:pPr>
        <w:spacing w:before="240" w:after="240" w:line="240" w:lineRule="auto"/>
        <w:jc w:val="both"/>
        <w:rPr>
          <w:b/>
          <w:i/>
          <w:iCs/>
        </w:rPr>
      </w:pPr>
      <w:r w:rsidRPr="00A66CD9">
        <w:rPr>
          <w:rFonts w:eastAsiaTheme="minorEastAsia"/>
          <w:i/>
          <w:iCs/>
          <w:highlight w:val="yellow"/>
          <w:lang w:eastAsia="zh-CN"/>
        </w:rPr>
        <w:t>[“</w:t>
      </w:r>
      <w:r w:rsidRPr="00A66CD9">
        <w:rPr>
          <w:rFonts w:eastAsiaTheme="minorEastAsia"/>
          <w:b/>
          <w:bCs/>
          <w:i/>
          <w:iCs/>
          <w:highlight w:val="yellow"/>
          <w:u w:val="single"/>
          <w:lang w:eastAsia="zh-CN"/>
        </w:rPr>
        <w:t>NOTE:</w:t>
      </w:r>
      <w:r w:rsidRPr="00A66CD9">
        <w:rPr>
          <w:rFonts w:eastAsiaTheme="minorEastAsia"/>
          <w:b/>
          <w:bCs/>
          <w:i/>
          <w:iCs/>
          <w:highlight w:val="yellow"/>
          <w:u w:val="single"/>
          <w:lang w:eastAsia="zh-CN"/>
        </w:rPr>
        <w:tab/>
        <w:t xml:space="preserve">Nitrocellulose mixtures containing no explosives other </w:t>
      </w:r>
      <w:r w:rsidRPr="00A66CD9">
        <w:rPr>
          <w:rFonts w:eastAsiaTheme="minorEastAsia"/>
          <w:b/>
          <w:bCs/>
          <w:i/>
          <w:iCs/>
          <w:strike/>
          <w:highlight w:val="yellow"/>
          <w:u w:val="single"/>
          <w:lang w:eastAsia="zh-CN"/>
        </w:rPr>
        <w:t>explosives</w:t>
      </w:r>
      <w:r w:rsidRPr="00A66CD9">
        <w:rPr>
          <w:rFonts w:eastAsiaTheme="minorEastAsia"/>
          <w:b/>
          <w:bCs/>
          <w:i/>
          <w:iCs/>
          <w:highlight w:val="yellow"/>
          <w:u w:val="single"/>
          <w:lang w:eastAsia="zh-CN"/>
        </w:rPr>
        <w:t xml:space="preserve"> than nitrocellulose, do not need to meet the criterion of 2.17.2.2 (b) (ii)</w:t>
      </w:r>
      <w:r w:rsidRPr="00A66CD9">
        <w:rPr>
          <w:rFonts w:eastAsiaTheme="minorEastAsia"/>
          <w:i/>
          <w:iCs/>
          <w:highlight w:val="yellow"/>
          <w:lang w:eastAsia="zh-CN"/>
        </w:rPr>
        <w:t>.”]</w:t>
      </w:r>
    </w:p>
    <w:p w14:paraId="53C3BC1F" w14:textId="7B04F220" w:rsidR="00837902" w:rsidRPr="00A66CD9" w:rsidRDefault="00837902" w:rsidP="00A66CD9">
      <w:pPr>
        <w:tabs>
          <w:tab w:val="left" w:pos="1418"/>
        </w:tabs>
        <w:spacing w:after="240"/>
        <w:jc w:val="both"/>
      </w:pPr>
      <w:r w:rsidRPr="00A66CD9">
        <w:t>2.17.2.4</w:t>
      </w:r>
      <w:r w:rsidRPr="00A66CD9">
        <w:tab/>
        <w:t>Desensitized explosives shall be classified as packaged for supply and use in one of the four categories of this class depending on the corrected burning rate (Ac)</w:t>
      </w:r>
      <w:r w:rsidR="003925FB">
        <w:t xml:space="preserve"> </w:t>
      </w:r>
      <w:r w:rsidR="003925FB" w:rsidRPr="003925FB">
        <w:rPr>
          <w:b/>
          <w:bCs/>
          <w:highlight w:val="yellow"/>
          <w:u w:val="single"/>
        </w:rPr>
        <w:t>determined using the burning rate (external fire</w:t>
      </w:r>
      <w:r w:rsidR="003925FB" w:rsidRPr="00290A5E">
        <w:rPr>
          <w:b/>
          <w:bCs/>
          <w:highlight w:val="yellow"/>
          <w:u w:val="single"/>
        </w:rPr>
        <w:t>) test</w:t>
      </w:r>
      <w:r w:rsidRPr="00290A5E">
        <w:rPr>
          <w:highlight w:val="yellow"/>
        </w:rPr>
        <w:t xml:space="preserve"> </w:t>
      </w:r>
      <w:r w:rsidRPr="00290A5E">
        <w:rPr>
          <w:strike/>
          <w:highlight w:val="yellow"/>
        </w:rPr>
        <w:t>using the test “burning rate test (external fire)”</w:t>
      </w:r>
      <w:r w:rsidRPr="00A66CD9">
        <w:t xml:space="preserve"> described in Part V, sub-section 51.4 of the </w:t>
      </w:r>
      <w:r w:rsidRPr="00A66CD9">
        <w:rPr>
          <w:i/>
        </w:rPr>
        <w:t>Manual of Tests and Criteria</w:t>
      </w:r>
      <w:r w:rsidRPr="00A66CD9">
        <w:t xml:space="preserve">, according to Table 2.17.1: </w:t>
      </w:r>
    </w:p>
    <w:p w14:paraId="1714D764" w14:textId="77777777" w:rsidR="00837902" w:rsidRPr="00A66CD9" w:rsidRDefault="00837902" w:rsidP="00A25DEC">
      <w:pPr>
        <w:keepNext/>
        <w:keepLines/>
        <w:spacing w:after="160"/>
        <w:jc w:val="center"/>
        <w:rPr>
          <w:b/>
          <w:bCs/>
        </w:rPr>
      </w:pPr>
      <w:r w:rsidRPr="00A66CD9">
        <w:rPr>
          <w:b/>
          <w:bCs/>
        </w:rPr>
        <w:t>Table 2.17.1: Criteria for desensitized explosives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98"/>
        <w:gridCol w:w="8441"/>
      </w:tblGrid>
      <w:tr w:rsidR="00837902" w:rsidRPr="00A66CD9" w14:paraId="4392E45D" w14:textId="77777777" w:rsidTr="00887810">
        <w:trPr>
          <w:jc w:val="center"/>
        </w:trPr>
        <w:tc>
          <w:tcPr>
            <w:tcW w:w="1198" w:type="dxa"/>
          </w:tcPr>
          <w:p w14:paraId="1597E0E9" w14:textId="77777777" w:rsidR="00837902" w:rsidRPr="00A66CD9" w:rsidRDefault="00837902" w:rsidP="00A66CD9">
            <w:pPr>
              <w:pStyle w:val="BodyText"/>
              <w:keepNext/>
              <w:keepLines/>
              <w:tabs>
                <w:tab w:val="left" w:pos="1418"/>
                <w:tab w:val="left" w:pos="1985"/>
                <w:tab w:val="left" w:pos="2552"/>
                <w:tab w:val="left" w:pos="3119"/>
                <w:tab w:val="left" w:pos="3686"/>
                <w:tab w:val="left" w:pos="4536"/>
                <w:tab w:val="left" w:pos="4820"/>
                <w:tab w:val="left" w:pos="5387"/>
              </w:tabs>
              <w:spacing w:before="40" w:after="40"/>
              <w:jc w:val="both"/>
              <w:rPr>
                <w:b/>
                <w:bCs/>
              </w:rPr>
            </w:pPr>
            <w:r w:rsidRPr="00A66CD9">
              <w:rPr>
                <w:b/>
              </w:rPr>
              <w:t>Category</w:t>
            </w:r>
          </w:p>
        </w:tc>
        <w:tc>
          <w:tcPr>
            <w:tcW w:w="8441" w:type="dxa"/>
          </w:tcPr>
          <w:p w14:paraId="7E9C0C5A" w14:textId="77777777" w:rsidR="00837902" w:rsidRPr="00A66CD9" w:rsidRDefault="00837902" w:rsidP="00A66CD9">
            <w:pPr>
              <w:pStyle w:val="BodyText"/>
              <w:keepNext/>
              <w:keepLines/>
              <w:tabs>
                <w:tab w:val="left" w:pos="1418"/>
                <w:tab w:val="left" w:pos="1985"/>
                <w:tab w:val="left" w:pos="2552"/>
                <w:tab w:val="left" w:pos="3119"/>
                <w:tab w:val="left" w:pos="3686"/>
                <w:tab w:val="left" w:pos="4536"/>
                <w:tab w:val="left" w:pos="4820"/>
                <w:tab w:val="left" w:pos="5387"/>
              </w:tabs>
              <w:spacing w:before="40" w:after="40"/>
              <w:jc w:val="both"/>
              <w:rPr>
                <w:b/>
                <w:bCs/>
              </w:rPr>
            </w:pPr>
            <w:r w:rsidRPr="00A66CD9">
              <w:rPr>
                <w:b/>
              </w:rPr>
              <w:t>Criteria</w:t>
            </w:r>
          </w:p>
        </w:tc>
      </w:tr>
      <w:tr w:rsidR="00837902" w:rsidRPr="00A66CD9" w14:paraId="67AD1743" w14:textId="77777777" w:rsidTr="00887810">
        <w:trPr>
          <w:jc w:val="center"/>
        </w:trPr>
        <w:tc>
          <w:tcPr>
            <w:tcW w:w="1198" w:type="dxa"/>
          </w:tcPr>
          <w:p w14:paraId="754F8D70" w14:textId="77777777" w:rsidR="00837902" w:rsidRPr="00A66CD9" w:rsidRDefault="00837902" w:rsidP="00A66CD9">
            <w:pPr>
              <w:pStyle w:val="BodyText"/>
              <w:keepNext/>
              <w:keepLines/>
              <w:tabs>
                <w:tab w:val="left" w:pos="1418"/>
                <w:tab w:val="left" w:pos="1985"/>
                <w:tab w:val="left" w:pos="2552"/>
                <w:tab w:val="left" w:pos="3119"/>
                <w:tab w:val="left" w:pos="3686"/>
                <w:tab w:val="left" w:pos="4536"/>
                <w:tab w:val="left" w:pos="4820"/>
                <w:tab w:val="left" w:pos="5387"/>
              </w:tabs>
              <w:spacing w:before="40" w:after="40"/>
              <w:jc w:val="both"/>
              <w:rPr>
                <w:b/>
                <w:bCs/>
              </w:rPr>
            </w:pPr>
            <w:r w:rsidRPr="00A66CD9">
              <w:rPr>
                <w:b/>
              </w:rPr>
              <w:t>1</w:t>
            </w:r>
          </w:p>
        </w:tc>
        <w:tc>
          <w:tcPr>
            <w:tcW w:w="8441" w:type="dxa"/>
          </w:tcPr>
          <w:p w14:paraId="07F1F0BC" w14:textId="77777777" w:rsidR="00837902" w:rsidRPr="00A66CD9" w:rsidRDefault="00837902" w:rsidP="00A66CD9">
            <w:pPr>
              <w:pStyle w:val="BodyText"/>
              <w:keepNext/>
              <w:keepLines/>
              <w:tabs>
                <w:tab w:val="left" w:pos="1418"/>
                <w:tab w:val="left" w:pos="1985"/>
                <w:tab w:val="left" w:pos="2552"/>
                <w:tab w:val="left" w:pos="3119"/>
                <w:tab w:val="left" w:pos="3686"/>
                <w:tab w:val="left" w:pos="4536"/>
                <w:tab w:val="left" w:pos="4820"/>
                <w:tab w:val="left" w:pos="5387"/>
              </w:tabs>
              <w:spacing w:before="40" w:after="40"/>
              <w:jc w:val="both"/>
              <w:rPr>
                <w:b/>
                <w:bCs/>
              </w:rPr>
            </w:pPr>
            <w:r w:rsidRPr="00A66CD9">
              <w:t>Desensitized explosives with a corrected burning rate (A</w:t>
            </w:r>
            <w:r w:rsidRPr="00A66CD9">
              <w:rPr>
                <w:vertAlign w:val="subscript"/>
              </w:rPr>
              <w:t>C</w:t>
            </w:r>
            <w:r w:rsidRPr="00A66CD9">
              <w:t>) equal to or greater than 300 kg/min but not more than 1200 kg/min</w:t>
            </w:r>
          </w:p>
        </w:tc>
      </w:tr>
      <w:tr w:rsidR="00837902" w:rsidRPr="00A66CD9" w14:paraId="22E28ED2" w14:textId="77777777" w:rsidTr="00887810">
        <w:trPr>
          <w:jc w:val="center"/>
        </w:trPr>
        <w:tc>
          <w:tcPr>
            <w:tcW w:w="1198" w:type="dxa"/>
          </w:tcPr>
          <w:p w14:paraId="766263AA" w14:textId="77777777" w:rsidR="00837902" w:rsidRPr="00A66CD9" w:rsidRDefault="00837902" w:rsidP="00A66CD9">
            <w:pPr>
              <w:pStyle w:val="BodyText"/>
              <w:keepNext/>
              <w:keepLines/>
              <w:tabs>
                <w:tab w:val="left" w:pos="1418"/>
                <w:tab w:val="left" w:pos="1985"/>
                <w:tab w:val="left" w:pos="2552"/>
                <w:tab w:val="left" w:pos="3119"/>
                <w:tab w:val="left" w:pos="3686"/>
                <w:tab w:val="left" w:pos="4536"/>
                <w:tab w:val="left" w:pos="4820"/>
                <w:tab w:val="left" w:pos="5387"/>
              </w:tabs>
              <w:spacing w:before="40" w:after="40"/>
              <w:jc w:val="both"/>
              <w:rPr>
                <w:b/>
                <w:bCs/>
              </w:rPr>
            </w:pPr>
            <w:r w:rsidRPr="00A66CD9">
              <w:rPr>
                <w:b/>
              </w:rPr>
              <w:t>2</w:t>
            </w:r>
          </w:p>
        </w:tc>
        <w:tc>
          <w:tcPr>
            <w:tcW w:w="8441" w:type="dxa"/>
          </w:tcPr>
          <w:p w14:paraId="37967A67" w14:textId="77777777" w:rsidR="00837902" w:rsidRPr="00A66CD9" w:rsidRDefault="00837902" w:rsidP="00A66CD9">
            <w:pPr>
              <w:keepNext/>
              <w:keepLines/>
              <w:tabs>
                <w:tab w:val="left" w:pos="1418"/>
                <w:tab w:val="left" w:pos="1985"/>
                <w:tab w:val="left" w:pos="2552"/>
                <w:tab w:val="left" w:pos="3119"/>
                <w:tab w:val="left" w:pos="3686"/>
                <w:tab w:val="left" w:pos="4536"/>
                <w:tab w:val="left" w:pos="4820"/>
                <w:tab w:val="left" w:pos="5387"/>
              </w:tabs>
              <w:spacing w:before="40" w:after="40"/>
              <w:jc w:val="both"/>
            </w:pPr>
            <w:r w:rsidRPr="00A66CD9">
              <w:t>Desensitized explosives with a corrected burning rate (A</w:t>
            </w:r>
            <w:r w:rsidRPr="00A66CD9">
              <w:rPr>
                <w:vertAlign w:val="subscript"/>
              </w:rPr>
              <w:t>C</w:t>
            </w:r>
            <w:r w:rsidRPr="00A66CD9">
              <w:t>) equal to or greater than 140 kg/min but less than 300 kg/min</w:t>
            </w:r>
          </w:p>
        </w:tc>
      </w:tr>
      <w:tr w:rsidR="00837902" w:rsidRPr="00A66CD9" w14:paraId="79CFD23A" w14:textId="77777777" w:rsidTr="00887810">
        <w:trPr>
          <w:jc w:val="center"/>
        </w:trPr>
        <w:tc>
          <w:tcPr>
            <w:tcW w:w="1198" w:type="dxa"/>
          </w:tcPr>
          <w:p w14:paraId="688DDA1D" w14:textId="77777777" w:rsidR="00837902" w:rsidRPr="00A66CD9" w:rsidRDefault="00837902" w:rsidP="00A66CD9">
            <w:pPr>
              <w:pStyle w:val="BodyText"/>
              <w:keepNext/>
              <w:keepLines/>
              <w:tabs>
                <w:tab w:val="left" w:pos="1418"/>
                <w:tab w:val="left" w:pos="1985"/>
                <w:tab w:val="left" w:pos="2552"/>
                <w:tab w:val="left" w:pos="3119"/>
                <w:tab w:val="left" w:pos="3686"/>
                <w:tab w:val="left" w:pos="4536"/>
                <w:tab w:val="left" w:pos="4820"/>
                <w:tab w:val="left" w:pos="5387"/>
              </w:tabs>
              <w:spacing w:before="40" w:after="40"/>
              <w:jc w:val="both"/>
              <w:rPr>
                <w:b/>
                <w:bCs/>
              </w:rPr>
            </w:pPr>
            <w:r w:rsidRPr="00A66CD9">
              <w:rPr>
                <w:b/>
              </w:rPr>
              <w:t>3</w:t>
            </w:r>
          </w:p>
        </w:tc>
        <w:tc>
          <w:tcPr>
            <w:tcW w:w="8441" w:type="dxa"/>
          </w:tcPr>
          <w:p w14:paraId="24F583D9" w14:textId="77777777" w:rsidR="00837902" w:rsidRPr="00A66CD9" w:rsidRDefault="00837902" w:rsidP="00A66CD9">
            <w:pPr>
              <w:keepNext/>
              <w:keepLines/>
              <w:spacing w:before="40" w:after="40"/>
              <w:jc w:val="both"/>
            </w:pPr>
            <w:r w:rsidRPr="00A66CD9">
              <w:t>Desensitized explosives with a corrected burning rate (A</w:t>
            </w:r>
            <w:r w:rsidRPr="00A66CD9">
              <w:rPr>
                <w:vertAlign w:val="subscript"/>
              </w:rPr>
              <w:t>C</w:t>
            </w:r>
            <w:r w:rsidRPr="00A66CD9">
              <w:t>) equal to or greater than 60 kg/min but less than 140 kg/min</w:t>
            </w:r>
          </w:p>
        </w:tc>
      </w:tr>
      <w:tr w:rsidR="00837902" w:rsidRPr="00A66CD9" w14:paraId="23F217EC" w14:textId="77777777" w:rsidTr="00887810">
        <w:trPr>
          <w:jc w:val="center"/>
        </w:trPr>
        <w:tc>
          <w:tcPr>
            <w:tcW w:w="1198" w:type="dxa"/>
          </w:tcPr>
          <w:p w14:paraId="34C0F654" w14:textId="77777777" w:rsidR="00837902" w:rsidRPr="00A66CD9" w:rsidRDefault="00837902" w:rsidP="00A66CD9">
            <w:pPr>
              <w:pStyle w:val="BodyText"/>
              <w:keepNext/>
              <w:keepLines/>
              <w:tabs>
                <w:tab w:val="left" w:pos="1418"/>
                <w:tab w:val="left" w:pos="1985"/>
                <w:tab w:val="left" w:pos="2552"/>
                <w:tab w:val="left" w:pos="3119"/>
                <w:tab w:val="left" w:pos="3686"/>
                <w:tab w:val="left" w:pos="4536"/>
                <w:tab w:val="left" w:pos="4820"/>
                <w:tab w:val="left" w:pos="5387"/>
              </w:tabs>
              <w:spacing w:before="40" w:after="40"/>
              <w:jc w:val="both"/>
              <w:rPr>
                <w:b/>
                <w:bCs/>
              </w:rPr>
            </w:pPr>
            <w:r w:rsidRPr="00A66CD9">
              <w:rPr>
                <w:b/>
              </w:rPr>
              <w:t>4</w:t>
            </w:r>
          </w:p>
        </w:tc>
        <w:tc>
          <w:tcPr>
            <w:tcW w:w="8441" w:type="dxa"/>
          </w:tcPr>
          <w:p w14:paraId="69B6C6B6" w14:textId="77777777" w:rsidR="00837902" w:rsidRPr="00A66CD9" w:rsidRDefault="00837902" w:rsidP="00A66CD9">
            <w:pPr>
              <w:keepNext/>
              <w:keepLines/>
              <w:spacing w:before="40" w:after="40"/>
              <w:jc w:val="both"/>
            </w:pPr>
            <w:r w:rsidRPr="00A66CD9">
              <w:t>Desensitized explosives with a corrected burning rate (A</w:t>
            </w:r>
            <w:r w:rsidRPr="00A66CD9">
              <w:rPr>
                <w:vertAlign w:val="subscript"/>
              </w:rPr>
              <w:t>C</w:t>
            </w:r>
            <w:r w:rsidRPr="00A66CD9">
              <w:t>) less than 60 kg/min</w:t>
            </w:r>
          </w:p>
        </w:tc>
      </w:tr>
    </w:tbl>
    <w:p w14:paraId="198C907A" w14:textId="77777777" w:rsidR="00837902" w:rsidRPr="00A66CD9" w:rsidRDefault="00837902" w:rsidP="00A66CD9">
      <w:pPr>
        <w:tabs>
          <w:tab w:val="left" w:pos="1418"/>
        </w:tabs>
        <w:spacing w:before="240" w:after="240"/>
        <w:jc w:val="both"/>
        <w:rPr>
          <w:i/>
        </w:rPr>
      </w:pPr>
      <w:r w:rsidRPr="00A66CD9">
        <w:rPr>
          <w:b/>
          <w:i/>
        </w:rPr>
        <w:t xml:space="preserve">NOTE 1: </w:t>
      </w:r>
      <w:r w:rsidRPr="00A66CD9">
        <w:rPr>
          <w:b/>
          <w:i/>
        </w:rPr>
        <w:tab/>
      </w:r>
      <w:r w:rsidRPr="00A66CD9">
        <w:rPr>
          <w:i/>
        </w:rPr>
        <w:t>Desensitized explosives should be prepared so that they remain homogeneous and do not separate during normal storage and handling, particularly if desensitized by wetting. The manufacturer/supplier should give information in the safety data sheet about the shelf-life and instructions on verifying desensitization. Under certain conditions the content of desensitizing agent (</w:t>
      </w:r>
      <w:proofErr w:type="gramStart"/>
      <w:r w:rsidRPr="00A66CD9">
        <w:rPr>
          <w:i/>
        </w:rPr>
        <w:t>e.g.</w:t>
      </w:r>
      <w:proofErr w:type="gramEnd"/>
      <w:r w:rsidRPr="00A66CD9">
        <w:rPr>
          <w:i/>
        </w:rPr>
        <w:t xml:space="preserve"> phlegmatizer, wetting agent or treatment) may decrease during supply and use, and thus, the hazard potential of desensitized explosive may increase. In addition, the safety data sheet should include advice on avoiding increased fire, </w:t>
      </w:r>
      <w:proofErr w:type="gramStart"/>
      <w:r w:rsidRPr="00A66CD9">
        <w:rPr>
          <w:i/>
        </w:rPr>
        <w:t>blast</w:t>
      </w:r>
      <w:proofErr w:type="gramEnd"/>
      <w:r w:rsidRPr="00A66CD9">
        <w:rPr>
          <w:i/>
        </w:rPr>
        <w:t xml:space="preserve"> or protection hazards when the substance or mixture is not sufficiently desensitized. </w:t>
      </w:r>
    </w:p>
    <w:p w14:paraId="408F66B2" w14:textId="77777777" w:rsidR="00837902" w:rsidRPr="00A66CD9" w:rsidRDefault="00837902" w:rsidP="00A66CD9">
      <w:pPr>
        <w:tabs>
          <w:tab w:val="left" w:pos="1418"/>
        </w:tabs>
        <w:spacing w:before="240" w:after="240"/>
        <w:jc w:val="both"/>
        <w:rPr>
          <w:b/>
          <w:i/>
        </w:rPr>
      </w:pPr>
      <w:r w:rsidRPr="00A66CD9">
        <w:rPr>
          <w:b/>
          <w:i/>
        </w:rPr>
        <w:t xml:space="preserve">NOTE 2: </w:t>
      </w:r>
      <w:r w:rsidRPr="00A66CD9">
        <w:rPr>
          <w:b/>
          <w:i/>
        </w:rPr>
        <w:tab/>
      </w:r>
      <w:r w:rsidRPr="00A66CD9">
        <w:rPr>
          <w:i/>
        </w:rPr>
        <w:t>Desensitized explosives may be treated differently for some regulatory purposes (</w:t>
      </w:r>
      <w:proofErr w:type="gramStart"/>
      <w:r w:rsidRPr="00A66CD9">
        <w:rPr>
          <w:i/>
        </w:rPr>
        <w:t>e.g.</w:t>
      </w:r>
      <w:proofErr w:type="gramEnd"/>
      <w:r w:rsidRPr="00A66CD9">
        <w:rPr>
          <w:i/>
        </w:rPr>
        <w:t xml:space="preserve"> transport). Classification of solid desensitized explosives for transport purposes is addressed in Chapter 2.4, section 2.4.2.4 of the UN Model Regulations. Classification of liquid desensitized explosives is addressed in Chapter 2.3, section 2.3.1.4 of the Model Regulations.</w:t>
      </w:r>
    </w:p>
    <w:p w14:paraId="5863945A" w14:textId="77777777" w:rsidR="00837902" w:rsidRPr="00A66CD9" w:rsidRDefault="00837902" w:rsidP="00A66CD9">
      <w:pPr>
        <w:tabs>
          <w:tab w:val="left" w:pos="1418"/>
        </w:tabs>
        <w:spacing w:before="240" w:after="240"/>
        <w:jc w:val="both"/>
        <w:rPr>
          <w:i/>
        </w:rPr>
      </w:pPr>
      <w:r w:rsidRPr="00A66CD9">
        <w:rPr>
          <w:b/>
          <w:i/>
        </w:rPr>
        <w:t xml:space="preserve">NOTE 3: </w:t>
      </w:r>
      <w:r w:rsidRPr="00A66CD9">
        <w:rPr>
          <w:b/>
          <w:i/>
        </w:rPr>
        <w:tab/>
      </w:r>
      <w:r w:rsidRPr="00A66CD9">
        <w:rPr>
          <w:i/>
        </w:rPr>
        <w:t xml:space="preserve">Explosive properties of desensitized explosives should be determined by test series 2 of the Manual of Tests and Criteria and should be communicated in the safety data sheet. For testing of liquid desensitized explosives for transport purposes, refer to section 32, sub-section 32.3.2 of the Manual of Tests and Criteria. Testing of solid desensitized explosives for transport purposes is addressed in section 33, sub-section 33.2.3 of the Manual of Tests and Criteria. </w:t>
      </w:r>
    </w:p>
    <w:p w14:paraId="7F3F2ACA" w14:textId="77777777" w:rsidR="00837902" w:rsidRPr="00A66CD9" w:rsidRDefault="00837902" w:rsidP="00A66CD9">
      <w:pPr>
        <w:tabs>
          <w:tab w:val="left" w:pos="1418"/>
        </w:tabs>
        <w:spacing w:before="240" w:after="240"/>
        <w:jc w:val="both"/>
        <w:rPr>
          <w:i/>
        </w:rPr>
      </w:pPr>
      <w:r w:rsidRPr="00A66CD9">
        <w:rPr>
          <w:b/>
          <w:i/>
        </w:rPr>
        <w:t>NOTE 4:</w:t>
      </w:r>
      <w:r w:rsidRPr="00A66CD9">
        <w:rPr>
          <w:b/>
          <w:i/>
        </w:rPr>
        <w:tab/>
      </w:r>
      <w:r w:rsidRPr="00A66CD9">
        <w:rPr>
          <w:i/>
        </w:rPr>
        <w:t xml:space="preserve">For the purposes of storage, supply and use, desensitized explosives do not fall additionally within the scope of chapters 2.1 (explosives), 2.6 (flammable liquids) and 2.7 (flammable solids). </w:t>
      </w:r>
    </w:p>
    <w:p w14:paraId="35598F61" w14:textId="77777777" w:rsidR="00837902" w:rsidRPr="00A66CD9" w:rsidRDefault="00837902" w:rsidP="00A66CD9">
      <w:pPr>
        <w:pStyle w:val="GHSHeading3"/>
        <w:spacing w:before="240" w:after="240"/>
        <w:jc w:val="both"/>
        <w:rPr>
          <w:sz w:val="20"/>
          <w:szCs w:val="20"/>
        </w:rPr>
      </w:pPr>
      <w:r w:rsidRPr="00A66CD9">
        <w:rPr>
          <w:sz w:val="20"/>
          <w:szCs w:val="20"/>
        </w:rPr>
        <w:lastRenderedPageBreak/>
        <w:t>2.17.3</w:t>
      </w:r>
      <w:r w:rsidRPr="00A66CD9">
        <w:rPr>
          <w:sz w:val="20"/>
          <w:szCs w:val="20"/>
        </w:rPr>
        <w:tab/>
        <w:t>Hazard communication</w:t>
      </w:r>
    </w:p>
    <w:p w14:paraId="47DE49CA" w14:textId="77777777" w:rsidR="00837902" w:rsidRPr="00A66CD9" w:rsidRDefault="00837902" w:rsidP="00A66CD9">
      <w:pPr>
        <w:tabs>
          <w:tab w:val="left" w:pos="1418"/>
        </w:tabs>
        <w:spacing w:after="240"/>
        <w:jc w:val="both"/>
      </w:pPr>
      <w:r w:rsidRPr="00A66CD9">
        <w:tab/>
        <w:t xml:space="preserve">General and specific considerations concerning labelling requirements are provided in </w:t>
      </w:r>
      <w:r w:rsidRPr="00A66CD9">
        <w:rPr>
          <w:i/>
        </w:rPr>
        <w:t xml:space="preserve">Hazard communication: Labelling </w:t>
      </w:r>
      <w:r w:rsidRPr="00A66CD9">
        <w:t>(Chapter 1.4). Annex 1 contains summary tables about classification and labelling. Annex 3 contains examples of precautionary statements and pictograms which can be used where allowed by the competent authority.</w:t>
      </w:r>
    </w:p>
    <w:p w14:paraId="35C1A426" w14:textId="77777777" w:rsidR="00837902" w:rsidRPr="00A66CD9" w:rsidRDefault="00837902" w:rsidP="00A66CD9">
      <w:pPr>
        <w:keepNext/>
        <w:keepLines/>
        <w:spacing w:after="160"/>
        <w:jc w:val="both"/>
        <w:rPr>
          <w:b/>
          <w:bCs/>
        </w:rPr>
      </w:pPr>
      <w:r w:rsidRPr="00A66CD9">
        <w:rPr>
          <w:b/>
          <w:bCs/>
        </w:rPr>
        <w:t>Table 2.17.2: Label elements for desensitized explosives</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15"/>
        <w:gridCol w:w="2100"/>
        <w:gridCol w:w="2268"/>
        <w:gridCol w:w="1985"/>
        <w:gridCol w:w="1985"/>
      </w:tblGrid>
      <w:tr w:rsidR="00837902" w:rsidRPr="00A66CD9" w14:paraId="03B2A1A9" w14:textId="77777777" w:rsidTr="00887810">
        <w:tc>
          <w:tcPr>
            <w:tcW w:w="1515" w:type="dxa"/>
          </w:tcPr>
          <w:p w14:paraId="60C31082" w14:textId="77777777" w:rsidR="00837902" w:rsidRPr="00A66CD9" w:rsidRDefault="00837902" w:rsidP="00A66CD9">
            <w:pPr>
              <w:keepNext/>
              <w:keepLines/>
              <w:tabs>
                <w:tab w:val="left" w:pos="1418"/>
                <w:tab w:val="left" w:pos="1985"/>
                <w:tab w:val="left" w:pos="2552"/>
                <w:tab w:val="left" w:pos="3119"/>
                <w:tab w:val="left" w:pos="3686"/>
                <w:tab w:val="left" w:pos="4536"/>
                <w:tab w:val="left" w:pos="4820"/>
                <w:tab w:val="left" w:pos="5387"/>
              </w:tabs>
              <w:spacing w:before="40" w:after="40"/>
              <w:jc w:val="both"/>
              <w:rPr>
                <w:b/>
              </w:rPr>
            </w:pPr>
          </w:p>
        </w:tc>
        <w:tc>
          <w:tcPr>
            <w:tcW w:w="2100" w:type="dxa"/>
          </w:tcPr>
          <w:p w14:paraId="365D28BD"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outlineLvl w:val="1"/>
              <w:rPr>
                <w:b/>
              </w:rPr>
            </w:pPr>
            <w:r w:rsidRPr="00A66CD9">
              <w:rPr>
                <w:b/>
              </w:rPr>
              <w:t>Category 1</w:t>
            </w:r>
          </w:p>
        </w:tc>
        <w:tc>
          <w:tcPr>
            <w:tcW w:w="2268" w:type="dxa"/>
          </w:tcPr>
          <w:p w14:paraId="2EF0A883"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rPr>
                <w:b/>
              </w:rPr>
            </w:pPr>
            <w:r w:rsidRPr="00A66CD9">
              <w:rPr>
                <w:b/>
              </w:rPr>
              <w:t>Category 2</w:t>
            </w:r>
          </w:p>
        </w:tc>
        <w:tc>
          <w:tcPr>
            <w:tcW w:w="1985" w:type="dxa"/>
          </w:tcPr>
          <w:p w14:paraId="617D78DD"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rPr>
                <w:b/>
              </w:rPr>
            </w:pPr>
            <w:r w:rsidRPr="00A66CD9">
              <w:rPr>
                <w:b/>
              </w:rPr>
              <w:t>Category 3</w:t>
            </w:r>
          </w:p>
        </w:tc>
        <w:tc>
          <w:tcPr>
            <w:tcW w:w="1985" w:type="dxa"/>
          </w:tcPr>
          <w:p w14:paraId="259296DF"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rPr>
                <w:b/>
              </w:rPr>
            </w:pPr>
            <w:r w:rsidRPr="00A66CD9">
              <w:rPr>
                <w:b/>
              </w:rPr>
              <w:t>Category 4</w:t>
            </w:r>
          </w:p>
        </w:tc>
      </w:tr>
      <w:tr w:rsidR="00837902" w:rsidRPr="00A66CD9" w14:paraId="438B4B84" w14:textId="77777777" w:rsidTr="00887810">
        <w:tc>
          <w:tcPr>
            <w:tcW w:w="1515" w:type="dxa"/>
          </w:tcPr>
          <w:p w14:paraId="76F09028" w14:textId="77777777" w:rsidR="00837902" w:rsidRPr="00A66CD9" w:rsidRDefault="00837902" w:rsidP="00A66CD9">
            <w:pPr>
              <w:keepNext/>
              <w:keepLines/>
              <w:tabs>
                <w:tab w:val="left" w:pos="1418"/>
                <w:tab w:val="left" w:pos="1985"/>
                <w:tab w:val="left" w:pos="2552"/>
                <w:tab w:val="left" w:pos="3119"/>
                <w:tab w:val="left" w:pos="3686"/>
                <w:tab w:val="left" w:pos="4536"/>
                <w:tab w:val="left" w:pos="4820"/>
                <w:tab w:val="left" w:pos="5387"/>
              </w:tabs>
              <w:spacing w:before="40" w:after="40"/>
              <w:jc w:val="both"/>
              <w:rPr>
                <w:b/>
              </w:rPr>
            </w:pPr>
            <w:r w:rsidRPr="00A66CD9">
              <w:rPr>
                <w:b/>
              </w:rPr>
              <w:t>Symbol</w:t>
            </w:r>
          </w:p>
        </w:tc>
        <w:tc>
          <w:tcPr>
            <w:tcW w:w="2100" w:type="dxa"/>
          </w:tcPr>
          <w:p w14:paraId="05D73E7A"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t>Flame</w:t>
            </w:r>
          </w:p>
        </w:tc>
        <w:tc>
          <w:tcPr>
            <w:tcW w:w="2268" w:type="dxa"/>
          </w:tcPr>
          <w:p w14:paraId="2D84902F"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t>Flame</w:t>
            </w:r>
          </w:p>
        </w:tc>
        <w:tc>
          <w:tcPr>
            <w:tcW w:w="1985" w:type="dxa"/>
          </w:tcPr>
          <w:p w14:paraId="519C27F3"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t>Flame</w:t>
            </w:r>
          </w:p>
        </w:tc>
        <w:tc>
          <w:tcPr>
            <w:tcW w:w="1985" w:type="dxa"/>
          </w:tcPr>
          <w:p w14:paraId="6EB57D0D"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t>Flame</w:t>
            </w:r>
          </w:p>
        </w:tc>
      </w:tr>
      <w:tr w:rsidR="00837902" w:rsidRPr="00A66CD9" w14:paraId="52803090" w14:textId="77777777" w:rsidTr="00887810">
        <w:tc>
          <w:tcPr>
            <w:tcW w:w="1515" w:type="dxa"/>
          </w:tcPr>
          <w:p w14:paraId="51DCE117" w14:textId="77777777" w:rsidR="00837902" w:rsidRPr="00A66CD9" w:rsidRDefault="00837902" w:rsidP="00A66CD9">
            <w:pPr>
              <w:keepNext/>
              <w:keepLines/>
              <w:tabs>
                <w:tab w:val="left" w:pos="1418"/>
                <w:tab w:val="left" w:pos="1985"/>
                <w:tab w:val="left" w:pos="2552"/>
                <w:tab w:val="left" w:pos="3119"/>
                <w:tab w:val="left" w:pos="3686"/>
                <w:tab w:val="left" w:pos="4536"/>
                <w:tab w:val="left" w:pos="4820"/>
                <w:tab w:val="left" w:pos="5387"/>
              </w:tabs>
              <w:spacing w:before="40" w:after="40"/>
              <w:jc w:val="both"/>
              <w:rPr>
                <w:b/>
              </w:rPr>
            </w:pPr>
            <w:r w:rsidRPr="00A66CD9">
              <w:rPr>
                <w:b/>
              </w:rPr>
              <w:t>Signal word</w:t>
            </w:r>
          </w:p>
        </w:tc>
        <w:tc>
          <w:tcPr>
            <w:tcW w:w="2100" w:type="dxa"/>
          </w:tcPr>
          <w:p w14:paraId="21B41CE7"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t>Danger</w:t>
            </w:r>
          </w:p>
        </w:tc>
        <w:tc>
          <w:tcPr>
            <w:tcW w:w="2268" w:type="dxa"/>
          </w:tcPr>
          <w:p w14:paraId="15C592D3"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t>Danger</w:t>
            </w:r>
          </w:p>
        </w:tc>
        <w:tc>
          <w:tcPr>
            <w:tcW w:w="1985" w:type="dxa"/>
          </w:tcPr>
          <w:p w14:paraId="579E7860"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t>Warning</w:t>
            </w:r>
          </w:p>
        </w:tc>
        <w:tc>
          <w:tcPr>
            <w:tcW w:w="1985" w:type="dxa"/>
          </w:tcPr>
          <w:p w14:paraId="757CDEE7" w14:textId="77777777" w:rsidR="00837902" w:rsidRPr="00A66CD9" w:rsidRDefault="00837902" w:rsidP="003E77FA">
            <w:pPr>
              <w:keepNext/>
              <w:keepLines/>
              <w:tabs>
                <w:tab w:val="left" w:pos="1418"/>
                <w:tab w:val="left" w:pos="1985"/>
                <w:tab w:val="left" w:pos="2552"/>
                <w:tab w:val="left" w:pos="3119"/>
                <w:tab w:val="left" w:pos="3686"/>
                <w:tab w:val="left" w:pos="4536"/>
                <w:tab w:val="left" w:pos="4820"/>
                <w:tab w:val="left" w:pos="5387"/>
              </w:tabs>
              <w:spacing w:before="40" w:after="40"/>
              <w:jc w:val="center"/>
            </w:pPr>
            <w:r w:rsidRPr="00A66CD9">
              <w:rPr>
                <w:bCs/>
              </w:rPr>
              <w:t>Warning</w:t>
            </w:r>
          </w:p>
        </w:tc>
      </w:tr>
      <w:tr w:rsidR="00837902" w:rsidRPr="00A66CD9" w14:paraId="1E727CC6" w14:textId="77777777" w:rsidTr="00887810">
        <w:tc>
          <w:tcPr>
            <w:tcW w:w="1515" w:type="dxa"/>
          </w:tcPr>
          <w:p w14:paraId="1AD3ECD7" w14:textId="77777777" w:rsidR="00837902" w:rsidRPr="00A66CD9" w:rsidRDefault="00837902" w:rsidP="00A66CD9">
            <w:pPr>
              <w:tabs>
                <w:tab w:val="left" w:pos="1418"/>
                <w:tab w:val="left" w:pos="1985"/>
                <w:tab w:val="left" w:pos="2552"/>
                <w:tab w:val="left" w:pos="3119"/>
                <w:tab w:val="left" w:pos="3686"/>
                <w:tab w:val="left" w:pos="4536"/>
                <w:tab w:val="left" w:pos="4820"/>
                <w:tab w:val="left" w:pos="5387"/>
              </w:tabs>
              <w:spacing w:before="40" w:after="40"/>
              <w:jc w:val="both"/>
              <w:rPr>
                <w:b/>
              </w:rPr>
            </w:pPr>
            <w:r w:rsidRPr="00A66CD9">
              <w:rPr>
                <w:b/>
              </w:rPr>
              <w:t>Hazard statement</w:t>
            </w:r>
          </w:p>
        </w:tc>
        <w:tc>
          <w:tcPr>
            <w:tcW w:w="2100" w:type="dxa"/>
          </w:tcPr>
          <w:p w14:paraId="4F31B67E" w14:textId="77777777" w:rsidR="00837902" w:rsidRPr="00A66CD9" w:rsidRDefault="00837902" w:rsidP="003E77FA">
            <w:pPr>
              <w:tabs>
                <w:tab w:val="left" w:pos="1418"/>
                <w:tab w:val="left" w:pos="1985"/>
                <w:tab w:val="left" w:pos="2552"/>
                <w:tab w:val="left" w:pos="3119"/>
                <w:tab w:val="left" w:pos="3686"/>
                <w:tab w:val="left" w:pos="4536"/>
                <w:tab w:val="left" w:pos="4820"/>
                <w:tab w:val="left" w:pos="5387"/>
              </w:tabs>
              <w:spacing w:before="40" w:after="40"/>
              <w:jc w:val="center"/>
            </w:pPr>
            <w:r w:rsidRPr="00A66CD9">
              <w:rPr>
                <w:bCs/>
                <w:lang w:eastAsia="de-DE"/>
              </w:rPr>
              <w:t xml:space="preserve">Fire, </w:t>
            </w:r>
            <w:proofErr w:type="gramStart"/>
            <w:r w:rsidRPr="00A66CD9">
              <w:rPr>
                <w:bCs/>
                <w:lang w:eastAsia="de-DE"/>
              </w:rPr>
              <w:t>blast</w:t>
            </w:r>
            <w:proofErr w:type="gramEnd"/>
            <w:r w:rsidRPr="00A66CD9">
              <w:rPr>
                <w:bCs/>
                <w:lang w:eastAsia="de-DE"/>
              </w:rPr>
              <w:t xml:space="preserve"> or projection hazard; increased risk of explosion if desensitizing agent is reduced</w:t>
            </w:r>
          </w:p>
        </w:tc>
        <w:tc>
          <w:tcPr>
            <w:tcW w:w="2268" w:type="dxa"/>
          </w:tcPr>
          <w:p w14:paraId="4132D711" w14:textId="77777777" w:rsidR="00837902" w:rsidRPr="00A66CD9" w:rsidRDefault="00837902" w:rsidP="003E77FA">
            <w:pPr>
              <w:tabs>
                <w:tab w:val="left" w:pos="1418"/>
                <w:tab w:val="left" w:pos="1985"/>
                <w:tab w:val="left" w:pos="2552"/>
                <w:tab w:val="left" w:pos="3119"/>
                <w:tab w:val="left" w:pos="3686"/>
                <w:tab w:val="left" w:pos="4536"/>
                <w:tab w:val="left" w:pos="4820"/>
                <w:tab w:val="left" w:pos="5387"/>
              </w:tabs>
              <w:spacing w:before="40" w:after="40"/>
              <w:jc w:val="center"/>
            </w:pPr>
            <w:r w:rsidRPr="00A66CD9">
              <w:rPr>
                <w:bCs/>
                <w:lang w:eastAsia="de-DE"/>
              </w:rPr>
              <w:t>Fire or projection hazard; increased risk of explosion if desensitizing agent is reduced</w:t>
            </w:r>
          </w:p>
        </w:tc>
        <w:tc>
          <w:tcPr>
            <w:tcW w:w="1985" w:type="dxa"/>
          </w:tcPr>
          <w:p w14:paraId="5671721A" w14:textId="77777777" w:rsidR="00837902" w:rsidRPr="00A66CD9" w:rsidRDefault="00837902" w:rsidP="003E77FA">
            <w:pPr>
              <w:tabs>
                <w:tab w:val="left" w:pos="1418"/>
                <w:tab w:val="left" w:pos="1985"/>
                <w:tab w:val="left" w:pos="2552"/>
                <w:tab w:val="left" w:pos="3119"/>
                <w:tab w:val="left" w:pos="3686"/>
                <w:tab w:val="left" w:pos="4536"/>
                <w:tab w:val="left" w:pos="4820"/>
                <w:tab w:val="left" w:pos="5387"/>
              </w:tabs>
              <w:spacing w:before="40" w:after="40"/>
              <w:jc w:val="center"/>
            </w:pPr>
            <w:r w:rsidRPr="00A66CD9">
              <w:rPr>
                <w:bCs/>
                <w:lang w:eastAsia="de-DE"/>
              </w:rPr>
              <w:t>Fire or projection hazard; increased risk of explosion if desensitizing agent is reduced</w:t>
            </w:r>
          </w:p>
        </w:tc>
        <w:tc>
          <w:tcPr>
            <w:tcW w:w="1985" w:type="dxa"/>
          </w:tcPr>
          <w:p w14:paraId="593341DC" w14:textId="77777777" w:rsidR="00837902" w:rsidRPr="00A66CD9" w:rsidRDefault="00837902" w:rsidP="003E77FA">
            <w:pPr>
              <w:tabs>
                <w:tab w:val="left" w:pos="1418"/>
                <w:tab w:val="left" w:pos="1985"/>
                <w:tab w:val="left" w:pos="2552"/>
                <w:tab w:val="left" w:pos="3119"/>
                <w:tab w:val="left" w:pos="3686"/>
                <w:tab w:val="left" w:pos="4536"/>
                <w:tab w:val="left" w:pos="4820"/>
                <w:tab w:val="left" w:pos="5387"/>
              </w:tabs>
              <w:spacing w:before="40" w:after="40"/>
              <w:jc w:val="center"/>
              <w:rPr>
                <w:bCs/>
                <w:lang w:eastAsia="de-DE"/>
              </w:rPr>
            </w:pPr>
            <w:r w:rsidRPr="00A66CD9">
              <w:rPr>
                <w:bCs/>
                <w:lang w:eastAsia="de-DE"/>
              </w:rPr>
              <w:t xml:space="preserve">Fire </w:t>
            </w:r>
            <w:proofErr w:type="gramStart"/>
            <w:r w:rsidRPr="00A66CD9">
              <w:rPr>
                <w:bCs/>
                <w:lang w:eastAsia="de-DE"/>
              </w:rPr>
              <w:t>hazard;</w:t>
            </w:r>
            <w:proofErr w:type="gramEnd"/>
            <w:r w:rsidRPr="00A66CD9">
              <w:rPr>
                <w:bCs/>
                <w:lang w:eastAsia="de-DE"/>
              </w:rPr>
              <w:t xml:space="preserve"> increased risk of explosion if desensitizing agent is reduced</w:t>
            </w:r>
          </w:p>
        </w:tc>
      </w:tr>
    </w:tbl>
    <w:p w14:paraId="29298854" w14:textId="77777777" w:rsidR="00837902" w:rsidRPr="00A66CD9" w:rsidRDefault="00837902" w:rsidP="00A66CD9">
      <w:pPr>
        <w:pStyle w:val="GHSHeading3"/>
        <w:spacing w:before="240" w:after="240"/>
        <w:jc w:val="both"/>
        <w:rPr>
          <w:sz w:val="20"/>
          <w:szCs w:val="20"/>
        </w:rPr>
      </w:pPr>
      <w:r w:rsidRPr="00A66CD9">
        <w:rPr>
          <w:sz w:val="20"/>
          <w:szCs w:val="20"/>
        </w:rPr>
        <w:t xml:space="preserve">2.17.4 </w:t>
      </w:r>
      <w:r w:rsidRPr="00A66CD9">
        <w:rPr>
          <w:sz w:val="20"/>
          <w:szCs w:val="20"/>
        </w:rPr>
        <w:tab/>
        <w:t>Decision logic and guidance</w:t>
      </w:r>
    </w:p>
    <w:p w14:paraId="395FD489" w14:textId="77777777" w:rsidR="00837902" w:rsidRPr="00A66CD9" w:rsidRDefault="00837902" w:rsidP="00A66CD9">
      <w:pPr>
        <w:pStyle w:val="GHS1stline"/>
      </w:pPr>
      <w:r w:rsidRPr="00A66CD9">
        <w:t xml:space="preserve">The decision logic and guidance which follow are not part of the harmonized classification </w:t>
      </w:r>
      <w:proofErr w:type="gramStart"/>
      <w:r w:rsidRPr="00A66CD9">
        <w:t>system, but</w:t>
      </w:r>
      <w:proofErr w:type="gramEnd"/>
      <w:r w:rsidRPr="00A66CD9">
        <w:t xml:space="preserve"> have been provided here as additional guidance. It is strongly recommended that the person responsible for classification studies the criteria before and during use of the decision logic.</w:t>
      </w:r>
    </w:p>
    <w:p w14:paraId="2C695354" w14:textId="77777777" w:rsidR="00837902" w:rsidRPr="00A66CD9" w:rsidRDefault="00837902" w:rsidP="00A66CD9">
      <w:pPr>
        <w:pStyle w:val="StyleGHSHeading410pt"/>
        <w:rPr>
          <w:i/>
        </w:rPr>
      </w:pPr>
      <w:r w:rsidRPr="00A66CD9">
        <w:t xml:space="preserve">2.17.4.1 </w:t>
      </w:r>
      <w:r w:rsidRPr="00A66CD9">
        <w:tab/>
      </w:r>
      <w:r w:rsidRPr="00A66CD9">
        <w:rPr>
          <w:i/>
        </w:rPr>
        <w:t>Decision logic</w:t>
      </w:r>
    </w:p>
    <w:p w14:paraId="5FAE82E6" w14:textId="77777777" w:rsidR="00837902" w:rsidRPr="00A66CD9" w:rsidRDefault="00837902" w:rsidP="00A66CD9">
      <w:pPr>
        <w:pStyle w:val="GHS1stline"/>
      </w:pPr>
      <w:r w:rsidRPr="00A66CD9">
        <w:t xml:space="preserve">To classify desensitized explosives, data for the sensitivity, thermal stability, explosive </w:t>
      </w:r>
      <w:proofErr w:type="gramStart"/>
      <w:r w:rsidRPr="00A66CD9">
        <w:t>potential</w:t>
      </w:r>
      <w:proofErr w:type="gramEnd"/>
      <w:r w:rsidRPr="00A66CD9">
        <w:t xml:space="preserve"> and the corrected burning rate should be determined as described in Part I and Part V of the </w:t>
      </w:r>
      <w:r w:rsidRPr="00A66CD9">
        <w:rPr>
          <w:i/>
        </w:rPr>
        <w:t>Manual of Tests and Criteria</w:t>
      </w:r>
      <w:r w:rsidRPr="00A66CD9">
        <w:t xml:space="preserve">. </w:t>
      </w:r>
      <w:r w:rsidRPr="00A66CD9">
        <w:rPr>
          <w:b/>
          <w:bCs/>
          <w:highlight w:val="yellow"/>
          <w:u w:val="single"/>
        </w:rPr>
        <w:t>Where a mixture contains</w:t>
      </w:r>
      <w:r w:rsidRPr="00A66CD9">
        <w:rPr>
          <w:highlight w:val="yellow"/>
        </w:rPr>
        <w:t xml:space="preserve"> </w:t>
      </w:r>
      <w:proofErr w:type="gramStart"/>
      <w:r w:rsidRPr="00A66CD9">
        <w:rPr>
          <w:strike/>
          <w:highlight w:val="yellow"/>
        </w:rPr>
        <w:t>For</w:t>
      </w:r>
      <w:proofErr w:type="gramEnd"/>
      <w:r w:rsidRPr="00A66CD9">
        <w:t xml:space="preserve"> nitrocellulose, additional data for the stability as described in Appendix 10 of the </w:t>
      </w:r>
      <w:r w:rsidRPr="00A66CD9">
        <w:rPr>
          <w:i/>
          <w:iCs/>
        </w:rPr>
        <w:t>Manual of Tests and Criteria</w:t>
      </w:r>
      <w:r w:rsidRPr="00A66CD9">
        <w:t xml:space="preserve"> are needed in order to be used in nitrocellulose mixtures considered for this class. Classification is according to decision logic 2.17.1.</w:t>
      </w:r>
    </w:p>
    <w:p w14:paraId="44E09309" w14:textId="77777777" w:rsidR="00837902" w:rsidRPr="00A66CD9" w:rsidRDefault="00837902" w:rsidP="00A66CD9">
      <w:pPr>
        <w:jc w:val="both"/>
      </w:pPr>
      <w:r w:rsidRPr="00A66CD9">
        <w:br w:type="page"/>
      </w:r>
    </w:p>
    <w:p w14:paraId="1A74C106" w14:textId="52034F03" w:rsidR="00837902" w:rsidRPr="00A66CD9" w:rsidRDefault="00837902" w:rsidP="00A66CD9">
      <w:pPr>
        <w:jc w:val="both"/>
      </w:pPr>
    </w:p>
    <w:p w14:paraId="0C1DD155" w14:textId="77777777" w:rsidR="00837902" w:rsidRPr="00A66CD9" w:rsidRDefault="00837902" w:rsidP="00A66CD9">
      <w:pPr>
        <w:tabs>
          <w:tab w:val="left" w:pos="1418"/>
        </w:tabs>
        <w:jc w:val="both"/>
        <w:rPr>
          <w:b/>
          <w:i/>
          <w:color w:val="FFFFFF" w:themeColor="background1"/>
        </w:rPr>
      </w:pPr>
      <w:r w:rsidRPr="00A66CD9">
        <w:tab/>
      </w:r>
      <w:r w:rsidRPr="00A66CD9">
        <w:rPr>
          <w:b/>
          <w:i/>
        </w:rPr>
        <w:t>Decision logic 2.17.1 for desensitized explosives</w:t>
      </w:r>
      <w:r w:rsidRPr="00A66CD9">
        <w:rPr>
          <w:b/>
          <w:i/>
        </w:rPr>
        <w:tab/>
      </w:r>
      <w:r w:rsidRPr="00A66CD9">
        <w:rPr>
          <w:b/>
          <w:i/>
          <w:color w:val="FFFFFF" w:themeColor="background1"/>
        </w:rPr>
        <w:t>Footnotes</w:t>
      </w:r>
      <w:r w:rsidRPr="00A66CD9">
        <w:rPr>
          <w:rStyle w:val="FootnoteReference"/>
          <w:b/>
          <w:i/>
          <w:color w:val="FFFFFF" w:themeColor="background1"/>
        </w:rPr>
        <w:footnoteReference w:customMarkFollows="1" w:id="2"/>
        <w:t xml:space="preserve">1 </w:t>
      </w:r>
      <w:r w:rsidRPr="00A66CD9">
        <w:rPr>
          <w:rStyle w:val="FootnoteReference"/>
          <w:b/>
          <w:i/>
          <w:color w:val="FFFFFF" w:themeColor="background1"/>
        </w:rPr>
        <w:footnoteReference w:customMarkFollows="1" w:id="3"/>
        <w:t>2</w:t>
      </w:r>
    </w:p>
    <w:p w14:paraId="6EF46EA9" w14:textId="77777777" w:rsidR="00837902" w:rsidRPr="00A66CD9" w:rsidRDefault="00837902" w:rsidP="00A66CD9">
      <w:pPr>
        <w:jc w:val="both"/>
      </w:pPr>
    </w:p>
    <w:p w14:paraId="32463FDB" w14:textId="77777777" w:rsidR="00837902" w:rsidRPr="00A66CD9" w:rsidRDefault="00837902" w:rsidP="00A66CD9">
      <w:pPr>
        <w:pStyle w:val="SingleTxtG"/>
        <w:ind w:left="567" w:right="0"/>
        <w:rPr>
          <w:lang w:val="en-GB"/>
        </w:rPr>
      </w:pPr>
      <w:r w:rsidRPr="00A66CD9">
        <w:rPr>
          <w:lang w:val="en-GB"/>
        </w:rPr>
        <w:object w:dxaOrig="9133" w:dyaOrig="12025" w14:anchorId="63DB7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2pt;height:601.25pt" o:ole="">
            <v:imagedata r:id="rId16" o:title=""/>
          </v:shape>
          <o:OLEObject Type="Embed" ProgID="Visio.Drawing.15" ShapeID="_x0000_i1025" DrawAspect="Content" ObjectID="_1730898029" r:id="rId17"/>
        </w:object>
      </w:r>
    </w:p>
    <w:p w14:paraId="4C0C9524" w14:textId="77777777" w:rsidR="00837902" w:rsidRPr="00A66CD9" w:rsidRDefault="00837902" w:rsidP="00A66CD9">
      <w:pPr>
        <w:jc w:val="both"/>
        <w:rPr>
          <w:b/>
          <w:bCs/>
          <w:color w:val="000000"/>
          <w:lang w:eastAsia="fr-FR"/>
        </w:rPr>
      </w:pPr>
      <w:r w:rsidRPr="00A66CD9">
        <w:br w:type="page"/>
      </w:r>
    </w:p>
    <w:p w14:paraId="19C26517" w14:textId="77777777" w:rsidR="00837902" w:rsidRPr="00A66CD9" w:rsidRDefault="00837902" w:rsidP="00A66CD9">
      <w:pPr>
        <w:pStyle w:val="GHSHeading4"/>
        <w:rPr>
          <w:szCs w:val="20"/>
        </w:rPr>
      </w:pPr>
      <w:r w:rsidRPr="00A66CD9">
        <w:rPr>
          <w:szCs w:val="20"/>
        </w:rPr>
        <w:lastRenderedPageBreak/>
        <w:t xml:space="preserve">2.17.4.2 </w:t>
      </w:r>
      <w:r w:rsidRPr="00A66CD9">
        <w:rPr>
          <w:szCs w:val="20"/>
        </w:rPr>
        <w:tab/>
        <w:t>Guidance</w:t>
      </w:r>
    </w:p>
    <w:p w14:paraId="0544FEFA" w14:textId="77777777" w:rsidR="00A66CD9" w:rsidRPr="00A66CD9" w:rsidRDefault="00A66CD9" w:rsidP="00A66CD9">
      <w:pPr>
        <w:pStyle w:val="GHSHeading4"/>
        <w:rPr>
          <w:szCs w:val="20"/>
        </w:rPr>
      </w:pPr>
    </w:p>
    <w:p w14:paraId="51ACE31E" w14:textId="77777777" w:rsidR="00837902" w:rsidRPr="00A66CD9" w:rsidRDefault="00837902" w:rsidP="00A66CD9">
      <w:pPr>
        <w:tabs>
          <w:tab w:val="left" w:pos="1418"/>
        </w:tabs>
        <w:spacing w:after="240"/>
        <w:jc w:val="both"/>
      </w:pPr>
      <w:r w:rsidRPr="00A66CD9">
        <w:t>2.17.4.2.1</w:t>
      </w:r>
      <w:r w:rsidRPr="00A66CD9">
        <w:tab/>
        <w:t>The classification procedure for desensitized explosives does not apply if:</w:t>
      </w:r>
    </w:p>
    <w:p w14:paraId="7091E5D7" w14:textId="77777777" w:rsidR="00837902" w:rsidRPr="00A66CD9" w:rsidRDefault="00837902" w:rsidP="00A66CD9">
      <w:pPr>
        <w:tabs>
          <w:tab w:val="left" w:pos="1418"/>
          <w:tab w:val="left" w:pos="1985"/>
        </w:tabs>
        <w:spacing w:after="240"/>
        <w:ind w:left="1985" w:hanging="567"/>
        <w:jc w:val="both"/>
      </w:pPr>
      <w:r w:rsidRPr="00A66CD9">
        <w:t>(a)</w:t>
      </w:r>
      <w:r w:rsidRPr="00A66CD9">
        <w:tab/>
        <w:t>The substances or mixtures contain no explosives according to the criteria in Chapter 2.1; or</w:t>
      </w:r>
    </w:p>
    <w:p w14:paraId="282B512F" w14:textId="77777777" w:rsidR="00837902" w:rsidRPr="00A66CD9" w:rsidRDefault="00837902" w:rsidP="00A66CD9">
      <w:pPr>
        <w:tabs>
          <w:tab w:val="left" w:pos="1418"/>
          <w:tab w:val="left" w:pos="1985"/>
        </w:tabs>
        <w:spacing w:after="240"/>
        <w:ind w:left="1985" w:hanging="567"/>
        <w:jc w:val="both"/>
      </w:pPr>
      <w:r w:rsidRPr="00A66CD9">
        <w:t>(b)</w:t>
      </w:r>
      <w:r w:rsidRPr="00A66CD9">
        <w:tab/>
        <w:t xml:space="preserve">The exothermic decomposition energy is less than 300 J/g. </w:t>
      </w:r>
    </w:p>
    <w:p w14:paraId="2CAF3B5B" w14:textId="7B00EAE4" w:rsidR="00443E39" w:rsidRPr="00A66CD9" w:rsidRDefault="00837902" w:rsidP="00A66CD9">
      <w:pPr>
        <w:pStyle w:val="SingleTxtG"/>
        <w:spacing w:before="60" w:after="0" w:line="240" w:lineRule="auto"/>
        <w:ind w:left="0" w:right="0"/>
        <w:rPr>
          <w:lang w:val="en-GB"/>
        </w:rPr>
      </w:pPr>
      <w:r w:rsidRPr="00A66CD9">
        <w:rPr>
          <w:lang w:val="en-GB"/>
        </w:rPr>
        <w:t>2.17.4.2.2</w:t>
      </w:r>
      <w:r w:rsidRPr="00A66CD9">
        <w:rPr>
          <w:lang w:val="en-GB"/>
        </w:rPr>
        <w:tab/>
        <w:t xml:space="preserve">The exothermic decomposition energy should be determined using the explosive already desensitized (i.e.: the homogenous solid or liquids mixture formed by the explosive and the substance(s) used to suppress its explosive properties). The exothermic decomposition energy may be estimated using a suitable calorimetric technique (see section 20, sub-section 20.3.3.3 in Part II of the </w:t>
      </w:r>
      <w:r w:rsidRPr="00A66CD9">
        <w:rPr>
          <w:i/>
          <w:lang w:val="en-GB"/>
        </w:rPr>
        <w:t>Manual of Tests and Criteria</w:t>
      </w:r>
      <w:r w:rsidRPr="00A66CD9">
        <w:rPr>
          <w:lang w:val="en-GB"/>
        </w:rPr>
        <w:t>).</w:t>
      </w:r>
      <w:r w:rsidR="00A66CD9">
        <w:rPr>
          <w:lang w:val="en-GB"/>
        </w:rPr>
        <w:t>”.</w:t>
      </w:r>
    </w:p>
    <w:p w14:paraId="02BD8B1B" w14:textId="77777777" w:rsidR="00A66CD9" w:rsidRPr="00A66CD9" w:rsidRDefault="00A66CD9" w:rsidP="00837902">
      <w:pPr>
        <w:pStyle w:val="SingleTxtG"/>
        <w:tabs>
          <w:tab w:val="left" w:pos="1418"/>
        </w:tabs>
        <w:spacing w:before="60" w:after="0" w:line="240" w:lineRule="auto"/>
        <w:ind w:left="1418" w:hanging="284"/>
        <w:rPr>
          <w:i/>
          <w:iCs/>
          <w:sz w:val="18"/>
          <w:szCs w:val="18"/>
          <w:lang w:val="en-GB"/>
        </w:rPr>
      </w:pPr>
    </w:p>
    <w:p w14:paraId="5984E740" w14:textId="77777777" w:rsidR="00443E39" w:rsidRPr="00A66CD9" w:rsidRDefault="00443E39" w:rsidP="00443E39">
      <w:pPr>
        <w:suppressAutoHyphens w:val="0"/>
        <w:spacing w:after="200" w:line="276" w:lineRule="auto"/>
        <w:sectPr w:rsidR="00443E39" w:rsidRPr="00A66CD9" w:rsidSect="00B06D4D">
          <w:headerReference w:type="even" r:id="rId18"/>
          <w:headerReference w:type="default" r:id="rId19"/>
          <w:headerReference w:type="first" r:id="rId20"/>
          <w:footerReference w:type="first" r:id="rId21"/>
          <w:endnotePr>
            <w:numFmt w:val="decimal"/>
          </w:endnotePr>
          <w:pgSz w:w="11906" w:h="16838" w:code="9"/>
          <w:pgMar w:top="1418" w:right="1134" w:bottom="1134" w:left="1134" w:header="851" w:footer="680" w:gutter="0"/>
          <w:cols w:space="708"/>
          <w:titlePg/>
          <w:docGrid w:linePitch="360"/>
        </w:sectPr>
      </w:pPr>
    </w:p>
    <w:p w14:paraId="712190DC" w14:textId="545B945F" w:rsidR="001E7A06" w:rsidRPr="00A66CD9" w:rsidRDefault="001E7A06" w:rsidP="001E7A06">
      <w:pPr>
        <w:pStyle w:val="HChG"/>
        <w:rPr>
          <w:lang w:val="en-GB"/>
        </w:rPr>
      </w:pPr>
      <w:r>
        <w:rPr>
          <w:lang w:val="en-GB"/>
        </w:rPr>
        <w:lastRenderedPageBreak/>
        <w:t>Part II:</w:t>
      </w:r>
      <w:r>
        <w:rPr>
          <w:lang w:val="en-GB"/>
        </w:rPr>
        <w:tab/>
      </w:r>
      <w:r w:rsidRPr="00A66CD9">
        <w:rPr>
          <w:lang w:val="en-GB"/>
        </w:rPr>
        <w:t>Amended section 51 of the Manual of Tests and Criteria (clean version)</w:t>
      </w:r>
    </w:p>
    <w:p w14:paraId="1B121BB0" w14:textId="7D6F0ABC" w:rsidR="001E7A06" w:rsidRPr="00A66CD9" w:rsidRDefault="001E7A06" w:rsidP="001E7A06">
      <w:pPr>
        <w:pStyle w:val="SingleTxtG"/>
        <w:ind w:right="-1"/>
        <w:rPr>
          <w:lang w:val="en-GB"/>
        </w:rPr>
      </w:pPr>
      <w:r w:rsidRPr="00A66CD9">
        <w:rPr>
          <w:lang w:val="en-GB"/>
        </w:rPr>
        <w:t xml:space="preserve">The consolidated text of </w:t>
      </w:r>
      <w:r>
        <w:rPr>
          <w:lang w:val="en-GB"/>
        </w:rPr>
        <w:t>section 51 of the Manual of Tests and Criteria</w:t>
      </w:r>
      <w:r w:rsidRPr="00A66CD9">
        <w:rPr>
          <w:lang w:val="en-GB"/>
        </w:rPr>
        <w:t xml:space="preserve">, as amended by Germany and the United States of America in ST/SG/AC.10/C.3/2022/50 − ST/SG/AC.10/C.4/2022/10 and by AEISG in informal document INF.20 (TDG) </w:t>
      </w:r>
      <w:proofErr w:type="gramStart"/>
      <w:r w:rsidRPr="00A66CD9">
        <w:rPr>
          <w:lang w:val="en-GB"/>
        </w:rPr>
        <w:t xml:space="preserve">- </w:t>
      </w:r>
      <w:r w:rsidRPr="00A66CD9" w:rsidDel="0076725C">
        <w:rPr>
          <w:lang w:val="en-GB"/>
        </w:rPr>
        <w:t xml:space="preserve"> </w:t>
      </w:r>
      <w:r w:rsidRPr="00A66CD9">
        <w:rPr>
          <w:lang w:val="en-GB"/>
        </w:rPr>
        <w:t>INF.</w:t>
      </w:r>
      <w:proofErr w:type="gramEnd"/>
      <w:r w:rsidRPr="00A66CD9">
        <w:rPr>
          <w:lang w:val="en-GB"/>
        </w:rPr>
        <w:t xml:space="preserve">12 (GHS), </w:t>
      </w:r>
      <w:r>
        <w:rPr>
          <w:lang w:val="en-GB"/>
        </w:rPr>
        <w:t xml:space="preserve">is shown below </w:t>
      </w:r>
      <w:r w:rsidRPr="00A66CD9">
        <w:rPr>
          <w:lang w:val="en-GB"/>
        </w:rPr>
        <w:t>with the additional editorial improvements proposed by the United Kingdom in this document.</w:t>
      </w:r>
    </w:p>
    <w:p w14:paraId="20BCE20A" w14:textId="77777777" w:rsidR="001E7A06" w:rsidRDefault="001E7A06" w:rsidP="001E7A06">
      <w:pPr>
        <w:pStyle w:val="SingleTxtG"/>
        <w:ind w:right="-1"/>
        <w:rPr>
          <w:strike/>
          <w:lang w:val="en-GB"/>
        </w:rPr>
      </w:pPr>
      <w:r w:rsidRPr="00A66CD9">
        <w:rPr>
          <w:lang w:val="en-GB"/>
        </w:rPr>
        <w:t xml:space="preserve">Only the amendments proposed in this document are </w:t>
      </w:r>
      <w:r w:rsidRPr="00A66CD9">
        <w:rPr>
          <w:highlight w:val="yellow"/>
          <w:lang w:val="en-GB"/>
        </w:rPr>
        <w:t>highlighted</w:t>
      </w:r>
      <w:r w:rsidRPr="00A66CD9">
        <w:rPr>
          <w:lang w:val="en-GB"/>
        </w:rPr>
        <w:t xml:space="preserve">. Inserted text is shown in </w:t>
      </w:r>
      <w:r w:rsidRPr="00A66CD9">
        <w:rPr>
          <w:b/>
          <w:bCs/>
          <w:u w:val="single"/>
          <w:lang w:val="en-GB"/>
        </w:rPr>
        <w:t xml:space="preserve">bold, underlined, </w:t>
      </w:r>
      <w:r w:rsidRPr="00A66CD9">
        <w:rPr>
          <w:lang w:val="en-GB"/>
        </w:rPr>
        <w:t xml:space="preserve">deleted text is </w:t>
      </w:r>
      <w:proofErr w:type="gramStart"/>
      <w:r w:rsidRPr="00A66CD9">
        <w:rPr>
          <w:strike/>
          <w:lang w:val="en-GB"/>
        </w:rPr>
        <w:t>crossed-out</w:t>
      </w:r>
      <w:proofErr w:type="gramEnd"/>
      <w:r w:rsidRPr="00A66CD9">
        <w:rPr>
          <w:strike/>
          <w:lang w:val="en-GB"/>
        </w:rPr>
        <w:t>.</w:t>
      </w:r>
    </w:p>
    <w:p w14:paraId="0A2C7AEE" w14:textId="0A1B4126" w:rsidR="0083536D" w:rsidRPr="003B5227" w:rsidRDefault="00926270" w:rsidP="00465B6F">
      <w:pPr>
        <w:pStyle w:val="M1Sect"/>
        <w:spacing w:before="480"/>
        <w:rPr>
          <w:rFonts w:asciiTheme="majorBidi" w:hAnsiTheme="majorBidi" w:cstheme="majorBidi"/>
        </w:rPr>
      </w:pPr>
      <w:r>
        <w:rPr>
          <w:rFonts w:asciiTheme="majorBidi" w:hAnsiTheme="majorBidi" w:cstheme="majorBidi"/>
        </w:rPr>
        <w:t>“</w:t>
      </w:r>
      <w:r w:rsidRPr="00926270">
        <w:rPr>
          <w:rFonts w:asciiTheme="majorBidi" w:hAnsiTheme="majorBidi" w:cstheme="majorBidi"/>
        </w:rPr>
        <w:t>S</w:t>
      </w:r>
      <w:r>
        <w:rPr>
          <w:rFonts w:asciiTheme="majorBidi" w:hAnsiTheme="majorBidi" w:cstheme="majorBidi"/>
        </w:rPr>
        <w:t>ECTION</w:t>
      </w:r>
      <w:r w:rsidRPr="00926270">
        <w:rPr>
          <w:rFonts w:asciiTheme="majorBidi" w:hAnsiTheme="majorBidi" w:cstheme="majorBidi"/>
        </w:rPr>
        <w:t xml:space="preserve"> 51</w:t>
      </w:r>
      <w:r>
        <w:rPr>
          <w:rFonts w:asciiTheme="majorBidi" w:hAnsiTheme="majorBidi" w:cstheme="majorBidi"/>
        </w:rPr>
        <w:br/>
      </w:r>
      <w:r>
        <w:rPr>
          <w:rFonts w:asciiTheme="majorBidi" w:hAnsiTheme="majorBidi" w:cstheme="majorBidi"/>
        </w:rPr>
        <w:br/>
      </w:r>
      <w:r w:rsidR="0083536D" w:rsidRPr="003B5227">
        <w:rPr>
          <w:rFonts w:asciiTheme="majorBidi" w:hAnsiTheme="majorBidi" w:cstheme="majorBidi"/>
        </w:rPr>
        <w:t xml:space="preserve">CLASSIFICATION PROCEDURES, TEST METHODS AND </w:t>
      </w:r>
      <w:r w:rsidR="0083536D" w:rsidRPr="003B5227">
        <w:rPr>
          <w:rFonts w:asciiTheme="majorBidi" w:hAnsiTheme="majorBidi" w:cstheme="majorBidi"/>
        </w:rPr>
        <w:br/>
        <w:t>CRITERIA RELATING TO THE HAZARD CLASS DESENSITIZED EXPLOSIVES</w:t>
      </w:r>
    </w:p>
    <w:p w14:paraId="0AE6ED3E" w14:textId="081F6657" w:rsidR="00443E39" w:rsidRDefault="00443E39" w:rsidP="009B2960">
      <w:pPr>
        <w:tabs>
          <w:tab w:val="left" w:pos="1134"/>
          <w:tab w:val="left" w:pos="2268"/>
        </w:tabs>
        <w:suppressAutoHyphens w:val="0"/>
        <w:spacing w:before="240" w:line="240" w:lineRule="auto"/>
        <w:jc w:val="both"/>
        <w:rPr>
          <w:rFonts w:eastAsiaTheme="minorEastAsia"/>
          <w:b/>
          <w:bCs/>
        </w:rPr>
      </w:pPr>
      <w:r w:rsidRPr="00A66CD9">
        <w:rPr>
          <w:rFonts w:eastAsiaTheme="minorEastAsia"/>
          <w:b/>
          <w:bCs/>
        </w:rPr>
        <w:t>“51.1</w:t>
      </w:r>
      <w:r w:rsidRPr="00A66CD9">
        <w:rPr>
          <w:rFonts w:eastAsiaTheme="minorEastAsia"/>
          <w:b/>
          <w:bCs/>
        </w:rPr>
        <w:tab/>
      </w:r>
      <w:r w:rsidRPr="00D70F1F">
        <w:rPr>
          <w:rFonts w:eastAsiaTheme="minorEastAsia"/>
          <w:b/>
          <w:bCs/>
        </w:rPr>
        <w:t>Purpose</w:t>
      </w:r>
    </w:p>
    <w:p w14:paraId="58281A85" w14:textId="77777777" w:rsidR="00443E39" w:rsidRPr="00A66CD9" w:rsidRDefault="00443E39" w:rsidP="009B2960">
      <w:pPr>
        <w:tabs>
          <w:tab w:val="left" w:pos="1134"/>
          <w:tab w:val="left" w:pos="2268"/>
        </w:tabs>
        <w:suppressAutoHyphens w:val="0"/>
        <w:spacing w:before="240" w:line="240" w:lineRule="auto"/>
        <w:jc w:val="both"/>
        <w:rPr>
          <w:rFonts w:eastAsiaTheme="minorEastAsia"/>
        </w:rPr>
      </w:pPr>
      <w:r w:rsidRPr="00A66CD9">
        <w:rPr>
          <w:rFonts w:eastAsiaTheme="minorEastAsia"/>
        </w:rPr>
        <w:t>51.1.1</w:t>
      </w:r>
      <w:r w:rsidRPr="00A66CD9">
        <w:rPr>
          <w:rFonts w:eastAsiaTheme="minorEastAsia"/>
        </w:rPr>
        <w:tab/>
        <w:t xml:space="preserve">This section </w:t>
      </w:r>
      <w:r w:rsidRPr="00A66CD9">
        <w:rPr>
          <w:rFonts w:eastAsia="Calibri" w:cs="TimesNewRomanPSMT"/>
        </w:rPr>
        <w:t>presents</w:t>
      </w:r>
      <w:r w:rsidRPr="00A66CD9">
        <w:rPr>
          <w:rFonts w:eastAsiaTheme="minorEastAsia"/>
        </w:rPr>
        <w:t xml:space="preserve"> the United Nations scheme of the classification of liquid and solid desensitized explosives (see Chapter 2.17 of the Globally Harmonized System of Classification and Labelling of Chemicals (GHS)). The text should be used in conjunction with the classification principles of Chapter 2.17 of the GHS and the test series given in sections 12 and 13 and sub-sections 16.4 and 16.5 of this Manual.</w:t>
      </w:r>
    </w:p>
    <w:p w14:paraId="158E4699" w14:textId="77777777" w:rsidR="00443E39" w:rsidRPr="00A66CD9" w:rsidRDefault="00443E39" w:rsidP="009B2960">
      <w:pPr>
        <w:tabs>
          <w:tab w:val="left" w:pos="1134"/>
          <w:tab w:val="left" w:pos="2268"/>
        </w:tabs>
        <w:suppressAutoHyphens w:val="0"/>
        <w:spacing w:before="240" w:line="240" w:lineRule="auto"/>
        <w:jc w:val="both"/>
        <w:rPr>
          <w:rFonts w:eastAsiaTheme="minorEastAsia"/>
          <w:i/>
          <w:iCs/>
        </w:rPr>
      </w:pPr>
      <w:r w:rsidRPr="00A66CD9">
        <w:rPr>
          <w:rFonts w:eastAsiaTheme="minorEastAsia"/>
          <w:i/>
          <w:iCs/>
        </w:rPr>
        <w:tab/>
        <w:t>For testing of liquid desensitized explosives for transport purposes, refer to section 32, sub-section 32.3.2 of this Manual and to Chapter 2.3, sub-section 2.3.1.4 of the Model Regulations. Testing of solid desensitized explosives for transport purposes is addressed in section 33, sub-section 33.3 of this Manual and in Chapter 2.4, sub-section 2.4.2.4 of the Model Regulations.</w:t>
      </w:r>
    </w:p>
    <w:p w14:paraId="0E370CBD" w14:textId="77777777" w:rsidR="00443E39" w:rsidRPr="00A66CD9" w:rsidRDefault="00443E39" w:rsidP="009B2960">
      <w:pPr>
        <w:tabs>
          <w:tab w:val="left" w:pos="1134"/>
          <w:tab w:val="left" w:pos="2268"/>
        </w:tabs>
        <w:suppressAutoHyphens w:val="0"/>
        <w:spacing w:before="240" w:line="240" w:lineRule="auto"/>
        <w:jc w:val="both"/>
        <w:rPr>
          <w:rFonts w:eastAsiaTheme="minorEastAsia"/>
          <w:b/>
          <w:bCs/>
        </w:rPr>
      </w:pPr>
      <w:r w:rsidRPr="00A66CD9">
        <w:rPr>
          <w:rFonts w:eastAsiaTheme="minorEastAsia"/>
          <w:b/>
          <w:bCs/>
        </w:rPr>
        <w:t>51.2</w:t>
      </w:r>
      <w:r w:rsidRPr="00A66CD9">
        <w:rPr>
          <w:rFonts w:eastAsiaTheme="minorEastAsia"/>
          <w:b/>
          <w:bCs/>
        </w:rPr>
        <w:tab/>
      </w:r>
      <w:r w:rsidRPr="00A66CD9">
        <w:rPr>
          <w:rFonts w:eastAsia="Calibri" w:cs="TimesNewRomanPSMT"/>
          <w:b/>
          <w:bCs/>
        </w:rPr>
        <w:t>Scope</w:t>
      </w:r>
    </w:p>
    <w:p w14:paraId="70F06821" w14:textId="77777777" w:rsidR="00443E39" w:rsidRPr="00A66CD9" w:rsidRDefault="00443E39" w:rsidP="009B2960">
      <w:pPr>
        <w:tabs>
          <w:tab w:val="left" w:pos="1134"/>
          <w:tab w:val="left" w:pos="2268"/>
        </w:tabs>
        <w:suppressAutoHyphens w:val="0"/>
        <w:spacing w:before="240" w:line="240" w:lineRule="auto"/>
        <w:jc w:val="both"/>
        <w:rPr>
          <w:rFonts w:eastAsia="Calibri" w:cs="TimesNewRomanPSMT"/>
        </w:rPr>
      </w:pPr>
      <w:r w:rsidRPr="00A66CD9">
        <w:rPr>
          <w:rFonts w:eastAsia="Calibri" w:cs="TimesNewRomanPSMT"/>
        </w:rPr>
        <w:t>51.2.1</w:t>
      </w:r>
      <w:r w:rsidRPr="00A66CD9">
        <w:rPr>
          <w:rFonts w:eastAsia="Calibri" w:cs="TimesNewRomanPSMT"/>
        </w:rPr>
        <w:tab/>
        <w:t xml:space="preserve">Desensitized explosives are </w:t>
      </w:r>
      <w:r w:rsidRPr="00A66CD9">
        <w:t xml:space="preserve">substances and mixtures in the scope of Chapter 2.1 of the GHS </w:t>
      </w:r>
      <w:r w:rsidRPr="00A66CD9">
        <w:rPr>
          <w:rFonts w:eastAsia="Calibri" w:cs="TimesNewRomanPSMT"/>
        </w:rPr>
        <w:t xml:space="preserve">which are phlegmatized to suppress their explosive properties in such a manner that they </w:t>
      </w:r>
      <w:r w:rsidRPr="00A66CD9">
        <w:t xml:space="preserve">meet the criteria as specified in 2.17.2 of the GHS and thus </w:t>
      </w:r>
      <w:r w:rsidRPr="00A66CD9">
        <w:rPr>
          <w:rFonts w:eastAsia="Calibri" w:cs="TimesNewRomanPSMT"/>
        </w:rPr>
        <w:t xml:space="preserve">may be exempted from the hazard class “Explosives” (Chapter 2.1 of GHS). </w:t>
      </w:r>
    </w:p>
    <w:p w14:paraId="51D7A00A" w14:textId="77777777" w:rsidR="00443E39" w:rsidRPr="00A66CD9" w:rsidRDefault="00443E39" w:rsidP="009B2960">
      <w:pPr>
        <w:tabs>
          <w:tab w:val="left" w:pos="1134"/>
          <w:tab w:val="left" w:pos="2268"/>
        </w:tabs>
        <w:suppressAutoHyphens w:val="0"/>
        <w:spacing w:before="240" w:line="240" w:lineRule="auto"/>
        <w:jc w:val="both"/>
        <w:rPr>
          <w:rFonts w:eastAsia="Calibri" w:cs="TimesNewRomanPSMT"/>
        </w:rPr>
      </w:pPr>
      <w:r w:rsidRPr="00A66CD9">
        <w:rPr>
          <w:rFonts w:eastAsia="Calibri" w:cs="TimesNewRomanPSMT"/>
        </w:rPr>
        <w:t>51.2.2</w:t>
      </w:r>
      <w:r w:rsidRPr="00A66CD9">
        <w:rPr>
          <w:rFonts w:eastAsia="Calibri" w:cs="TimesNewRomanPSMT"/>
        </w:rPr>
        <w:tab/>
        <w:t xml:space="preserve">Desensitized explosives should be tested </w:t>
      </w:r>
    </w:p>
    <w:p w14:paraId="582388C2" w14:textId="5EA8070B" w:rsidR="00443E39" w:rsidRPr="00A66CD9" w:rsidRDefault="00443E39" w:rsidP="009B2960">
      <w:pPr>
        <w:tabs>
          <w:tab w:val="left" w:pos="1134"/>
        </w:tabs>
        <w:suppressAutoHyphens w:val="0"/>
        <w:spacing w:before="120" w:line="240" w:lineRule="auto"/>
        <w:ind w:left="1701" w:hanging="567"/>
        <w:jc w:val="both"/>
        <w:rPr>
          <w:rFonts w:eastAsia="Calibri" w:cs="TimesNewRomanPSMT"/>
        </w:rPr>
      </w:pPr>
      <w:r w:rsidRPr="00A66CD9">
        <w:rPr>
          <w:rFonts w:eastAsia="Calibri" w:cs="TimesNewRomanPSMT"/>
        </w:rPr>
        <w:t>(a)</w:t>
      </w:r>
      <w:r w:rsidRPr="00A66CD9">
        <w:rPr>
          <w:rFonts w:eastAsia="Calibri" w:cs="TimesNewRomanPSMT"/>
        </w:rPr>
        <w:tab/>
        <w:t>for their exothermic decomposition energy</w:t>
      </w:r>
      <w:r w:rsidR="0000306F" w:rsidRPr="00A66CD9">
        <w:rPr>
          <w:rStyle w:val="FootnoteReference"/>
          <w:rFonts w:eastAsia="Calibri" w:cs="TimesNewRomanPSMT"/>
        </w:rPr>
        <w:footnoteReference w:customMarkFollows="1" w:id="4"/>
        <w:t>1</w:t>
      </w:r>
      <w:r w:rsidRPr="00A66CD9">
        <w:rPr>
          <w:rFonts w:eastAsia="Calibri" w:cs="TimesNewRomanPSMT"/>
        </w:rPr>
        <w:t xml:space="preserve">, if attempting to exit the class of desensitized </w:t>
      </w:r>
      <w:proofErr w:type="gramStart"/>
      <w:r w:rsidRPr="00A66CD9">
        <w:rPr>
          <w:rFonts w:eastAsia="Calibri" w:cs="TimesNewRomanPSMT"/>
        </w:rPr>
        <w:t>explosives;</w:t>
      </w:r>
      <w:proofErr w:type="gramEnd"/>
    </w:p>
    <w:p w14:paraId="66424E3F" w14:textId="41F3ADD8" w:rsidR="00443E39" w:rsidRPr="00A66CD9" w:rsidRDefault="00443E39" w:rsidP="009B2960">
      <w:pPr>
        <w:tabs>
          <w:tab w:val="left" w:pos="1134"/>
        </w:tabs>
        <w:suppressAutoHyphens w:val="0"/>
        <w:spacing w:before="120" w:line="240" w:lineRule="auto"/>
        <w:ind w:left="1701" w:hanging="567"/>
        <w:jc w:val="both"/>
        <w:rPr>
          <w:rFonts w:eastAsia="Calibri" w:cs="TimesNewRomanPSMT"/>
        </w:rPr>
      </w:pPr>
      <w:r w:rsidRPr="00A66CD9">
        <w:rPr>
          <w:rFonts w:eastAsia="Calibri" w:cs="TimesNewRomanPSMT"/>
        </w:rPr>
        <w:t>(b)</w:t>
      </w:r>
      <w:r w:rsidRPr="00A66CD9">
        <w:rPr>
          <w:rFonts w:eastAsia="Calibri" w:cs="TimesNewRomanPSMT"/>
        </w:rPr>
        <w:tab/>
      </w:r>
      <w:r w:rsidR="008B24BB" w:rsidRPr="008B24BB">
        <w:rPr>
          <w:rFonts w:eastAsia="Calibri" w:cs="TimesNewRomanPSMT"/>
          <w:b/>
          <w:bCs/>
          <w:highlight w:val="yellow"/>
          <w:u w:val="single"/>
        </w:rPr>
        <w:t>in accordance with</w:t>
      </w:r>
      <w:r w:rsidR="008B24BB" w:rsidRPr="008B24BB">
        <w:rPr>
          <w:rFonts w:eastAsia="Calibri" w:cs="TimesNewRomanPSMT"/>
          <w:highlight w:val="yellow"/>
        </w:rPr>
        <w:t xml:space="preserve"> </w:t>
      </w:r>
      <w:r w:rsidRPr="008B24BB">
        <w:rPr>
          <w:rFonts w:eastAsia="Calibri" w:cs="TimesNewRomanPSMT"/>
          <w:strike/>
          <w:highlight w:val="yellow"/>
        </w:rPr>
        <w:t>according to</w:t>
      </w:r>
      <w:r w:rsidRPr="00395751">
        <w:rPr>
          <w:rFonts w:eastAsia="Calibri" w:cs="TimesNewRomanPSMT"/>
          <w:strike/>
        </w:rPr>
        <w:t xml:space="preserve"> </w:t>
      </w:r>
      <w:r w:rsidRPr="00A66CD9">
        <w:rPr>
          <w:rFonts w:eastAsia="Calibri" w:cs="TimesNewRomanPSMT"/>
        </w:rPr>
        <w:t xml:space="preserve">test 1 (a), test series 2 and 3 and tests 6 (a) and (b), respectively of this Manual and </w:t>
      </w:r>
      <w:r w:rsidR="008B24BB" w:rsidRPr="008B24BB">
        <w:rPr>
          <w:rFonts w:eastAsia="Calibri" w:cs="TimesNewRomanPSMT"/>
          <w:b/>
          <w:bCs/>
          <w:highlight w:val="yellow"/>
          <w:u w:val="single"/>
        </w:rPr>
        <w:t>in accordance with</w:t>
      </w:r>
      <w:r w:rsidR="008B24BB" w:rsidRPr="008B24BB">
        <w:rPr>
          <w:rFonts w:eastAsia="Calibri" w:cs="TimesNewRomanPSMT"/>
          <w:highlight w:val="yellow"/>
        </w:rPr>
        <w:t xml:space="preserve"> </w:t>
      </w:r>
      <w:r w:rsidR="008B24BB" w:rsidRPr="008B24BB">
        <w:rPr>
          <w:rFonts w:eastAsia="Calibri" w:cs="TimesNewRomanPSMT"/>
          <w:strike/>
          <w:highlight w:val="yellow"/>
        </w:rPr>
        <w:t>according to</w:t>
      </w:r>
      <w:r w:rsidR="008B24BB" w:rsidRPr="00395751">
        <w:rPr>
          <w:rFonts w:eastAsia="Calibri" w:cs="TimesNewRomanPSMT"/>
          <w:strike/>
        </w:rPr>
        <w:t xml:space="preserve"> </w:t>
      </w:r>
      <w:r w:rsidRPr="00A66CD9">
        <w:rPr>
          <w:rFonts w:eastAsia="Calibri"/>
        </w:rPr>
        <w:t>the classification procedure in section 51.3, to preclude a mass explosion in the corrected burning rate test</w:t>
      </w:r>
      <w:r w:rsidRPr="00A66CD9">
        <w:rPr>
          <w:rStyle w:val="FootnoteReference"/>
          <w:rFonts w:eastAsia="Calibri"/>
        </w:rPr>
        <w:t xml:space="preserve"> </w:t>
      </w:r>
      <w:r w:rsidRPr="00A66CD9">
        <w:rPr>
          <w:rFonts w:eastAsia="Calibri" w:cs="TimesNewRomanPSMT"/>
        </w:rPr>
        <w:t>;</w:t>
      </w:r>
      <w:r w:rsidR="00B32DD0" w:rsidRPr="00A66CD9">
        <w:rPr>
          <w:rFonts w:eastAsia="Calibri" w:cs="TimesNewRomanPSMT"/>
        </w:rPr>
        <w:t xml:space="preserve"> and</w:t>
      </w:r>
    </w:p>
    <w:p w14:paraId="18C0A393" w14:textId="0499A5AB" w:rsidR="00443E39" w:rsidRPr="00A66CD9" w:rsidRDefault="00443E39" w:rsidP="009B2960">
      <w:pPr>
        <w:tabs>
          <w:tab w:val="left" w:pos="1134"/>
        </w:tabs>
        <w:suppressAutoHyphens w:val="0"/>
        <w:spacing w:before="120" w:line="240" w:lineRule="auto"/>
        <w:ind w:left="1701" w:hanging="567"/>
        <w:jc w:val="both"/>
        <w:rPr>
          <w:rFonts w:eastAsia="Calibri" w:cs="TimesNewRomanPSMT"/>
        </w:rPr>
      </w:pPr>
      <w:r w:rsidRPr="00A66CD9">
        <w:rPr>
          <w:rFonts w:eastAsia="Calibri" w:cs="TimesNewRomanPSMT"/>
        </w:rPr>
        <w:t>(c)</w:t>
      </w:r>
      <w:r w:rsidRPr="00A66CD9">
        <w:rPr>
          <w:rFonts w:eastAsia="Calibri" w:cs="TimesNewRomanPSMT"/>
        </w:rPr>
        <w:tab/>
      </w:r>
      <w:r w:rsidR="008B24BB" w:rsidRPr="008B24BB">
        <w:rPr>
          <w:rFonts w:eastAsia="Calibri" w:cs="TimesNewRomanPSMT"/>
          <w:b/>
          <w:bCs/>
          <w:highlight w:val="yellow"/>
          <w:u w:val="single"/>
        </w:rPr>
        <w:t>in accordance with</w:t>
      </w:r>
      <w:r w:rsidR="008B24BB" w:rsidRPr="008B24BB">
        <w:rPr>
          <w:rFonts w:eastAsia="Calibri" w:cs="TimesNewRomanPSMT"/>
          <w:highlight w:val="yellow"/>
        </w:rPr>
        <w:t xml:space="preserve"> </w:t>
      </w:r>
      <w:r w:rsidR="008B24BB" w:rsidRPr="008B24BB">
        <w:rPr>
          <w:rFonts w:eastAsia="Calibri" w:cs="TimesNewRomanPSMT"/>
          <w:strike/>
          <w:highlight w:val="yellow"/>
        </w:rPr>
        <w:t>according to</w:t>
      </w:r>
      <w:r w:rsidR="008B24BB" w:rsidRPr="00395751">
        <w:rPr>
          <w:rFonts w:eastAsia="Calibri" w:cs="TimesNewRomanPSMT"/>
          <w:strike/>
        </w:rPr>
        <w:t xml:space="preserve"> </w:t>
      </w:r>
      <w:r w:rsidRPr="00A66CD9">
        <w:rPr>
          <w:rFonts w:eastAsia="Calibri" w:cs="TimesNewRomanPSMT"/>
        </w:rPr>
        <w:t xml:space="preserve">the corrected burning rate </w:t>
      </w:r>
      <w:proofErr w:type="gramStart"/>
      <w:r w:rsidRPr="00A66CD9">
        <w:rPr>
          <w:rFonts w:eastAsia="Calibri" w:cs="TimesNewRomanPSMT"/>
        </w:rPr>
        <w:t>test;</w:t>
      </w:r>
      <w:proofErr w:type="gramEnd"/>
    </w:p>
    <w:p w14:paraId="31500C54" w14:textId="6E023643" w:rsidR="00443E39" w:rsidRPr="00A66CD9" w:rsidRDefault="00B32DD0" w:rsidP="006F027F">
      <w:pPr>
        <w:suppressAutoHyphens w:val="0"/>
        <w:spacing w:before="120" w:line="240" w:lineRule="auto"/>
        <w:jc w:val="both"/>
        <w:rPr>
          <w:rFonts w:eastAsia="Calibri" w:cs="TimesNewRomanPSMT"/>
        </w:rPr>
      </w:pPr>
      <w:r w:rsidRPr="00A66CD9">
        <w:rPr>
          <w:rFonts w:eastAsia="Calibri" w:cs="TimesNewRomanPSMT"/>
        </w:rPr>
        <w:t>51.2.3</w:t>
      </w:r>
      <w:r w:rsidRPr="00A66CD9">
        <w:rPr>
          <w:rFonts w:eastAsia="Calibri" w:cs="TimesNewRomanPSMT"/>
        </w:rPr>
        <w:tab/>
      </w:r>
      <w:r w:rsidRPr="00A66CD9">
        <w:rPr>
          <w:rFonts w:eastAsia="Calibri" w:cs="TimesNewRomanPSMT"/>
        </w:rPr>
        <w:tab/>
        <w:t>N</w:t>
      </w:r>
      <w:r w:rsidR="00443E39" w:rsidRPr="00A66CD9">
        <w:rPr>
          <w:rFonts w:eastAsia="Calibri" w:cs="TimesNewRomanPSMT"/>
        </w:rPr>
        <w:t xml:space="preserve">itrocellulose should be tested </w:t>
      </w:r>
      <w:r w:rsidR="00B97036" w:rsidRPr="008B24BB">
        <w:rPr>
          <w:rFonts w:eastAsia="Calibri" w:cs="TimesNewRomanPSMT"/>
          <w:b/>
          <w:bCs/>
          <w:highlight w:val="yellow"/>
          <w:u w:val="single"/>
        </w:rPr>
        <w:t>in accordance with</w:t>
      </w:r>
      <w:r w:rsidR="00B97036" w:rsidRPr="00A66CD9">
        <w:rPr>
          <w:rFonts w:eastAsia="Calibri" w:cs="TimesNewRomanPSMT"/>
        </w:rPr>
        <w:t xml:space="preserve"> </w:t>
      </w:r>
      <w:r w:rsidR="00443E39" w:rsidRPr="00B97036">
        <w:rPr>
          <w:rFonts w:eastAsia="Calibri" w:cs="TimesNewRomanPSMT"/>
          <w:strike/>
        </w:rPr>
        <w:t>according to</w:t>
      </w:r>
      <w:r w:rsidR="00443E39" w:rsidRPr="00A66CD9">
        <w:rPr>
          <w:rFonts w:eastAsia="Calibri" w:cs="TimesNewRomanPSMT"/>
        </w:rPr>
        <w:t xml:space="preserve"> Appendix 10 of this Manual </w:t>
      </w:r>
      <w:proofErr w:type="gramStart"/>
      <w:r w:rsidR="00443E39" w:rsidRPr="00A66CD9">
        <w:rPr>
          <w:rFonts w:eastAsia="Calibri" w:cs="TimesNewRomanPSMT"/>
        </w:rPr>
        <w:t>in order to</w:t>
      </w:r>
      <w:proofErr w:type="gramEnd"/>
      <w:r w:rsidR="00443E39" w:rsidRPr="00A66CD9">
        <w:rPr>
          <w:rFonts w:eastAsia="Calibri" w:cs="TimesNewRomanPSMT"/>
        </w:rPr>
        <w:t xml:space="preserve"> be used in nitrocellulose mixtures.</w:t>
      </w:r>
    </w:p>
    <w:p w14:paraId="66F5C8C2" w14:textId="77777777" w:rsidR="00443E39" w:rsidRPr="00A66CD9" w:rsidRDefault="00443E39" w:rsidP="006F027F">
      <w:pPr>
        <w:keepNext/>
        <w:tabs>
          <w:tab w:val="left" w:pos="2268"/>
        </w:tabs>
        <w:suppressAutoHyphens w:val="0"/>
        <w:spacing w:before="240" w:line="240" w:lineRule="auto"/>
        <w:jc w:val="both"/>
        <w:rPr>
          <w:rFonts w:eastAsiaTheme="minorEastAsia"/>
          <w:b/>
          <w:bCs/>
        </w:rPr>
      </w:pPr>
      <w:r w:rsidRPr="00A66CD9">
        <w:rPr>
          <w:rFonts w:eastAsiaTheme="minorEastAsia"/>
          <w:b/>
          <w:bCs/>
        </w:rPr>
        <w:t>51.3</w:t>
      </w:r>
      <w:r w:rsidRPr="00A66CD9">
        <w:rPr>
          <w:rFonts w:eastAsiaTheme="minorEastAsia"/>
          <w:b/>
          <w:bCs/>
        </w:rPr>
        <w:tab/>
      </w:r>
      <w:r w:rsidRPr="00A66CD9">
        <w:rPr>
          <w:rFonts w:eastAsia="Calibri" w:cs="TimesNewRomanPSMT"/>
          <w:b/>
          <w:bCs/>
        </w:rPr>
        <w:t>Classification</w:t>
      </w:r>
      <w:r w:rsidRPr="00A66CD9">
        <w:rPr>
          <w:rFonts w:eastAsiaTheme="minorEastAsia"/>
          <w:b/>
          <w:bCs/>
        </w:rPr>
        <w:t xml:space="preserve"> procedure</w:t>
      </w:r>
    </w:p>
    <w:p w14:paraId="7E2396EF" w14:textId="3526BCBF" w:rsidR="00443E39" w:rsidRPr="00A66CD9" w:rsidRDefault="00443E39" w:rsidP="006F027F">
      <w:pPr>
        <w:tabs>
          <w:tab w:val="left" w:pos="2268"/>
        </w:tabs>
        <w:suppressAutoHyphens w:val="0"/>
        <w:spacing w:before="240" w:line="240" w:lineRule="auto"/>
        <w:jc w:val="both"/>
        <w:rPr>
          <w:rFonts w:eastAsia="Calibri" w:cs="TimesNewRomanPSMT"/>
        </w:rPr>
      </w:pPr>
      <w:r w:rsidRPr="00A66CD9">
        <w:rPr>
          <w:rFonts w:eastAsia="Calibri" w:cs="TimesNewRomanPSMT"/>
        </w:rPr>
        <w:t>51.3.1</w:t>
      </w:r>
      <w:r w:rsidRPr="00A66CD9">
        <w:rPr>
          <w:rFonts w:eastAsia="Calibri" w:cs="TimesNewRomanPSMT"/>
        </w:rPr>
        <w:tab/>
        <w:t xml:space="preserve">Before packaged substances or mixtures are subjected to the burning rate test, tests as specified below should be performed to </w:t>
      </w:r>
      <w:r w:rsidR="00672B1E" w:rsidRPr="00672B1E">
        <w:rPr>
          <w:rFonts w:eastAsia="Calibri" w:cs="TimesNewRomanPSMT"/>
          <w:b/>
          <w:bCs/>
          <w:highlight w:val="yellow"/>
          <w:u w:val="single"/>
        </w:rPr>
        <w:t xml:space="preserve">provide assurance that the likelihood of a mass explosion is very </w:t>
      </w:r>
      <w:r w:rsidR="00672B1E" w:rsidRPr="00192A20">
        <w:rPr>
          <w:rFonts w:eastAsia="Calibri" w:cs="TimesNewRomanPSMT"/>
          <w:b/>
          <w:bCs/>
          <w:highlight w:val="yellow"/>
          <w:u w:val="single"/>
        </w:rPr>
        <w:t>low</w:t>
      </w:r>
      <w:r w:rsidR="00672B1E" w:rsidRPr="00192A20">
        <w:rPr>
          <w:rFonts w:eastAsia="Calibri" w:cs="TimesNewRomanPSMT"/>
          <w:strike/>
          <w:highlight w:val="yellow"/>
        </w:rPr>
        <w:t xml:space="preserve"> </w:t>
      </w:r>
      <w:r w:rsidRPr="00192A20">
        <w:rPr>
          <w:rFonts w:eastAsia="Calibri" w:cs="TimesNewRomanPSMT"/>
          <w:strike/>
          <w:highlight w:val="yellow"/>
        </w:rPr>
        <w:t>rule out the possibility of mass explosion</w:t>
      </w:r>
      <w:r w:rsidRPr="00192A20">
        <w:rPr>
          <w:rFonts w:eastAsia="Calibri" w:cs="TimesNewRomanPSMT"/>
          <w:highlight w:val="yellow"/>
        </w:rPr>
        <w:t>.</w:t>
      </w:r>
      <w:r w:rsidRPr="00192A20">
        <w:rPr>
          <w:rFonts w:eastAsia="Calibri" w:cs="TimesNewRomanPSMT"/>
          <w:strike/>
          <w:highlight w:val="yellow"/>
        </w:rPr>
        <w:t xml:space="preserve"> </w:t>
      </w:r>
      <w:r w:rsidR="00672B1E" w:rsidRPr="00192A20">
        <w:rPr>
          <w:rFonts w:eastAsia="Calibri" w:cs="TimesNewRomanPSMT"/>
          <w:b/>
          <w:bCs/>
          <w:highlight w:val="yellow"/>
          <w:u w:val="single"/>
        </w:rPr>
        <w:t xml:space="preserve">In accordance </w:t>
      </w:r>
      <w:r w:rsidR="00672B1E" w:rsidRPr="004C679C">
        <w:rPr>
          <w:rFonts w:eastAsia="Calibri" w:cs="TimesNewRomanPSMT"/>
          <w:b/>
          <w:bCs/>
          <w:highlight w:val="yellow"/>
          <w:u w:val="single"/>
        </w:rPr>
        <w:t>with</w:t>
      </w:r>
      <w:r w:rsidR="00672B1E" w:rsidRPr="004C679C">
        <w:rPr>
          <w:rFonts w:eastAsia="Calibri" w:cs="TimesNewRomanPSMT"/>
          <w:strike/>
          <w:highlight w:val="yellow"/>
        </w:rPr>
        <w:t xml:space="preserve"> </w:t>
      </w:r>
      <w:r w:rsidRPr="004C679C">
        <w:rPr>
          <w:rFonts w:eastAsia="Calibri" w:cs="TimesNewRomanPSMT"/>
          <w:strike/>
          <w:highlight w:val="yellow"/>
        </w:rPr>
        <w:t>Ac</w:t>
      </w:r>
      <w:r w:rsidRPr="00672B1E">
        <w:rPr>
          <w:rFonts w:eastAsia="Calibri" w:cs="TimesNewRomanPSMT"/>
          <w:strike/>
          <w:highlight w:val="yellow"/>
        </w:rPr>
        <w:t>cording to</w:t>
      </w:r>
      <w:r w:rsidRPr="00A66CD9">
        <w:rPr>
          <w:rFonts w:eastAsia="Calibri" w:cs="TimesNewRomanPSMT"/>
        </w:rPr>
        <w:t xml:space="preserve"> test 6 (a), substances and mixtures should be tested </w:t>
      </w:r>
      <w:r w:rsidRPr="00A66CD9">
        <w:rPr>
          <w:rFonts w:eastAsia="Calibri" w:cs="TimesNewRomanPSMT"/>
        </w:rPr>
        <w:lastRenderedPageBreak/>
        <w:t xml:space="preserve">first with a standard detonator (Appendix 1 of the Manual) and, if no explosion occurs, with an igniter just sufficient (but not more than 30 g of black powder) to ensure ignition of the substance or mixture in the packaging. If there is a positive result in test 6 (a), test 6 (b) should be performed with the </w:t>
      </w:r>
      <w:r w:rsidR="00672B1E" w:rsidRPr="00672B1E">
        <w:rPr>
          <w:rFonts w:eastAsia="Calibri" w:cs="TimesNewRomanPSMT"/>
          <w:b/>
          <w:bCs/>
          <w:highlight w:val="yellow"/>
          <w:u w:val="single"/>
        </w:rPr>
        <w:t>same</w:t>
      </w:r>
      <w:r w:rsidR="00672B1E">
        <w:rPr>
          <w:rFonts w:eastAsia="Calibri" w:cs="TimesNewRomanPSMT"/>
        </w:rPr>
        <w:t xml:space="preserve"> </w:t>
      </w:r>
      <w:r w:rsidRPr="00A66CD9">
        <w:rPr>
          <w:rFonts w:eastAsia="Calibri" w:cs="TimesNewRomanPSMT"/>
        </w:rPr>
        <w:t xml:space="preserve">initiation system </w:t>
      </w:r>
      <w:r w:rsidR="00672B1E" w:rsidRPr="00672B1E">
        <w:rPr>
          <w:rFonts w:eastAsia="Calibri" w:cs="TimesNewRomanPSMT"/>
          <w:b/>
          <w:bCs/>
          <w:highlight w:val="yellow"/>
          <w:u w:val="single"/>
        </w:rPr>
        <w:t xml:space="preserve">that caused </w:t>
      </w:r>
      <w:r w:rsidRPr="00C526E3">
        <w:rPr>
          <w:rFonts w:eastAsia="Calibri" w:cs="TimesNewRomanPSMT"/>
          <w:strike/>
          <w:highlight w:val="yellow"/>
        </w:rPr>
        <w:t>causing</w:t>
      </w:r>
      <w:r w:rsidRPr="00A66CD9">
        <w:rPr>
          <w:rFonts w:eastAsia="Calibri" w:cs="TimesNewRomanPSMT"/>
        </w:rPr>
        <w:t xml:space="preserve"> the positive result in test 6 (a).</w:t>
      </w:r>
    </w:p>
    <w:p w14:paraId="36625492" w14:textId="77777777" w:rsidR="00443E39" w:rsidRPr="00A66CD9" w:rsidRDefault="00443E39" w:rsidP="009B2960">
      <w:pPr>
        <w:keepNext/>
        <w:keepLines/>
        <w:tabs>
          <w:tab w:val="left" w:pos="1134"/>
          <w:tab w:val="left" w:pos="2268"/>
        </w:tabs>
        <w:suppressAutoHyphens w:val="0"/>
        <w:spacing w:before="240" w:line="240" w:lineRule="auto"/>
        <w:jc w:val="both"/>
        <w:rPr>
          <w:rFonts w:eastAsiaTheme="minorEastAsia"/>
        </w:rPr>
      </w:pPr>
      <w:r w:rsidRPr="00A66CD9">
        <w:rPr>
          <w:rFonts w:eastAsiaTheme="minorEastAsia"/>
        </w:rPr>
        <w:t>51.3.2</w:t>
      </w:r>
      <w:r w:rsidRPr="00A66CD9">
        <w:rPr>
          <w:rFonts w:eastAsiaTheme="minorEastAsia"/>
        </w:rPr>
        <w:tab/>
        <w:t>It is not always necessary to conduct tests of all types:</w:t>
      </w:r>
    </w:p>
    <w:p w14:paraId="755347B7" w14:textId="0A239FD1" w:rsidR="00443E39" w:rsidRPr="00A66CD9" w:rsidRDefault="00443E39" w:rsidP="009B2960">
      <w:pPr>
        <w:keepNext/>
        <w:keepLines/>
        <w:suppressAutoHyphens w:val="0"/>
        <w:spacing w:before="120" w:line="240" w:lineRule="auto"/>
        <w:ind w:left="1701" w:hanging="567"/>
        <w:jc w:val="both"/>
        <w:rPr>
          <w:rFonts w:eastAsia="Calibri" w:cs="TimesNewRomanPSMT"/>
        </w:rPr>
      </w:pPr>
      <w:r w:rsidRPr="00A66CD9">
        <w:rPr>
          <w:rFonts w:eastAsia="Calibri" w:cs="TimesNewRomanPSMT"/>
        </w:rPr>
        <w:t>(a)</w:t>
      </w:r>
      <w:r w:rsidRPr="00A66CD9">
        <w:rPr>
          <w:rFonts w:eastAsia="Calibri" w:cs="TimesNewRomanPSMT"/>
        </w:rPr>
        <w:tab/>
        <w:t>Test series 3 may be waived if the explosive itself (</w:t>
      </w:r>
      <w:proofErr w:type="gramStart"/>
      <w:r w:rsidRPr="00A66CD9">
        <w:rPr>
          <w:rFonts w:eastAsia="Calibri" w:cs="TimesNewRomanPSMT"/>
        </w:rPr>
        <w:t>i.e.</w:t>
      </w:r>
      <w:proofErr w:type="gramEnd"/>
      <w:r w:rsidRPr="00A66CD9">
        <w:rPr>
          <w:rFonts w:eastAsia="Calibri" w:cs="TimesNewRomanPSMT"/>
        </w:rPr>
        <w:t xml:space="preserve"> before </w:t>
      </w:r>
      <w:r w:rsidR="00304AA3" w:rsidRPr="00304AA3">
        <w:rPr>
          <w:rFonts w:eastAsia="Calibri" w:cs="TimesNewRomanPSMT"/>
          <w:b/>
          <w:bCs/>
          <w:highlight w:val="yellow"/>
          <w:u w:val="single"/>
        </w:rPr>
        <w:t>being</w:t>
      </w:r>
      <w:r w:rsidR="00304AA3">
        <w:rPr>
          <w:rFonts w:eastAsia="Calibri" w:cs="TimesNewRomanPSMT"/>
        </w:rPr>
        <w:t xml:space="preserve"> </w:t>
      </w:r>
      <w:r w:rsidRPr="00A66CD9">
        <w:rPr>
          <w:rFonts w:eastAsia="Calibri" w:cs="TimesNewRomanPSMT"/>
        </w:rPr>
        <w:t>phlegmatized) is not too sensitive or thermally unstable</w:t>
      </w:r>
      <w:r w:rsidR="00634545">
        <w:rPr>
          <w:rFonts w:eastAsia="Calibri" w:cs="TimesNewRomanPSMT"/>
        </w:rPr>
        <w:t xml:space="preserve"> </w:t>
      </w:r>
      <w:r w:rsidR="00634545" w:rsidRPr="008B24BB">
        <w:rPr>
          <w:rFonts w:eastAsia="Calibri" w:cs="TimesNewRomanPSMT"/>
          <w:b/>
          <w:bCs/>
          <w:highlight w:val="yellow"/>
          <w:u w:val="single"/>
        </w:rPr>
        <w:t xml:space="preserve">in accordance </w:t>
      </w:r>
      <w:r w:rsidR="00634545" w:rsidRPr="00FA78A8">
        <w:rPr>
          <w:rFonts w:eastAsia="Calibri" w:cs="TimesNewRomanPSMT"/>
          <w:b/>
          <w:bCs/>
          <w:highlight w:val="yellow"/>
          <w:u w:val="single"/>
        </w:rPr>
        <w:t>with</w:t>
      </w:r>
      <w:r w:rsidRPr="00FA78A8">
        <w:rPr>
          <w:rFonts w:eastAsia="Calibri" w:cs="TimesNewRomanPSMT"/>
          <w:highlight w:val="yellow"/>
        </w:rPr>
        <w:t xml:space="preserve"> </w:t>
      </w:r>
      <w:r w:rsidRPr="00FA78A8">
        <w:rPr>
          <w:rFonts w:eastAsia="Calibri" w:cs="TimesNewRomanPSMT"/>
          <w:strike/>
          <w:highlight w:val="yellow"/>
        </w:rPr>
        <w:t>according to</w:t>
      </w:r>
      <w:r w:rsidRPr="00FA78A8">
        <w:rPr>
          <w:rFonts w:eastAsia="Calibri" w:cs="TimesNewRomanPSMT"/>
          <w:highlight w:val="yellow"/>
        </w:rPr>
        <w:t xml:space="preserve"> </w:t>
      </w:r>
      <w:r w:rsidRPr="00A66CD9">
        <w:rPr>
          <w:rFonts w:eastAsia="Calibri" w:cs="TimesNewRomanPSMT"/>
        </w:rPr>
        <w:t>test series 3.</w:t>
      </w:r>
    </w:p>
    <w:p w14:paraId="16F34027" w14:textId="77777777" w:rsidR="00443E39" w:rsidRPr="00A66CD9" w:rsidRDefault="00443E39" w:rsidP="009B2960">
      <w:pPr>
        <w:suppressAutoHyphens w:val="0"/>
        <w:spacing w:before="120" w:line="240" w:lineRule="auto"/>
        <w:ind w:left="1701" w:hanging="567"/>
        <w:jc w:val="both"/>
        <w:rPr>
          <w:rFonts w:eastAsia="Calibri" w:cs="TimesNewRomanPSMT"/>
        </w:rPr>
      </w:pPr>
      <w:r w:rsidRPr="00A66CD9">
        <w:rPr>
          <w:rFonts w:eastAsia="Calibri" w:cs="TimesNewRomanPSMT"/>
        </w:rPr>
        <w:t>(b)</w:t>
      </w:r>
      <w:r w:rsidRPr="00A66CD9">
        <w:rPr>
          <w:rFonts w:eastAsia="Calibri" w:cs="TimesNewRomanPSMT"/>
        </w:rPr>
        <w:tab/>
        <w:t>Test series 3 and tests 6 (a) and (b) may be waived if test series 2 has been passed.</w:t>
      </w:r>
    </w:p>
    <w:p w14:paraId="0CF0D7A3" w14:textId="15ADDBAB" w:rsidR="00443E39" w:rsidRPr="00A66CD9" w:rsidRDefault="00443E39" w:rsidP="00C526E3">
      <w:pPr>
        <w:suppressAutoHyphens w:val="0"/>
        <w:spacing w:before="120" w:line="240" w:lineRule="auto"/>
        <w:ind w:left="1701" w:hanging="567"/>
        <w:jc w:val="both"/>
        <w:rPr>
          <w:rFonts w:eastAsia="Calibri" w:cs="TimesNewRomanPSMT"/>
        </w:rPr>
      </w:pPr>
      <w:r w:rsidRPr="00A66CD9">
        <w:rPr>
          <w:rFonts w:eastAsia="Calibri" w:cs="TimesNewRomanPSMT"/>
        </w:rPr>
        <w:t>(c)</w:t>
      </w:r>
      <w:r w:rsidRPr="00A66CD9">
        <w:rPr>
          <w:rFonts w:eastAsia="Calibri" w:cs="TimesNewRomanPSMT"/>
        </w:rPr>
        <w:tab/>
        <w:t xml:space="preserve">Test 3 </w:t>
      </w:r>
      <w:r w:rsidR="00845B0C" w:rsidRPr="00A66CD9">
        <w:rPr>
          <w:rFonts w:eastAsia="Calibri" w:cs="TimesNewRomanPSMT"/>
        </w:rPr>
        <w:t xml:space="preserve">(c) </w:t>
      </w:r>
      <w:r w:rsidRPr="00A66CD9">
        <w:rPr>
          <w:rFonts w:eastAsia="Calibri" w:cs="TimesNewRomanPSMT"/>
        </w:rPr>
        <w:t xml:space="preserve">is not applicable to nitrocellulose mixtures containing no </w:t>
      </w:r>
      <w:r w:rsidRPr="00C526E3">
        <w:rPr>
          <w:rFonts w:eastAsia="Calibri" w:cs="TimesNewRomanPSMT"/>
          <w:strike/>
          <w:highlight w:val="yellow"/>
        </w:rPr>
        <w:t>other</w:t>
      </w:r>
      <w:r w:rsidRPr="00A66CD9">
        <w:rPr>
          <w:rFonts w:eastAsia="Calibri" w:cs="TimesNewRomanPSMT"/>
        </w:rPr>
        <w:t xml:space="preserve"> explosives</w:t>
      </w:r>
      <w:r w:rsidR="00C526E3">
        <w:rPr>
          <w:rFonts w:eastAsia="Calibri" w:cs="TimesNewRomanPSMT"/>
        </w:rPr>
        <w:t xml:space="preserve"> </w:t>
      </w:r>
      <w:r w:rsidR="00C526E3" w:rsidRPr="00C526E3">
        <w:rPr>
          <w:rFonts w:eastAsia="Calibri" w:cs="TimesNewRomanPSMT"/>
          <w:b/>
          <w:bCs/>
          <w:highlight w:val="yellow"/>
          <w:u w:val="single"/>
        </w:rPr>
        <w:t>other than nitrocellulose</w:t>
      </w:r>
      <w:r w:rsidRPr="00B368D6">
        <w:rPr>
          <w:rFonts w:eastAsia="Calibri" w:cs="TimesNewRomanPSMT"/>
        </w:rPr>
        <w:t xml:space="preserve">, for which </w:t>
      </w:r>
      <w:r w:rsidR="00E07CE1" w:rsidRPr="00E07CE1">
        <w:rPr>
          <w:rFonts w:eastAsia="Calibri" w:cs="TimesNewRomanPSMT"/>
          <w:b/>
          <w:bCs/>
          <w:highlight w:val="yellow"/>
          <w:u w:val="single"/>
        </w:rPr>
        <w:t>the</w:t>
      </w:r>
      <w:r w:rsidR="00D64BF9">
        <w:rPr>
          <w:rFonts w:eastAsia="Calibri" w:cs="TimesNewRomanPSMT"/>
        </w:rPr>
        <w:t xml:space="preserve"> </w:t>
      </w:r>
      <w:r w:rsidRPr="00A66CD9">
        <w:rPr>
          <w:rFonts w:eastAsia="Calibri" w:cs="TimesNewRomanPSMT"/>
        </w:rPr>
        <w:t xml:space="preserve">stability </w:t>
      </w:r>
      <w:bookmarkStart w:id="0" w:name="_Hlk108788160"/>
      <w:r w:rsidRPr="00A66CD9">
        <w:rPr>
          <w:rFonts w:eastAsia="Calibri" w:cs="TimesNewRomanPSMT"/>
        </w:rPr>
        <w:t xml:space="preserve">of the nitrocellulose </w:t>
      </w:r>
      <w:bookmarkEnd w:id="0"/>
      <w:r w:rsidRPr="00A66CD9">
        <w:rPr>
          <w:rFonts w:eastAsia="Calibri" w:cs="TimesNewRomanPSMT"/>
        </w:rPr>
        <w:t>is established</w:t>
      </w:r>
      <w:r w:rsidR="00634545">
        <w:rPr>
          <w:rFonts w:eastAsia="Calibri" w:cs="TimesNewRomanPSMT"/>
        </w:rPr>
        <w:t xml:space="preserve"> </w:t>
      </w:r>
      <w:r w:rsidR="00634545" w:rsidRPr="008B24BB">
        <w:rPr>
          <w:rFonts w:eastAsia="Calibri" w:cs="TimesNewRomanPSMT"/>
          <w:b/>
          <w:bCs/>
          <w:highlight w:val="yellow"/>
          <w:u w:val="single"/>
        </w:rPr>
        <w:t>in accordance with</w:t>
      </w:r>
      <w:r w:rsidRPr="00A66CD9">
        <w:rPr>
          <w:rFonts w:eastAsia="Calibri" w:cs="TimesNewRomanPSMT"/>
        </w:rPr>
        <w:t xml:space="preserve"> </w:t>
      </w:r>
      <w:r w:rsidRPr="00304AA3">
        <w:rPr>
          <w:rFonts w:eastAsia="Calibri" w:cs="TimesNewRomanPSMT"/>
          <w:strike/>
        </w:rPr>
        <w:t>according to</w:t>
      </w:r>
      <w:r w:rsidRPr="00A66CD9">
        <w:rPr>
          <w:rFonts w:eastAsia="Calibri" w:cs="TimesNewRomanPSMT"/>
        </w:rPr>
        <w:t xml:space="preserve"> Appendix 10.</w:t>
      </w:r>
    </w:p>
    <w:p w14:paraId="0E8D35ED" w14:textId="640B01EB" w:rsidR="00443E39" w:rsidRPr="00A66CD9" w:rsidRDefault="00443E39" w:rsidP="009B2960">
      <w:pPr>
        <w:suppressAutoHyphens w:val="0"/>
        <w:spacing w:before="120" w:line="240" w:lineRule="auto"/>
        <w:ind w:left="1701" w:hanging="567"/>
        <w:jc w:val="both"/>
        <w:rPr>
          <w:rFonts w:eastAsiaTheme="minorEastAsia"/>
        </w:rPr>
      </w:pPr>
      <w:r w:rsidRPr="00A66CD9">
        <w:rPr>
          <w:rFonts w:eastAsiaTheme="minorEastAsia"/>
        </w:rPr>
        <w:t>(d)</w:t>
      </w:r>
      <w:r w:rsidRPr="00A66CD9">
        <w:rPr>
          <w:rFonts w:eastAsiaTheme="minorEastAsia"/>
        </w:rPr>
        <w:tab/>
        <w:t>Tests 6 (a) and 6 (b) may be modified or waived</w:t>
      </w:r>
      <w:r w:rsidR="00304AA3">
        <w:rPr>
          <w:rFonts w:eastAsiaTheme="minorEastAsia"/>
        </w:rPr>
        <w:t xml:space="preserve"> </w:t>
      </w:r>
      <w:r w:rsidR="00304AA3" w:rsidRPr="00FA78A8">
        <w:rPr>
          <w:rFonts w:eastAsia="Calibri" w:cs="TimesNewRomanPSMT"/>
          <w:b/>
          <w:bCs/>
          <w:highlight w:val="yellow"/>
          <w:u w:val="single"/>
        </w:rPr>
        <w:t>in accordance with</w:t>
      </w:r>
      <w:r w:rsidRPr="00FA78A8">
        <w:rPr>
          <w:rFonts w:eastAsiaTheme="minorEastAsia"/>
          <w:highlight w:val="yellow"/>
        </w:rPr>
        <w:t xml:space="preserve"> </w:t>
      </w:r>
      <w:r w:rsidRPr="00FA78A8">
        <w:rPr>
          <w:rFonts w:eastAsiaTheme="minorEastAsia"/>
          <w:strike/>
          <w:highlight w:val="yellow"/>
        </w:rPr>
        <w:t>according to</w:t>
      </w:r>
      <w:r w:rsidRPr="00FA78A8">
        <w:rPr>
          <w:rFonts w:eastAsiaTheme="minorEastAsia"/>
          <w:highlight w:val="yellow"/>
        </w:rPr>
        <w:t xml:space="preserve"> </w:t>
      </w:r>
      <w:r w:rsidRPr="00A66CD9">
        <w:rPr>
          <w:rFonts w:eastAsiaTheme="minorEastAsia"/>
        </w:rPr>
        <w:t>section 51.3.3.</w:t>
      </w:r>
    </w:p>
    <w:p w14:paraId="5A5A70EE" w14:textId="77777777" w:rsidR="00443E39" w:rsidRPr="00A66CD9" w:rsidRDefault="00443E39" w:rsidP="009B2960">
      <w:pPr>
        <w:suppressAutoHyphens w:val="0"/>
        <w:spacing w:before="120" w:line="240" w:lineRule="auto"/>
        <w:ind w:left="1701" w:hanging="567"/>
        <w:jc w:val="both"/>
        <w:rPr>
          <w:rFonts w:eastAsiaTheme="minorEastAsia"/>
        </w:rPr>
      </w:pPr>
      <w:r w:rsidRPr="00A66CD9">
        <w:rPr>
          <w:rFonts w:eastAsiaTheme="minorEastAsia"/>
        </w:rPr>
        <w:t>(e)</w:t>
      </w:r>
      <w:r w:rsidRPr="00A66CD9">
        <w:rPr>
          <w:rFonts w:eastAsiaTheme="minorEastAsia"/>
        </w:rPr>
        <w:tab/>
        <w:t>Test 6 (b) may be waived if in each type 6 (a) test:</w:t>
      </w:r>
    </w:p>
    <w:p w14:paraId="5AAB3E44" w14:textId="77777777" w:rsidR="00443E39" w:rsidRPr="00A66CD9" w:rsidRDefault="00443E39" w:rsidP="009B2960">
      <w:pPr>
        <w:suppressAutoHyphens w:val="0"/>
        <w:spacing w:before="120" w:line="240" w:lineRule="auto"/>
        <w:ind w:left="2268" w:hanging="567"/>
        <w:jc w:val="both"/>
        <w:rPr>
          <w:rFonts w:eastAsia="Calibri" w:cs="TimesNewRomanPSMT"/>
        </w:rPr>
      </w:pPr>
      <w:r w:rsidRPr="00A66CD9">
        <w:rPr>
          <w:rFonts w:eastAsia="Calibri" w:cs="TimesNewRomanPSMT"/>
        </w:rPr>
        <w:t>(i)</w:t>
      </w:r>
      <w:r w:rsidRPr="00A66CD9">
        <w:rPr>
          <w:rFonts w:eastAsia="Calibri" w:cs="TimesNewRomanPSMT"/>
        </w:rPr>
        <w:tab/>
        <w:t>The exterior of the package is undamaged by internal detonation and/or ignition; or</w:t>
      </w:r>
    </w:p>
    <w:p w14:paraId="76808E71" w14:textId="77777777" w:rsidR="00443E39" w:rsidRPr="00A66CD9" w:rsidRDefault="00443E39" w:rsidP="009B2960">
      <w:pPr>
        <w:suppressAutoHyphens w:val="0"/>
        <w:spacing w:before="120" w:line="240" w:lineRule="auto"/>
        <w:ind w:left="2268" w:hanging="567"/>
        <w:jc w:val="both"/>
        <w:rPr>
          <w:rFonts w:eastAsia="Calibri" w:cs="TimesNewRomanPSMT"/>
        </w:rPr>
      </w:pPr>
      <w:r w:rsidRPr="00A66CD9">
        <w:rPr>
          <w:rFonts w:eastAsia="Calibri" w:cs="TimesNewRomanPSMT"/>
        </w:rPr>
        <w:t>(ii)</w:t>
      </w:r>
      <w:r w:rsidRPr="00A66CD9">
        <w:rPr>
          <w:rFonts w:eastAsia="Calibri" w:cs="TimesNewRomanPSMT"/>
        </w:rPr>
        <w:tab/>
        <w:t xml:space="preserve">The contents of the package fail to </w:t>
      </w:r>
      <w:proofErr w:type="gramStart"/>
      <w:r w:rsidRPr="00A66CD9">
        <w:rPr>
          <w:rFonts w:eastAsia="Calibri" w:cs="TimesNewRomanPSMT"/>
        </w:rPr>
        <w:t>explode, or</w:t>
      </w:r>
      <w:proofErr w:type="gramEnd"/>
      <w:r w:rsidRPr="00A66CD9">
        <w:rPr>
          <w:rFonts w:eastAsia="Calibri" w:cs="TimesNewRomanPSMT"/>
        </w:rPr>
        <w:t xml:space="preserve"> explode so feebly as would exclude propagation of the explosive effect from one package to another in test 6 (b).</w:t>
      </w:r>
    </w:p>
    <w:p w14:paraId="3CE579CA" w14:textId="77777777" w:rsidR="00443E39" w:rsidRPr="00A66CD9" w:rsidRDefault="00443E39" w:rsidP="009B2960">
      <w:pPr>
        <w:keepNext/>
        <w:keepLines/>
        <w:tabs>
          <w:tab w:val="left" w:pos="1134"/>
          <w:tab w:val="left" w:pos="2268"/>
        </w:tabs>
        <w:suppressAutoHyphens w:val="0"/>
        <w:spacing w:before="240" w:line="240" w:lineRule="auto"/>
        <w:jc w:val="both"/>
        <w:rPr>
          <w:rFonts w:eastAsiaTheme="minorEastAsia"/>
        </w:rPr>
      </w:pPr>
      <w:r w:rsidRPr="00A66CD9">
        <w:rPr>
          <w:rFonts w:eastAsiaTheme="minorEastAsia"/>
        </w:rPr>
        <w:t>51.3.3</w:t>
      </w:r>
      <w:r w:rsidRPr="00A66CD9">
        <w:rPr>
          <w:rFonts w:eastAsiaTheme="minorEastAsia"/>
        </w:rPr>
        <w:tab/>
        <w:t>If a substance or mixture gives a negative result (no propagation of detonation) in test 1 (a), test 6 (a) with a detonator may be waived</w:t>
      </w:r>
      <w:r w:rsidRPr="009B2960">
        <w:rPr>
          <w:rFonts w:eastAsiaTheme="minorEastAsia"/>
          <w:vertAlign w:val="superscript"/>
        </w:rPr>
        <w:footnoteReference w:id="5"/>
      </w:r>
      <w:r w:rsidRPr="00A66CD9">
        <w:rPr>
          <w:rFonts w:eastAsiaTheme="minorEastAsia"/>
        </w:rPr>
        <w:t>. If a substance or mixture gives a negative result (no or slow deflagration) in test 2 (c), test 6 (a) with an igniter may be waived.</w:t>
      </w:r>
    </w:p>
    <w:p w14:paraId="4A7E1439" w14:textId="77777777" w:rsidR="00443E39" w:rsidRPr="00A66CD9" w:rsidRDefault="00443E39" w:rsidP="009B2960">
      <w:pPr>
        <w:keepNext/>
        <w:keepLines/>
        <w:tabs>
          <w:tab w:val="left" w:pos="1134"/>
          <w:tab w:val="left" w:pos="2268"/>
        </w:tabs>
        <w:suppressAutoHyphens w:val="0"/>
        <w:spacing w:before="240" w:line="240" w:lineRule="auto"/>
        <w:jc w:val="both"/>
        <w:rPr>
          <w:rFonts w:eastAsiaTheme="minorEastAsia"/>
        </w:rPr>
      </w:pPr>
      <w:r w:rsidRPr="00A66CD9">
        <w:rPr>
          <w:rFonts w:eastAsiaTheme="minorEastAsia"/>
        </w:rPr>
        <w:t>51.3.4</w:t>
      </w:r>
      <w:r w:rsidRPr="00A66CD9">
        <w:rPr>
          <w:rFonts w:eastAsiaTheme="minorEastAsia"/>
        </w:rPr>
        <w:tab/>
        <w:t>The test for determination of the burning rate by large-scale test need not be performed if, in test 6 (b), there is practically instantaneous explosion of virtually the total contents of the stack. In such cases the product is assigned to the class of explosives (see Chapter 2.1 of the GHS).”</w:t>
      </w:r>
    </w:p>
    <w:p w14:paraId="61DAA061" w14:textId="77777777" w:rsidR="00443E39" w:rsidRPr="00A66CD9" w:rsidRDefault="00443E39" w:rsidP="006F027F">
      <w:pPr>
        <w:tabs>
          <w:tab w:val="left" w:pos="2268"/>
        </w:tabs>
        <w:suppressAutoHyphens w:val="0"/>
        <w:spacing w:before="240" w:line="240" w:lineRule="auto"/>
        <w:ind w:left="1134"/>
        <w:jc w:val="both"/>
        <w:rPr>
          <w:rFonts w:eastAsiaTheme="minorEastAsia"/>
          <w:i/>
          <w:iCs/>
        </w:rPr>
      </w:pPr>
      <w:r w:rsidRPr="00A66CD9">
        <w:rPr>
          <w:rFonts w:eastAsiaTheme="minorEastAsia"/>
          <w:i/>
          <w:iCs/>
        </w:rPr>
        <w:t>[The remainder of the text of current section 51 remains unchanged]</w:t>
      </w:r>
    </w:p>
    <w:p w14:paraId="1B4782A1" w14:textId="77777777" w:rsidR="00443E39" w:rsidRPr="00A66CD9" w:rsidRDefault="00443E39" w:rsidP="00443E39">
      <w:pPr>
        <w:spacing w:before="240"/>
        <w:jc w:val="center"/>
        <w:rPr>
          <w:u w:val="single"/>
        </w:rPr>
      </w:pPr>
      <w:r w:rsidRPr="00A66CD9">
        <w:rPr>
          <w:u w:val="single"/>
        </w:rPr>
        <w:tab/>
      </w:r>
      <w:r w:rsidRPr="00A66CD9">
        <w:rPr>
          <w:u w:val="single"/>
        </w:rPr>
        <w:tab/>
      </w:r>
      <w:r w:rsidRPr="00A66CD9">
        <w:rPr>
          <w:u w:val="single"/>
        </w:rPr>
        <w:tab/>
      </w:r>
    </w:p>
    <w:sectPr w:rsidR="00443E39" w:rsidRPr="00A66CD9" w:rsidSect="00DB272A">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560" w:right="1134" w:bottom="1418" w:left="1134" w:header="85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2D98" w14:textId="77777777" w:rsidR="00730A3B" w:rsidRDefault="00730A3B"/>
  </w:endnote>
  <w:endnote w:type="continuationSeparator" w:id="0">
    <w:p w14:paraId="0F9C1E44" w14:textId="77777777" w:rsidR="00730A3B" w:rsidRDefault="00730A3B"/>
  </w:endnote>
  <w:endnote w:type="continuationNotice" w:id="1">
    <w:p w14:paraId="401B1FAF" w14:textId="77777777" w:rsidR="00730A3B" w:rsidRDefault="00730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FD1A" w14:textId="69C68B02" w:rsidR="000216C2" w:rsidRPr="000216C2" w:rsidRDefault="0056200D" w:rsidP="000216C2">
    <w:pPr>
      <w:pStyle w:val="Footer"/>
      <w:tabs>
        <w:tab w:val="left" w:pos="1632"/>
      </w:tabs>
      <w:rPr>
        <w:b/>
        <w:bCs/>
        <w:sz w:val="20"/>
        <w:szCs w:val="24"/>
      </w:rPr>
    </w:pPr>
    <w:sdt>
      <w:sdtPr>
        <w:rPr>
          <w:b/>
          <w:bCs/>
          <w:sz w:val="20"/>
          <w:szCs w:val="24"/>
        </w:rPr>
        <w:id w:val="1961531919"/>
        <w:docPartObj>
          <w:docPartGallery w:val="Page Numbers (Bottom of Page)"/>
          <w:docPartUnique/>
        </w:docPartObj>
      </w:sdtPr>
      <w:sdtEndPr>
        <w:rPr>
          <w:noProof/>
          <w:sz w:val="24"/>
        </w:rPr>
      </w:sdtEndPr>
      <w:sdtContent>
        <w:r w:rsidR="000216C2" w:rsidRPr="000216C2">
          <w:rPr>
            <w:b/>
            <w:bCs/>
            <w:sz w:val="20"/>
            <w:szCs w:val="24"/>
          </w:rPr>
          <w:fldChar w:fldCharType="begin"/>
        </w:r>
        <w:r w:rsidR="000216C2" w:rsidRPr="000216C2">
          <w:rPr>
            <w:b/>
            <w:bCs/>
            <w:sz w:val="20"/>
            <w:szCs w:val="24"/>
          </w:rPr>
          <w:instrText xml:space="preserve"> PAGE   \* MERGEFORMAT </w:instrText>
        </w:r>
        <w:r w:rsidR="000216C2" w:rsidRPr="000216C2">
          <w:rPr>
            <w:b/>
            <w:bCs/>
            <w:sz w:val="20"/>
            <w:szCs w:val="24"/>
          </w:rPr>
          <w:fldChar w:fldCharType="separate"/>
        </w:r>
        <w:r w:rsidR="000216C2" w:rsidRPr="000216C2">
          <w:rPr>
            <w:b/>
            <w:bCs/>
            <w:noProof/>
            <w:sz w:val="20"/>
            <w:szCs w:val="24"/>
          </w:rPr>
          <w:t>2</w:t>
        </w:r>
        <w:r w:rsidR="000216C2" w:rsidRPr="000216C2">
          <w:rPr>
            <w:b/>
            <w:bCs/>
            <w:noProof/>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60485"/>
      <w:docPartObj>
        <w:docPartGallery w:val="Page Numbers (Bottom of Page)"/>
        <w:docPartUnique/>
      </w:docPartObj>
    </w:sdtPr>
    <w:sdtEndPr>
      <w:rPr>
        <w:noProof/>
      </w:rPr>
    </w:sdtEndPr>
    <w:sdtContent>
      <w:p w14:paraId="6A4CF392" w14:textId="3315A10C" w:rsidR="00BC0574" w:rsidRDefault="00BC0574" w:rsidP="00B8050A">
        <w:pPr>
          <w:pStyle w:val="Footer"/>
          <w:jc w:val="right"/>
        </w:pPr>
        <w:r w:rsidRPr="00BC0574">
          <w:rPr>
            <w:b/>
            <w:bCs/>
            <w:sz w:val="20"/>
            <w:szCs w:val="24"/>
          </w:rPr>
          <w:fldChar w:fldCharType="begin"/>
        </w:r>
        <w:r w:rsidRPr="00BC0574">
          <w:rPr>
            <w:b/>
            <w:bCs/>
            <w:sz w:val="20"/>
            <w:szCs w:val="24"/>
          </w:rPr>
          <w:instrText xml:space="preserve"> PAGE   \* MERGEFORMAT </w:instrText>
        </w:r>
        <w:r w:rsidRPr="00BC0574">
          <w:rPr>
            <w:b/>
            <w:bCs/>
            <w:sz w:val="20"/>
            <w:szCs w:val="24"/>
          </w:rPr>
          <w:fldChar w:fldCharType="separate"/>
        </w:r>
        <w:r w:rsidRPr="00BC0574">
          <w:rPr>
            <w:b/>
            <w:bCs/>
            <w:noProof/>
            <w:sz w:val="20"/>
            <w:szCs w:val="24"/>
          </w:rPr>
          <w:t>2</w:t>
        </w:r>
        <w:r w:rsidRPr="00BC0574">
          <w:rPr>
            <w:b/>
            <w:bCs/>
            <w:noProof/>
            <w:sz w:val="20"/>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470D" w14:textId="548F8CFF" w:rsidR="004D2234" w:rsidRPr="004D2234" w:rsidRDefault="004D2234">
    <w:pPr>
      <w:pStyle w:val="Footer"/>
      <w:rPr>
        <w:b/>
        <w:bCs/>
        <w:lang w:val="fr-CH"/>
      </w:rPr>
    </w:pPr>
    <w:r w:rsidRPr="004D2234">
      <w:rPr>
        <w:b/>
        <w:bCs/>
        <w:lang w:val="fr-CH"/>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178F" w14:textId="77777777" w:rsidR="00DE236F" w:rsidRPr="000216CC" w:rsidRDefault="00DE236F" w:rsidP="000216CC">
    <w:pPr>
      <w:pStyle w:val="Footer"/>
      <w:tabs>
        <w:tab w:val="right" w:pos="9638"/>
      </w:tabs>
      <w:rPr>
        <w:sz w:val="18"/>
      </w:rPr>
    </w:pPr>
    <w:r w:rsidRPr="00E268BA">
      <w:rPr>
        <w:b/>
        <w:sz w:val="20"/>
        <w:szCs w:val="22"/>
      </w:rPr>
      <w:fldChar w:fldCharType="begin"/>
    </w:r>
    <w:r w:rsidRPr="00E268BA">
      <w:rPr>
        <w:b/>
        <w:sz w:val="20"/>
        <w:szCs w:val="22"/>
      </w:rPr>
      <w:instrText xml:space="preserve"> PAGE  \* MERGEFORMAT </w:instrText>
    </w:r>
    <w:r w:rsidRPr="00E268BA">
      <w:rPr>
        <w:b/>
        <w:sz w:val="20"/>
        <w:szCs w:val="22"/>
      </w:rPr>
      <w:fldChar w:fldCharType="separate"/>
    </w:r>
    <w:r w:rsidR="005D1BB4" w:rsidRPr="00E268BA">
      <w:rPr>
        <w:b/>
        <w:noProof/>
        <w:sz w:val="20"/>
        <w:szCs w:val="22"/>
      </w:rPr>
      <w:t>2</w:t>
    </w:r>
    <w:r w:rsidRPr="00E268BA">
      <w:rPr>
        <w:b/>
        <w:sz w:val="20"/>
        <w:szCs w:val="22"/>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1790" w14:textId="77777777" w:rsidR="00DE236F" w:rsidRPr="000216CC" w:rsidRDefault="00DE236F" w:rsidP="000216CC">
    <w:pPr>
      <w:pStyle w:val="Footer"/>
      <w:tabs>
        <w:tab w:val="right" w:pos="9638"/>
      </w:tabs>
      <w:rPr>
        <w:b/>
        <w:sz w:val="18"/>
      </w:rPr>
    </w:pPr>
    <w:r>
      <w:tab/>
    </w:r>
    <w:r w:rsidRPr="000216CC">
      <w:rPr>
        <w:b/>
        <w:sz w:val="18"/>
      </w:rPr>
      <w:fldChar w:fldCharType="begin"/>
    </w:r>
    <w:r w:rsidRPr="000216CC">
      <w:rPr>
        <w:b/>
        <w:sz w:val="18"/>
      </w:rPr>
      <w:instrText xml:space="preserve"> PAGE  \* MERGEFORMAT </w:instrText>
    </w:r>
    <w:r w:rsidRPr="000216CC">
      <w:rPr>
        <w:b/>
        <w:sz w:val="18"/>
      </w:rPr>
      <w:fldChar w:fldCharType="separate"/>
    </w:r>
    <w:r w:rsidR="005D1BB4">
      <w:rPr>
        <w:b/>
        <w:noProof/>
        <w:sz w:val="18"/>
      </w:rPr>
      <w:t>3</w:t>
    </w:r>
    <w:r w:rsidRPr="000216CC">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160"/>
      <w:docPartObj>
        <w:docPartGallery w:val="Page Numbers (Bottom of Page)"/>
        <w:docPartUnique/>
      </w:docPartObj>
    </w:sdtPr>
    <w:sdtEndPr>
      <w:rPr>
        <w:b/>
        <w:bCs/>
        <w:noProof/>
        <w:sz w:val="20"/>
      </w:rPr>
    </w:sdtEndPr>
    <w:sdtContent>
      <w:p w14:paraId="38D41199" w14:textId="25F6966C" w:rsidR="00DB272A" w:rsidRPr="00DB272A" w:rsidRDefault="00DB272A" w:rsidP="00E268BA">
        <w:pPr>
          <w:pStyle w:val="Footer"/>
          <w:jc w:val="right"/>
          <w:rPr>
            <w:b/>
            <w:bCs/>
            <w:sz w:val="20"/>
          </w:rPr>
        </w:pPr>
        <w:r w:rsidRPr="00DB272A">
          <w:rPr>
            <w:b/>
            <w:bCs/>
            <w:sz w:val="20"/>
          </w:rPr>
          <w:fldChar w:fldCharType="begin"/>
        </w:r>
        <w:r w:rsidRPr="00DB272A">
          <w:rPr>
            <w:b/>
            <w:bCs/>
            <w:sz w:val="20"/>
          </w:rPr>
          <w:instrText xml:space="preserve"> PAGE   \* MERGEFORMAT </w:instrText>
        </w:r>
        <w:r w:rsidRPr="00DB272A">
          <w:rPr>
            <w:b/>
            <w:bCs/>
            <w:sz w:val="20"/>
          </w:rPr>
          <w:fldChar w:fldCharType="separate"/>
        </w:r>
        <w:r w:rsidRPr="00DB272A">
          <w:rPr>
            <w:b/>
            <w:bCs/>
            <w:noProof/>
            <w:sz w:val="20"/>
          </w:rPr>
          <w:t>2</w:t>
        </w:r>
        <w:r w:rsidRPr="00DB272A">
          <w:rPr>
            <w:b/>
            <w:bCs/>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90B6" w14:textId="77777777" w:rsidR="00730A3B" w:rsidRPr="000B175B" w:rsidRDefault="00730A3B" w:rsidP="000B175B">
      <w:pPr>
        <w:tabs>
          <w:tab w:val="right" w:pos="2155"/>
        </w:tabs>
        <w:spacing w:after="80"/>
        <w:ind w:left="680"/>
        <w:rPr>
          <w:u w:val="single"/>
        </w:rPr>
      </w:pPr>
      <w:r>
        <w:rPr>
          <w:u w:val="single"/>
        </w:rPr>
        <w:tab/>
      </w:r>
    </w:p>
  </w:footnote>
  <w:footnote w:type="continuationSeparator" w:id="0">
    <w:p w14:paraId="641F2A5C" w14:textId="77777777" w:rsidR="00730A3B" w:rsidRPr="00FC68B7" w:rsidRDefault="00730A3B" w:rsidP="00FC68B7">
      <w:pPr>
        <w:tabs>
          <w:tab w:val="left" w:pos="2155"/>
        </w:tabs>
        <w:spacing w:after="80"/>
        <w:ind w:left="680"/>
        <w:rPr>
          <w:u w:val="single"/>
        </w:rPr>
      </w:pPr>
      <w:r>
        <w:rPr>
          <w:u w:val="single"/>
        </w:rPr>
        <w:tab/>
      </w:r>
    </w:p>
  </w:footnote>
  <w:footnote w:type="continuationNotice" w:id="1">
    <w:p w14:paraId="60D9BA2F" w14:textId="77777777" w:rsidR="00730A3B" w:rsidRDefault="00730A3B"/>
  </w:footnote>
  <w:footnote w:id="2">
    <w:p w14:paraId="7B48BECC" w14:textId="77777777" w:rsidR="00837902" w:rsidRPr="00085921" w:rsidRDefault="00837902" w:rsidP="00837902">
      <w:pPr>
        <w:pStyle w:val="FootnoteText"/>
        <w:ind w:left="426" w:hanging="426"/>
        <w:rPr>
          <w:lang w:val="fr-CH"/>
        </w:rPr>
      </w:pPr>
      <w:r>
        <w:rPr>
          <w:rStyle w:val="FootnoteReference"/>
        </w:rPr>
        <w:t>1</w:t>
      </w:r>
      <w:r>
        <w:t xml:space="preserve">  </w:t>
      </w:r>
      <w:r>
        <w:tab/>
      </w:r>
      <w:r w:rsidRPr="00085921">
        <w:rPr>
          <w:i/>
          <w:iCs/>
          <w:lang w:val="en-US"/>
        </w:rPr>
        <w:t>Test series 2 is optional. The alternative route (via test 6 (a) and (b) and test series 3) may be taken directly without performing test series 2.</w:t>
      </w:r>
    </w:p>
  </w:footnote>
  <w:footnote w:id="3">
    <w:p w14:paraId="75198BE5" w14:textId="328E4955" w:rsidR="00435180" w:rsidRPr="00E6503C" w:rsidRDefault="00837902" w:rsidP="00837902">
      <w:pPr>
        <w:pStyle w:val="FootnoteText"/>
        <w:ind w:left="426" w:hanging="426"/>
        <w:rPr>
          <w:lang w:val="fr-CH"/>
        </w:rPr>
      </w:pPr>
      <w:r>
        <w:rPr>
          <w:rStyle w:val="FootnoteReference"/>
        </w:rPr>
        <w:t>2</w:t>
      </w:r>
      <w:r>
        <w:t xml:space="preserve"> </w:t>
      </w:r>
      <w:r>
        <w:tab/>
      </w:r>
      <w:r>
        <w:rPr>
          <w:i/>
          <w:iCs/>
          <w:szCs w:val="18"/>
        </w:rPr>
        <w:t xml:space="preserve">Test </w:t>
      </w:r>
      <w:r w:rsidRPr="00E36E06">
        <w:rPr>
          <w:i/>
          <w:iCs/>
          <w:szCs w:val="18"/>
        </w:rPr>
        <w:t>3 (c)</w:t>
      </w:r>
      <w:r>
        <w:rPr>
          <w:i/>
          <w:iCs/>
          <w:szCs w:val="18"/>
        </w:rPr>
        <w:t xml:space="preserve"> is not applicable to nitrocellulose mixtures containing no </w:t>
      </w:r>
      <w:r w:rsidRPr="00290A5E">
        <w:rPr>
          <w:i/>
          <w:iCs/>
          <w:strike/>
          <w:szCs w:val="18"/>
          <w:highlight w:val="yellow"/>
        </w:rPr>
        <w:t>other</w:t>
      </w:r>
      <w:r>
        <w:rPr>
          <w:i/>
          <w:iCs/>
          <w:szCs w:val="18"/>
        </w:rPr>
        <w:t xml:space="preserve"> explosives </w:t>
      </w:r>
      <w:r w:rsidR="00942EA3" w:rsidRPr="009D7B35">
        <w:rPr>
          <w:b/>
          <w:bCs/>
          <w:i/>
          <w:iCs/>
          <w:szCs w:val="18"/>
          <w:highlight w:val="yellow"/>
          <w:u w:val="single"/>
          <w:lang w:val="en-GB"/>
        </w:rPr>
        <w:t>other</w:t>
      </w:r>
      <w:r w:rsidR="00942EA3" w:rsidRPr="009D7B35">
        <w:rPr>
          <w:b/>
          <w:bCs/>
          <w:i/>
          <w:iCs/>
          <w:szCs w:val="18"/>
          <w:lang w:val="en-GB"/>
        </w:rPr>
        <w:t xml:space="preserve"> </w:t>
      </w:r>
      <w:r>
        <w:rPr>
          <w:i/>
          <w:iCs/>
          <w:szCs w:val="18"/>
        </w:rPr>
        <w:t>than nitrocellulose.</w:t>
      </w:r>
    </w:p>
  </w:footnote>
  <w:footnote w:id="4">
    <w:p w14:paraId="10C33027" w14:textId="76DAEDF4" w:rsidR="0000306F" w:rsidRPr="0000306F" w:rsidRDefault="0000306F" w:rsidP="009B2960">
      <w:pPr>
        <w:pStyle w:val="FootnoteText"/>
        <w:tabs>
          <w:tab w:val="clear" w:pos="1021"/>
          <w:tab w:val="left" w:pos="284"/>
        </w:tabs>
        <w:spacing w:line="240" w:lineRule="auto"/>
        <w:ind w:left="0" w:right="0" w:firstLine="0"/>
        <w:jc w:val="both"/>
        <w:rPr>
          <w:lang w:val="fr-CH"/>
        </w:rPr>
      </w:pPr>
      <w:r>
        <w:rPr>
          <w:rStyle w:val="FootnoteReference"/>
        </w:rPr>
        <w:t>1</w:t>
      </w:r>
      <w:r>
        <w:t xml:space="preserve"> </w:t>
      </w:r>
      <w:r>
        <w:tab/>
      </w:r>
      <w:r w:rsidRPr="00EB6F22">
        <w:rPr>
          <w:i/>
          <w:iCs/>
          <w:lang w:val="en-US"/>
        </w:rPr>
        <w:t>The exothermic decomposition energy should be determined using the explosive already desensitized (i.e.: the homogenous solid or liquids mixture formed by the explosive and the substance(s) used to suppress its explosive properties). The exothermic decomposition energy may be estimated using a suitable calorimetric technique (see Section 20, sub-section 20.3.3.3 in Part II of this Manual).</w:t>
      </w:r>
    </w:p>
  </w:footnote>
  <w:footnote w:id="5">
    <w:p w14:paraId="35D76351" w14:textId="77777777" w:rsidR="00443E39" w:rsidRPr="006C7A5B" w:rsidRDefault="00443E39" w:rsidP="00443E39">
      <w:pPr>
        <w:pStyle w:val="FootnoteText"/>
        <w:tabs>
          <w:tab w:val="clear" w:pos="1021"/>
          <w:tab w:val="left" w:pos="1418"/>
        </w:tabs>
        <w:spacing w:after="120" w:line="240" w:lineRule="auto"/>
        <w:ind w:firstLine="0"/>
        <w:jc w:val="both"/>
        <w:rPr>
          <w:lang w:val="en-US"/>
        </w:rPr>
      </w:pPr>
      <w:r>
        <w:rPr>
          <w:rStyle w:val="FootnoteReference"/>
        </w:rPr>
        <w:footnoteRef/>
      </w:r>
      <w:r w:rsidRPr="006C7A5B">
        <w:rPr>
          <w:lang w:val="en-US"/>
        </w:rPr>
        <w:t xml:space="preserve"> </w:t>
      </w:r>
      <w:r w:rsidRPr="006C7A5B">
        <w:rPr>
          <w:lang w:val="en-US"/>
        </w:rPr>
        <w:tab/>
      </w:r>
      <w:r w:rsidRPr="00400625">
        <w:rPr>
          <w:i/>
          <w:iCs/>
          <w:lang w:val="en-US"/>
        </w:rPr>
        <w:t>If test 1 (a)</w:t>
      </w:r>
      <w:r>
        <w:rPr>
          <w:i/>
          <w:iCs/>
          <w:lang w:val="en-US"/>
        </w:rPr>
        <w:t xml:space="preserve"> </w:t>
      </w:r>
      <w:r w:rsidRPr="00400625">
        <w:rPr>
          <w:i/>
          <w:iCs/>
          <w:lang w:val="en-US"/>
        </w:rPr>
        <w:t>is not carried out, test 6 (a)</w:t>
      </w:r>
      <w:r>
        <w:rPr>
          <w:i/>
          <w:iCs/>
          <w:lang w:val="en-US"/>
        </w:rPr>
        <w:t xml:space="preserve"> </w:t>
      </w:r>
      <w:r w:rsidRPr="00400625">
        <w:rPr>
          <w:i/>
          <w:iCs/>
          <w:lang w:val="en-US"/>
        </w:rPr>
        <w:t>cannot be waived.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67E" w14:textId="056956A5" w:rsidR="00BC0574" w:rsidRPr="00B8050A" w:rsidRDefault="00BC0574" w:rsidP="00BC0574">
    <w:pPr>
      <w:pStyle w:val="Header"/>
      <w:rPr>
        <w:sz w:val="20"/>
        <w:lang w:val="nl-NL"/>
      </w:rPr>
    </w:pPr>
    <w:r w:rsidRPr="00B8050A">
      <w:rPr>
        <w:sz w:val="20"/>
        <w:lang w:val="nl-NL"/>
      </w:rPr>
      <w:t>UN/SCETDG/61/INF.4</w:t>
    </w:r>
    <w:r w:rsidR="003A19C8">
      <w:rPr>
        <w:sz w:val="20"/>
        <w:lang w:val="nl-NL"/>
      </w:rPr>
      <w:t>2</w:t>
    </w:r>
  </w:p>
  <w:p w14:paraId="119546F7" w14:textId="076856D6" w:rsidR="00BC0574" w:rsidRPr="00B8050A" w:rsidRDefault="00BC0574" w:rsidP="00BC0574">
    <w:pPr>
      <w:pStyle w:val="Header"/>
      <w:rPr>
        <w:sz w:val="20"/>
        <w:lang w:val="fr-CH"/>
      </w:rPr>
    </w:pPr>
    <w:r w:rsidRPr="00B8050A">
      <w:rPr>
        <w:sz w:val="20"/>
        <w:lang w:val="nl-NL"/>
      </w:rPr>
      <w:t>UN/SCEGHS/43/INF.</w:t>
    </w:r>
    <w:r w:rsidR="00C34FFA">
      <w:rPr>
        <w:sz w:val="20"/>
        <w:lang w:val="nl-NL"/>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31A2" w14:textId="323E8EC1" w:rsidR="00BC0574" w:rsidRPr="00B8050A" w:rsidRDefault="00BC0574" w:rsidP="00BC0574">
    <w:pPr>
      <w:pStyle w:val="Header"/>
      <w:jc w:val="right"/>
      <w:rPr>
        <w:sz w:val="20"/>
        <w:szCs w:val="22"/>
        <w:lang w:val="nl-NL"/>
      </w:rPr>
    </w:pPr>
    <w:r w:rsidRPr="00B8050A">
      <w:rPr>
        <w:sz w:val="20"/>
        <w:szCs w:val="22"/>
        <w:lang w:val="nl-NL"/>
      </w:rPr>
      <w:t>UN/SCETDG/61/INF.4</w:t>
    </w:r>
    <w:r w:rsidR="003A19C8">
      <w:rPr>
        <w:sz w:val="20"/>
        <w:szCs w:val="22"/>
        <w:lang w:val="nl-NL"/>
      </w:rPr>
      <w:t>2</w:t>
    </w:r>
  </w:p>
  <w:p w14:paraId="197A4EA4" w14:textId="679C1843" w:rsidR="00E56BAA" w:rsidRPr="00B8050A" w:rsidRDefault="00BC0574" w:rsidP="00BC0574">
    <w:pPr>
      <w:pStyle w:val="Header"/>
      <w:jc w:val="right"/>
      <w:rPr>
        <w:sz w:val="20"/>
        <w:szCs w:val="22"/>
      </w:rPr>
    </w:pPr>
    <w:r w:rsidRPr="00B8050A">
      <w:rPr>
        <w:sz w:val="20"/>
        <w:szCs w:val="22"/>
        <w:lang w:val="nl-NL"/>
      </w:rPr>
      <w:t>UN/SCEGHS/43/INF.</w:t>
    </w:r>
    <w:r w:rsidR="00D26622">
      <w:rPr>
        <w:sz w:val="20"/>
        <w:szCs w:val="22"/>
        <w:lang w:val="nl-NL"/>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BF12" w14:textId="46C47957" w:rsidR="00BC0574" w:rsidRDefault="00BC0574" w:rsidP="00266BDD">
    <w:pPr>
      <w:pStyle w:val="Header"/>
      <w:pBdr>
        <w:bottom w:val="none" w:sz="0" w:space="0" w:color="auto"/>
      </w:pBdr>
    </w:pPr>
  </w:p>
  <w:p w14:paraId="30311AB1" w14:textId="77777777" w:rsidR="00266BDD" w:rsidRDefault="00266BDD" w:rsidP="00266BDD">
    <w:pPr>
      <w:pStyle w:val="Header"/>
      <w:pBdr>
        <w:bottom w:val="none" w:sz="0" w:space="0" w:color="auto"/>
      </w:pBdr>
    </w:pPr>
  </w:p>
  <w:p w14:paraId="498E2CB8" w14:textId="77777777" w:rsidR="00266BDD" w:rsidRPr="00266BDD" w:rsidRDefault="00266BDD" w:rsidP="00266BD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FF88" w14:textId="77777777" w:rsidR="004D2234" w:rsidRPr="00B8050A" w:rsidRDefault="004D2234" w:rsidP="00BC0574">
    <w:pPr>
      <w:pStyle w:val="Header"/>
      <w:rPr>
        <w:sz w:val="20"/>
        <w:lang w:val="nl-NL"/>
      </w:rPr>
    </w:pPr>
    <w:r w:rsidRPr="00B8050A">
      <w:rPr>
        <w:sz w:val="20"/>
        <w:lang w:val="nl-NL"/>
      </w:rPr>
      <w:t>UN/SCETDG/61/INF.4</w:t>
    </w:r>
    <w:r>
      <w:rPr>
        <w:sz w:val="20"/>
        <w:lang w:val="nl-NL"/>
      </w:rPr>
      <w:t>2</w:t>
    </w:r>
  </w:p>
  <w:p w14:paraId="19DAE511" w14:textId="77777777" w:rsidR="004D2234" w:rsidRPr="00B8050A" w:rsidRDefault="004D2234" w:rsidP="00BC0574">
    <w:pPr>
      <w:pStyle w:val="Header"/>
      <w:rPr>
        <w:sz w:val="20"/>
        <w:lang w:val="fr-CH"/>
      </w:rPr>
    </w:pPr>
    <w:r w:rsidRPr="00B8050A">
      <w:rPr>
        <w:sz w:val="20"/>
        <w:lang w:val="nl-NL"/>
      </w:rPr>
      <w:t>UN/SCEGHS/43/INF.</w:t>
    </w:r>
    <w:r>
      <w:rPr>
        <w:sz w:val="20"/>
        <w:lang w:val="nl-NL"/>
      </w:rPr>
      <w:t>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F07B" w14:textId="77777777" w:rsidR="003A19C8" w:rsidRPr="00B8050A" w:rsidRDefault="003A19C8" w:rsidP="00BC0574">
    <w:pPr>
      <w:pStyle w:val="Header"/>
      <w:jc w:val="right"/>
      <w:rPr>
        <w:sz w:val="20"/>
        <w:szCs w:val="22"/>
        <w:lang w:val="nl-NL"/>
      </w:rPr>
    </w:pPr>
    <w:r w:rsidRPr="00B8050A">
      <w:rPr>
        <w:sz w:val="20"/>
        <w:szCs w:val="22"/>
        <w:lang w:val="nl-NL"/>
      </w:rPr>
      <w:t>UN/SCETDG/61/INF.4</w:t>
    </w:r>
    <w:r>
      <w:rPr>
        <w:sz w:val="20"/>
        <w:szCs w:val="22"/>
        <w:lang w:val="nl-NL"/>
      </w:rPr>
      <w:t>2</w:t>
    </w:r>
  </w:p>
  <w:p w14:paraId="35C3A029" w14:textId="77777777" w:rsidR="003A19C8" w:rsidRPr="00B8050A" w:rsidRDefault="003A19C8" w:rsidP="00BC0574">
    <w:pPr>
      <w:pStyle w:val="Header"/>
      <w:jc w:val="right"/>
      <w:rPr>
        <w:sz w:val="20"/>
        <w:szCs w:val="22"/>
      </w:rPr>
    </w:pPr>
    <w:r w:rsidRPr="00B8050A">
      <w:rPr>
        <w:sz w:val="20"/>
        <w:szCs w:val="22"/>
        <w:lang w:val="nl-NL"/>
      </w:rPr>
      <w:t>UN/SCEGHS/43/INF.</w:t>
    </w:r>
    <w:r>
      <w:rPr>
        <w:sz w:val="20"/>
        <w:szCs w:val="22"/>
        <w:lang w:val="nl-NL"/>
      </w:rPr>
      <w:t>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EB63" w14:textId="4558A425" w:rsidR="003A19C8" w:rsidRPr="003A19C8" w:rsidRDefault="003A19C8" w:rsidP="004D2234">
    <w:pPr>
      <w:pStyle w:val="Header"/>
      <w:ind w:right="200"/>
      <w:rPr>
        <w:sz w:val="20"/>
        <w:szCs w:val="22"/>
        <w:lang w:val="nl-NL"/>
      </w:rPr>
    </w:pPr>
    <w:r w:rsidRPr="00B8050A">
      <w:rPr>
        <w:sz w:val="20"/>
        <w:szCs w:val="22"/>
        <w:lang w:val="nl-NL"/>
      </w:rPr>
      <w:t>UN/SCETDG/61/INF.4</w:t>
    </w:r>
    <w:r>
      <w:rPr>
        <w:sz w:val="20"/>
        <w:szCs w:val="22"/>
        <w:lang w:val="nl-NL"/>
      </w:rPr>
      <w:t>2</w:t>
    </w:r>
    <w:r>
      <w:rPr>
        <w:sz w:val="20"/>
        <w:szCs w:val="22"/>
        <w:lang w:val="nl-NL"/>
      </w:rPr>
      <w:br/>
      <w:t>UN/SCEGHS/43/INF.18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178C" w14:textId="5A1883D1" w:rsidR="00567DFB" w:rsidRPr="009C1F06" w:rsidRDefault="00DE236F">
    <w:pPr>
      <w:pStyle w:val="Header"/>
      <w:rPr>
        <w:sz w:val="20"/>
        <w:lang w:val="nl-NL"/>
      </w:rPr>
    </w:pPr>
    <w:r w:rsidRPr="009C1F06">
      <w:rPr>
        <w:sz w:val="20"/>
        <w:lang w:val="nl-NL"/>
      </w:rPr>
      <w:t>UN/SCETDG/</w:t>
    </w:r>
    <w:r w:rsidR="002E5936" w:rsidRPr="009C1F06">
      <w:rPr>
        <w:sz w:val="20"/>
        <w:lang w:val="nl-NL"/>
      </w:rPr>
      <w:t>6</w:t>
    </w:r>
    <w:r w:rsidR="009D0D97">
      <w:rPr>
        <w:sz w:val="20"/>
        <w:lang w:val="nl-NL"/>
      </w:rPr>
      <w:t>1</w:t>
    </w:r>
    <w:r w:rsidRPr="009C1F06">
      <w:rPr>
        <w:sz w:val="20"/>
        <w:lang w:val="nl-NL"/>
      </w:rPr>
      <w:t>/INF.</w:t>
    </w:r>
    <w:r w:rsidR="009D0D97">
      <w:rPr>
        <w:sz w:val="20"/>
        <w:lang w:val="nl-NL"/>
      </w:rPr>
      <w:t>4</w:t>
    </w:r>
    <w:r w:rsidR="003A19C8">
      <w:rPr>
        <w:sz w:val="20"/>
        <w:lang w:val="nl-NL"/>
      </w:rPr>
      <w:t>2</w:t>
    </w:r>
  </w:p>
  <w:p w14:paraId="2CBE178D" w14:textId="1678EA6F" w:rsidR="00DE236F" w:rsidRPr="009C1F06" w:rsidRDefault="00DE236F">
    <w:pPr>
      <w:pStyle w:val="Header"/>
      <w:rPr>
        <w:sz w:val="20"/>
        <w:lang w:val="nl-NL"/>
      </w:rPr>
    </w:pPr>
    <w:r w:rsidRPr="009C1F06">
      <w:rPr>
        <w:sz w:val="20"/>
        <w:lang w:val="nl-NL"/>
      </w:rPr>
      <w:t>UN/SCEGHS/</w:t>
    </w:r>
    <w:r w:rsidR="00E1707A" w:rsidRPr="009C1F06">
      <w:rPr>
        <w:sz w:val="20"/>
        <w:lang w:val="nl-NL"/>
      </w:rPr>
      <w:t>4</w:t>
    </w:r>
    <w:r w:rsidR="009D0D97">
      <w:rPr>
        <w:sz w:val="20"/>
        <w:lang w:val="nl-NL"/>
      </w:rPr>
      <w:t>3</w:t>
    </w:r>
    <w:r w:rsidRPr="009C1F06">
      <w:rPr>
        <w:sz w:val="20"/>
        <w:lang w:val="nl-NL"/>
      </w:rPr>
      <w:t>/INF.</w:t>
    </w:r>
    <w:r w:rsidR="003A19C8">
      <w:rPr>
        <w:sz w:val="20"/>
        <w:lang w:val="nl-NL"/>
      </w:rPr>
      <w:t>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CC2D" w14:textId="13B42EAA" w:rsidR="008B2FD9" w:rsidRPr="00E1707A" w:rsidRDefault="008B2FD9" w:rsidP="008B2FD9">
    <w:pPr>
      <w:pStyle w:val="Header"/>
      <w:jc w:val="right"/>
      <w:rPr>
        <w:lang w:val="nl-NL"/>
      </w:rPr>
    </w:pPr>
    <w:r w:rsidRPr="00E1707A">
      <w:rPr>
        <w:lang w:val="nl-NL"/>
      </w:rPr>
      <w:t>UN/SCETDG/</w:t>
    </w:r>
    <w:r w:rsidR="00E56BAA">
      <w:rPr>
        <w:lang w:val="nl-NL"/>
      </w:rPr>
      <w:t>61</w:t>
    </w:r>
    <w:r w:rsidRPr="00E1707A">
      <w:rPr>
        <w:lang w:val="nl-NL"/>
      </w:rPr>
      <w:t>/INF.</w:t>
    </w:r>
    <w:r w:rsidR="00E56BAA">
      <w:rPr>
        <w:lang w:val="nl-NL"/>
      </w:rPr>
      <w:t>4</w:t>
    </w:r>
  </w:p>
  <w:p w14:paraId="2CBE178E" w14:textId="624B8324" w:rsidR="00DE236F" w:rsidRPr="00E638E2" w:rsidRDefault="008B2FD9" w:rsidP="008B2FD9">
    <w:pPr>
      <w:pStyle w:val="Header"/>
      <w:jc w:val="right"/>
      <w:rPr>
        <w:lang w:val="fr-CH"/>
      </w:rPr>
    </w:pPr>
    <w:r w:rsidRPr="00E1707A">
      <w:rPr>
        <w:lang w:val="nl-NL"/>
      </w:rPr>
      <w:t>UN/SCEGHS/4</w:t>
    </w:r>
    <w:r w:rsidR="00E56BAA">
      <w:rPr>
        <w:lang w:val="nl-NL"/>
      </w:rPr>
      <w:t>3</w:t>
    </w:r>
    <w:r w:rsidRPr="00E1707A">
      <w:rPr>
        <w:lang w:val="nl-NL"/>
      </w:rPr>
      <w:t>/INF.</w:t>
    </w:r>
    <w:r w:rsidR="00BC0574">
      <w:rPr>
        <w:lang w:val="nl-NL"/>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322E" w14:textId="566B5589" w:rsidR="00BC0574" w:rsidRPr="00DB272A" w:rsidRDefault="00BC0574" w:rsidP="00E268BA">
    <w:pPr>
      <w:pStyle w:val="Header"/>
      <w:jc w:val="right"/>
      <w:rPr>
        <w:sz w:val="20"/>
        <w:szCs w:val="22"/>
        <w:lang w:val="nl-NL"/>
      </w:rPr>
    </w:pPr>
    <w:r w:rsidRPr="00DB272A">
      <w:rPr>
        <w:sz w:val="20"/>
        <w:szCs w:val="22"/>
        <w:lang w:val="nl-NL"/>
      </w:rPr>
      <w:t>UN/SCETDG/61/INF.4</w:t>
    </w:r>
    <w:r w:rsidR="003A19C8">
      <w:rPr>
        <w:sz w:val="20"/>
        <w:szCs w:val="22"/>
        <w:lang w:val="nl-NL"/>
      </w:rPr>
      <w:t>2</w:t>
    </w:r>
  </w:p>
  <w:p w14:paraId="25B8E27C" w14:textId="110A7ADF" w:rsidR="00BC0574" w:rsidRPr="00DB272A" w:rsidRDefault="00BC0574" w:rsidP="00E268BA">
    <w:pPr>
      <w:pStyle w:val="Header"/>
      <w:jc w:val="right"/>
      <w:rPr>
        <w:sz w:val="20"/>
        <w:szCs w:val="22"/>
        <w:lang w:val="fr-CH"/>
      </w:rPr>
    </w:pPr>
    <w:r w:rsidRPr="00DB272A">
      <w:rPr>
        <w:sz w:val="20"/>
        <w:szCs w:val="22"/>
        <w:lang w:val="nl-NL"/>
      </w:rPr>
      <w:t>UN/SCEGHS/43/INF.</w:t>
    </w:r>
    <w:r w:rsidR="003A19C8">
      <w:rPr>
        <w:sz w:val="20"/>
        <w:szCs w:val="22"/>
        <w:lang w:val="nl-NL"/>
      </w:rPr>
      <w:t>18</w:t>
    </w:r>
  </w:p>
  <w:p w14:paraId="2CBE1792" w14:textId="77777777" w:rsidR="00DE236F" w:rsidRDefault="00DE236F" w:rsidP="00BC05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376F3"/>
    <w:multiLevelType w:val="hybridMultilevel"/>
    <w:tmpl w:val="229ADC8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033411F7"/>
    <w:multiLevelType w:val="hybridMultilevel"/>
    <w:tmpl w:val="0E52DEBE"/>
    <w:lvl w:ilvl="0" w:tplc="BA6E94CE">
      <w:start w:val="1"/>
      <w:numFmt w:val="lowerLetter"/>
      <w:lvlText w:val="(%1)"/>
      <w:lvlJc w:val="left"/>
      <w:pPr>
        <w:ind w:left="927" w:hanging="360"/>
      </w:pPr>
      <w:rPr>
        <w:rFonts w:ascii="Times New Roman" w:eastAsia="Times New Roman" w:hAnsi="Times New Roman" w:cs="Times New Roman"/>
        <w:color w:val="000000"/>
        <w:sz w:val="22"/>
      </w:rPr>
    </w:lvl>
    <w:lvl w:ilvl="1" w:tplc="C4BA9AF4">
      <w:start w:val="1"/>
      <w:numFmt w:val="bullet"/>
      <w:lvlText w:val="o"/>
      <w:lvlJc w:val="left"/>
      <w:pPr>
        <w:ind w:left="1647" w:hanging="360"/>
      </w:pPr>
      <w:rPr>
        <w:rFonts w:ascii="Courier New" w:hAnsi="Courier New" w:hint="default"/>
      </w:rPr>
    </w:lvl>
    <w:lvl w:ilvl="2" w:tplc="F858EB86" w:tentative="1">
      <w:start w:val="1"/>
      <w:numFmt w:val="bullet"/>
      <w:lvlText w:val=""/>
      <w:lvlJc w:val="left"/>
      <w:pPr>
        <w:ind w:left="2367" w:hanging="360"/>
      </w:pPr>
      <w:rPr>
        <w:rFonts w:ascii="Wingdings" w:hAnsi="Wingdings" w:hint="default"/>
      </w:rPr>
    </w:lvl>
    <w:lvl w:ilvl="3" w:tplc="F27C046A" w:tentative="1">
      <w:start w:val="1"/>
      <w:numFmt w:val="bullet"/>
      <w:lvlText w:val=""/>
      <w:lvlJc w:val="left"/>
      <w:pPr>
        <w:ind w:left="3087" w:hanging="360"/>
      </w:pPr>
      <w:rPr>
        <w:rFonts w:ascii="Symbol" w:hAnsi="Symbol" w:hint="default"/>
      </w:rPr>
    </w:lvl>
    <w:lvl w:ilvl="4" w:tplc="B07AC366" w:tentative="1">
      <w:start w:val="1"/>
      <w:numFmt w:val="bullet"/>
      <w:lvlText w:val="o"/>
      <w:lvlJc w:val="left"/>
      <w:pPr>
        <w:ind w:left="3807" w:hanging="360"/>
      </w:pPr>
      <w:rPr>
        <w:rFonts w:ascii="Courier New" w:hAnsi="Courier New" w:hint="default"/>
      </w:rPr>
    </w:lvl>
    <w:lvl w:ilvl="5" w:tplc="C212AF48" w:tentative="1">
      <w:start w:val="1"/>
      <w:numFmt w:val="bullet"/>
      <w:lvlText w:val=""/>
      <w:lvlJc w:val="left"/>
      <w:pPr>
        <w:ind w:left="4527" w:hanging="360"/>
      </w:pPr>
      <w:rPr>
        <w:rFonts w:ascii="Wingdings" w:hAnsi="Wingdings" w:hint="default"/>
      </w:rPr>
    </w:lvl>
    <w:lvl w:ilvl="6" w:tplc="D3BA27F6" w:tentative="1">
      <w:start w:val="1"/>
      <w:numFmt w:val="bullet"/>
      <w:lvlText w:val=""/>
      <w:lvlJc w:val="left"/>
      <w:pPr>
        <w:ind w:left="5247" w:hanging="360"/>
      </w:pPr>
      <w:rPr>
        <w:rFonts w:ascii="Symbol" w:hAnsi="Symbol" w:hint="default"/>
      </w:rPr>
    </w:lvl>
    <w:lvl w:ilvl="7" w:tplc="4AD0A2E6" w:tentative="1">
      <w:start w:val="1"/>
      <w:numFmt w:val="bullet"/>
      <w:lvlText w:val="o"/>
      <w:lvlJc w:val="left"/>
      <w:pPr>
        <w:ind w:left="5967" w:hanging="360"/>
      </w:pPr>
      <w:rPr>
        <w:rFonts w:ascii="Courier New" w:hAnsi="Courier New" w:hint="default"/>
      </w:rPr>
    </w:lvl>
    <w:lvl w:ilvl="8" w:tplc="D61EF68C" w:tentative="1">
      <w:start w:val="1"/>
      <w:numFmt w:val="bullet"/>
      <w:lvlText w:val=""/>
      <w:lvlJc w:val="left"/>
      <w:pPr>
        <w:ind w:left="6687"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530AD3"/>
    <w:multiLevelType w:val="hybridMultilevel"/>
    <w:tmpl w:val="AB6A72DA"/>
    <w:lvl w:ilvl="0" w:tplc="CD78292A">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0C70598A"/>
    <w:multiLevelType w:val="multilevel"/>
    <w:tmpl w:val="81E0D2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141478D6"/>
    <w:multiLevelType w:val="hybridMultilevel"/>
    <w:tmpl w:val="714A8B6E"/>
    <w:lvl w:ilvl="0" w:tplc="4718E602">
      <w:start w:val="2"/>
      <w:numFmt w:val="decimal"/>
      <w:lvlText w:val="%1."/>
      <w:lvlJc w:val="left"/>
      <w:pPr>
        <w:ind w:left="720" w:hanging="360"/>
      </w:pPr>
      <w:rPr>
        <w:rFonts w:ascii="Helvetica" w:hAnsi="Helvetica"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62795D"/>
    <w:multiLevelType w:val="hybridMultilevel"/>
    <w:tmpl w:val="44EA4EEA"/>
    <w:lvl w:ilvl="0" w:tplc="4244756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9A97FC3"/>
    <w:multiLevelType w:val="hybridMultilevel"/>
    <w:tmpl w:val="357E7DF2"/>
    <w:lvl w:ilvl="0" w:tplc="94E0F3F2">
      <w:start w:val="2"/>
      <w:numFmt w:val="bullet"/>
      <w:lvlText w:val="-"/>
      <w:lvlJc w:val="left"/>
      <w:pPr>
        <w:ind w:left="644" w:hanging="360"/>
      </w:pPr>
      <w:rPr>
        <w:rFonts w:ascii="Calibri" w:eastAsia="Calibri"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255AE9"/>
    <w:multiLevelType w:val="hybridMultilevel"/>
    <w:tmpl w:val="FFFFFFFF"/>
    <w:lvl w:ilvl="0" w:tplc="C192A7BC">
      <w:start w:val="1"/>
      <w:numFmt w:val="bullet"/>
      <w:lvlText w:val="-"/>
      <w:lvlJc w:val="left"/>
      <w:pPr>
        <w:ind w:left="720" w:hanging="360"/>
      </w:pPr>
      <w:rPr>
        <w:rFonts w:ascii="Calibri" w:hAnsi="Calibri" w:hint="default"/>
      </w:rPr>
    </w:lvl>
    <w:lvl w:ilvl="1" w:tplc="484CEEAC">
      <w:start w:val="1"/>
      <w:numFmt w:val="bullet"/>
      <w:lvlText w:val="o"/>
      <w:lvlJc w:val="left"/>
      <w:pPr>
        <w:ind w:left="1440" w:hanging="360"/>
      </w:pPr>
      <w:rPr>
        <w:rFonts w:ascii="Courier New" w:hAnsi="Courier New" w:hint="default"/>
      </w:rPr>
    </w:lvl>
    <w:lvl w:ilvl="2" w:tplc="EB3AC65A">
      <w:start w:val="1"/>
      <w:numFmt w:val="bullet"/>
      <w:lvlText w:val=""/>
      <w:lvlJc w:val="left"/>
      <w:pPr>
        <w:ind w:left="2160" w:hanging="360"/>
      </w:pPr>
      <w:rPr>
        <w:rFonts w:ascii="Wingdings" w:hAnsi="Wingdings" w:hint="default"/>
      </w:rPr>
    </w:lvl>
    <w:lvl w:ilvl="3" w:tplc="E69A2F52">
      <w:start w:val="1"/>
      <w:numFmt w:val="bullet"/>
      <w:lvlText w:val=""/>
      <w:lvlJc w:val="left"/>
      <w:pPr>
        <w:ind w:left="2880" w:hanging="360"/>
      </w:pPr>
      <w:rPr>
        <w:rFonts w:ascii="Symbol" w:hAnsi="Symbol" w:hint="default"/>
      </w:rPr>
    </w:lvl>
    <w:lvl w:ilvl="4" w:tplc="D6809F2A">
      <w:start w:val="1"/>
      <w:numFmt w:val="bullet"/>
      <w:lvlText w:val="o"/>
      <w:lvlJc w:val="left"/>
      <w:pPr>
        <w:ind w:left="3600" w:hanging="360"/>
      </w:pPr>
      <w:rPr>
        <w:rFonts w:ascii="Courier New" w:hAnsi="Courier New" w:hint="default"/>
      </w:rPr>
    </w:lvl>
    <w:lvl w:ilvl="5" w:tplc="BB0E7B7A">
      <w:start w:val="1"/>
      <w:numFmt w:val="bullet"/>
      <w:lvlText w:val=""/>
      <w:lvlJc w:val="left"/>
      <w:pPr>
        <w:ind w:left="4320" w:hanging="360"/>
      </w:pPr>
      <w:rPr>
        <w:rFonts w:ascii="Wingdings" w:hAnsi="Wingdings" w:hint="default"/>
      </w:rPr>
    </w:lvl>
    <w:lvl w:ilvl="6" w:tplc="88800694">
      <w:start w:val="1"/>
      <w:numFmt w:val="bullet"/>
      <w:lvlText w:val=""/>
      <w:lvlJc w:val="left"/>
      <w:pPr>
        <w:ind w:left="5040" w:hanging="360"/>
      </w:pPr>
      <w:rPr>
        <w:rFonts w:ascii="Symbol" w:hAnsi="Symbol" w:hint="default"/>
      </w:rPr>
    </w:lvl>
    <w:lvl w:ilvl="7" w:tplc="B0F2EAB2">
      <w:start w:val="1"/>
      <w:numFmt w:val="bullet"/>
      <w:lvlText w:val="o"/>
      <w:lvlJc w:val="left"/>
      <w:pPr>
        <w:ind w:left="5760" w:hanging="360"/>
      </w:pPr>
      <w:rPr>
        <w:rFonts w:ascii="Courier New" w:hAnsi="Courier New" w:hint="default"/>
      </w:rPr>
    </w:lvl>
    <w:lvl w:ilvl="8" w:tplc="417EF7D6">
      <w:start w:val="1"/>
      <w:numFmt w:val="bullet"/>
      <w:lvlText w:val=""/>
      <w:lvlJc w:val="left"/>
      <w:pPr>
        <w:ind w:left="6480" w:hanging="360"/>
      </w:pPr>
      <w:rPr>
        <w:rFonts w:ascii="Wingdings" w:hAnsi="Wingdings" w:hint="default"/>
      </w:rPr>
    </w:lvl>
  </w:abstractNum>
  <w:abstractNum w:abstractNumId="20" w15:restartNumberingAfterBreak="0">
    <w:nsid w:val="2B313B8E"/>
    <w:multiLevelType w:val="hybridMultilevel"/>
    <w:tmpl w:val="6F069C56"/>
    <w:lvl w:ilvl="0" w:tplc="83CA540A">
      <w:start w:val="1"/>
      <w:numFmt w:val="decimal"/>
      <w:lvlText w:val="%1."/>
      <w:lvlJc w:val="left"/>
      <w:pPr>
        <w:ind w:left="1495"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415E3"/>
    <w:multiLevelType w:val="hybridMultilevel"/>
    <w:tmpl w:val="FFFFFFFF"/>
    <w:lvl w:ilvl="0" w:tplc="B8BA5206">
      <w:start w:val="1"/>
      <w:numFmt w:val="bullet"/>
      <w:lvlText w:val="-"/>
      <w:lvlJc w:val="left"/>
      <w:pPr>
        <w:ind w:left="720" w:hanging="360"/>
      </w:pPr>
      <w:rPr>
        <w:rFonts w:ascii="Calibri" w:hAnsi="Calibri" w:hint="default"/>
      </w:rPr>
    </w:lvl>
    <w:lvl w:ilvl="1" w:tplc="0B786992">
      <w:start w:val="1"/>
      <w:numFmt w:val="bullet"/>
      <w:lvlText w:val="o"/>
      <w:lvlJc w:val="left"/>
      <w:pPr>
        <w:ind w:left="1440" w:hanging="360"/>
      </w:pPr>
      <w:rPr>
        <w:rFonts w:ascii="Courier New" w:hAnsi="Courier New" w:hint="default"/>
      </w:rPr>
    </w:lvl>
    <w:lvl w:ilvl="2" w:tplc="90323260">
      <w:start w:val="1"/>
      <w:numFmt w:val="bullet"/>
      <w:lvlText w:val=""/>
      <w:lvlJc w:val="left"/>
      <w:pPr>
        <w:ind w:left="2160" w:hanging="360"/>
      </w:pPr>
      <w:rPr>
        <w:rFonts w:ascii="Wingdings" w:hAnsi="Wingdings" w:hint="default"/>
      </w:rPr>
    </w:lvl>
    <w:lvl w:ilvl="3" w:tplc="03923E48">
      <w:start w:val="1"/>
      <w:numFmt w:val="bullet"/>
      <w:lvlText w:val=""/>
      <w:lvlJc w:val="left"/>
      <w:pPr>
        <w:ind w:left="2880" w:hanging="360"/>
      </w:pPr>
      <w:rPr>
        <w:rFonts w:ascii="Symbol" w:hAnsi="Symbol" w:hint="default"/>
      </w:rPr>
    </w:lvl>
    <w:lvl w:ilvl="4" w:tplc="BD864744">
      <w:start w:val="1"/>
      <w:numFmt w:val="bullet"/>
      <w:lvlText w:val="o"/>
      <w:lvlJc w:val="left"/>
      <w:pPr>
        <w:ind w:left="3600" w:hanging="360"/>
      </w:pPr>
      <w:rPr>
        <w:rFonts w:ascii="Courier New" w:hAnsi="Courier New" w:hint="default"/>
      </w:rPr>
    </w:lvl>
    <w:lvl w:ilvl="5" w:tplc="759A1F92">
      <w:start w:val="1"/>
      <w:numFmt w:val="bullet"/>
      <w:lvlText w:val=""/>
      <w:lvlJc w:val="left"/>
      <w:pPr>
        <w:ind w:left="4320" w:hanging="360"/>
      </w:pPr>
      <w:rPr>
        <w:rFonts w:ascii="Wingdings" w:hAnsi="Wingdings" w:hint="default"/>
      </w:rPr>
    </w:lvl>
    <w:lvl w:ilvl="6" w:tplc="65943FFE">
      <w:start w:val="1"/>
      <w:numFmt w:val="bullet"/>
      <w:lvlText w:val=""/>
      <w:lvlJc w:val="left"/>
      <w:pPr>
        <w:ind w:left="5040" w:hanging="360"/>
      </w:pPr>
      <w:rPr>
        <w:rFonts w:ascii="Symbol" w:hAnsi="Symbol" w:hint="default"/>
      </w:rPr>
    </w:lvl>
    <w:lvl w:ilvl="7" w:tplc="82683522">
      <w:start w:val="1"/>
      <w:numFmt w:val="bullet"/>
      <w:lvlText w:val="o"/>
      <w:lvlJc w:val="left"/>
      <w:pPr>
        <w:ind w:left="5760" w:hanging="360"/>
      </w:pPr>
      <w:rPr>
        <w:rFonts w:ascii="Courier New" w:hAnsi="Courier New" w:hint="default"/>
      </w:rPr>
    </w:lvl>
    <w:lvl w:ilvl="8" w:tplc="A14661CE">
      <w:start w:val="1"/>
      <w:numFmt w:val="bullet"/>
      <w:lvlText w:val=""/>
      <w:lvlJc w:val="left"/>
      <w:pPr>
        <w:ind w:left="6480" w:hanging="360"/>
      </w:pPr>
      <w:rPr>
        <w:rFonts w:ascii="Wingdings" w:hAnsi="Wingdings" w:hint="default"/>
      </w:rPr>
    </w:lvl>
  </w:abstractNum>
  <w:abstractNum w:abstractNumId="22" w15:restartNumberingAfterBreak="0">
    <w:nsid w:val="303944BB"/>
    <w:multiLevelType w:val="hybridMultilevel"/>
    <w:tmpl w:val="46106188"/>
    <w:lvl w:ilvl="0" w:tplc="97F4057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32510438"/>
    <w:multiLevelType w:val="hybridMultilevel"/>
    <w:tmpl w:val="03D8D6F2"/>
    <w:lvl w:ilvl="0" w:tplc="A4386DF2">
      <w:start w:val="1"/>
      <w:numFmt w:val="bullet"/>
      <w:lvlText w:val=""/>
      <w:lvlJc w:val="left"/>
      <w:pPr>
        <w:ind w:left="1080" w:hanging="360"/>
      </w:pPr>
      <w:rPr>
        <w:rFonts w:ascii="Symbol" w:hAnsi="Symbol" w:hint="default"/>
      </w:rPr>
    </w:lvl>
    <w:lvl w:ilvl="1" w:tplc="4BB61716">
      <w:start w:val="1"/>
      <w:numFmt w:val="bullet"/>
      <w:lvlText w:val="o"/>
      <w:lvlJc w:val="left"/>
      <w:pPr>
        <w:ind w:left="1800" w:hanging="360"/>
      </w:pPr>
      <w:rPr>
        <w:rFonts w:ascii="Courier New" w:hAnsi="Courier New" w:hint="default"/>
      </w:rPr>
    </w:lvl>
    <w:lvl w:ilvl="2" w:tplc="F9B8B03E">
      <w:start w:val="1"/>
      <w:numFmt w:val="bullet"/>
      <w:lvlText w:val=""/>
      <w:lvlJc w:val="left"/>
      <w:pPr>
        <w:ind w:left="2520" w:hanging="360"/>
      </w:pPr>
      <w:rPr>
        <w:rFonts w:ascii="Wingdings" w:hAnsi="Wingdings" w:hint="default"/>
      </w:rPr>
    </w:lvl>
    <w:lvl w:ilvl="3" w:tplc="C686B500">
      <w:start w:val="1"/>
      <w:numFmt w:val="bullet"/>
      <w:lvlText w:val=""/>
      <w:lvlJc w:val="left"/>
      <w:pPr>
        <w:ind w:left="3240" w:hanging="360"/>
      </w:pPr>
      <w:rPr>
        <w:rFonts w:ascii="Symbol" w:hAnsi="Symbol" w:hint="default"/>
      </w:rPr>
    </w:lvl>
    <w:lvl w:ilvl="4" w:tplc="56FEAB20">
      <w:start w:val="1"/>
      <w:numFmt w:val="bullet"/>
      <w:lvlText w:val="o"/>
      <w:lvlJc w:val="left"/>
      <w:pPr>
        <w:ind w:left="3960" w:hanging="360"/>
      </w:pPr>
      <w:rPr>
        <w:rFonts w:ascii="Courier New" w:hAnsi="Courier New" w:hint="default"/>
      </w:rPr>
    </w:lvl>
    <w:lvl w:ilvl="5" w:tplc="8A2C5DB6">
      <w:start w:val="1"/>
      <w:numFmt w:val="bullet"/>
      <w:lvlText w:val=""/>
      <w:lvlJc w:val="left"/>
      <w:pPr>
        <w:ind w:left="4680" w:hanging="360"/>
      </w:pPr>
      <w:rPr>
        <w:rFonts w:ascii="Wingdings" w:hAnsi="Wingdings" w:hint="default"/>
      </w:rPr>
    </w:lvl>
    <w:lvl w:ilvl="6" w:tplc="76287046">
      <w:start w:val="1"/>
      <w:numFmt w:val="bullet"/>
      <w:lvlText w:val=""/>
      <w:lvlJc w:val="left"/>
      <w:pPr>
        <w:ind w:left="5400" w:hanging="360"/>
      </w:pPr>
      <w:rPr>
        <w:rFonts w:ascii="Symbol" w:hAnsi="Symbol" w:hint="default"/>
      </w:rPr>
    </w:lvl>
    <w:lvl w:ilvl="7" w:tplc="A6661652">
      <w:start w:val="1"/>
      <w:numFmt w:val="bullet"/>
      <w:lvlText w:val="o"/>
      <w:lvlJc w:val="left"/>
      <w:pPr>
        <w:ind w:left="6120" w:hanging="360"/>
      </w:pPr>
      <w:rPr>
        <w:rFonts w:ascii="Courier New" w:hAnsi="Courier New" w:hint="default"/>
      </w:rPr>
    </w:lvl>
    <w:lvl w:ilvl="8" w:tplc="C4B285EA">
      <w:start w:val="1"/>
      <w:numFmt w:val="bullet"/>
      <w:lvlText w:val=""/>
      <w:lvlJc w:val="left"/>
      <w:pPr>
        <w:ind w:left="6840" w:hanging="360"/>
      </w:pPr>
      <w:rPr>
        <w:rFonts w:ascii="Wingdings" w:hAnsi="Wingdings" w:hint="default"/>
      </w:rPr>
    </w:lvl>
  </w:abstractNum>
  <w:abstractNum w:abstractNumId="24" w15:restartNumberingAfterBreak="0">
    <w:nsid w:val="32CD1697"/>
    <w:multiLevelType w:val="hybridMultilevel"/>
    <w:tmpl w:val="7556DE2C"/>
    <w:lvl w:ilvl="0" w:tplc="59BC16EA">
      <w:start w:val="1"/>
      <w:numFmt w:val="lowerLetter"/>
      <w:lvlText w:val="(%1)"/>
      <w:lvlJc w:val="left"/>
      <w:pPr>
        <w:ind w:left="2049" w:hanging="360"/>
      </w:pPr>
      <w:rPr>
        <w:rFonts w:hint="default"/>
      </w:rPr>
    </w:lvl>
    <w:lvl w:ilvl="1" w:tplc="04070019" w:tentative="1">
      <w:start w:val="1"/>
      <w:numFmt w:val="lowerLetter"/>
      <w:lvlText w:val="%2."/>
      <w:lvlJc w:val="left"/>
      <w:pPr>
        <w:ind w:left="2769" w:hanging="360"/>
      </w:pPr>
    </w:lvl>
    <w:lvl w:ilvl="2" w:tplc="0407001B" w:tentative="1">
      <w:start w:val="1"/>
      <w:numFmt w:val="lowerRoman"/>
      <w:lvlText w:val="%3."/>
      <w:lvlJc w:val="right"/>
      <w:pPr>
        <w:ind w:left="3489" w:hanging="180"/>
      </w:pPr>
    </w:lvl>
    <w:lvl w:ilvl="3" w:tplc="0407000F" w:tentative="1">
      <w:start w:val="1"/>
      <w:numFmt w:val="decimal"/>
      <w:lvlText w:val="%4."/>
      <w:lvlJc w:val="left"/>
      <w:pPr>
        <w:ind w:left="4209" w:hanging="360"/>
      </w:pPr>
    </w:lvl>
    <w:lvl w:ilvl="4" w:tplc="04070019" w:tentative="1">
      <w:start w:val="1"/>
      <w:numFmt w:val="lowerLetter"/>
      <w:lvlText w:val="%5."/>
      <w:lvlJc w:val="left"/>
      <w:pPr>
        <w:ind w:left="4929" w:hanging="360"/>
      </w:pPr>
    </w:lvl>
    <w:lvl w:ilvl="5" w:tplc="0407001B" w:tentative="1">
      <w:start w:val="1"/>
      <w:numFmt w:val="lowerRoman"/>
      <w:lvlText w:val="%6."/>
      <w:lvlJc w:val="right"/>
      <w:pPr>
        <w:ind w:left="5649" w:hanging="180"/>
      </w:pPr>
    </w:lvl>
    <w:lvl w:ilvl="6" w:tplc="0407000F" w:tentative="1">
      <w:start w:val="1"/>
      <w:numFmt w:val="decimal"/>
      <w:lvlText w:val="%7."/>
      <w:lvlJc w:val="left"/>
      <w:pPr>
        <w:ind w:left="6369" w:hanging="360"/>
      </w:pPr>
    </w:lvl>
    <w:lvl w:ilvl="7" w:tplc="04070019" w:tentative="1">
      <w:start w:val="1"/>
      <w:numFmt w:val="lowerLetter"/>
      <w:lvlText w:val="%8."/>
      <w:lvlJc w:val="left"/>
      <w:pPr>
        <w:ind w:left="7089" w:hanging="360"/>
      </w:pPr>
    </w:lvl>
    <w:lvl w:ilvl="8" w:tplc="0407001B" w:tentative="1">
      <w:start w:val="1"/>
      <w:numFmt w:val="lowerRoman"/>
      <w:lvlText w:val="%9."/>
      <w:lvlJc w:val="right"/>
      <w:pPr>
        <w:ind w:left="7809" w:hanging="180"/>
      </w:pPr>
    </w:lvl>
  </w:abstractNum>
  <w:abstractNum w:abstractNumId="25" w15:restartNumberingAfterBreak="0">
    <w:nsid w:val="33B0200B"/>
    <w:multiLevelType w:val="hybridMultilevel"/>
    <w:tmpl w:val="1CD216D2"/>
    <w:lvl w:ilvl="0" w:tplc="5F583A4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374B791B"/>
    <w:multiLevelType w:val="hybridMultilevel"/>
    <w:tmpl w:val="3106188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794553B"/>
    <w:multiLevelType w:val="hybridMultilevel"/>
    <w:tmpl w:val="5ABC5058"/>
    <w:lvl w:ilvl="0" w:tplc="60D0703E">
      <w:start w:val="1"/>
      <w:numFmt w:val="lowerLetter"/>
      <w:lvlText w:val="(%1)"/>
      <w:lvlJc w:val="left"/>
      <w:pPr>
        <w:ind w:left="2049" w:hanging="360"/>
      </w:pPr>
      <w:rPr>
        <w:rFonts w:hint="default"/>
      </w:rPr>
    </w:lvl>
    <w:lvl w:ilvl="1" w:tplc="04070019" w:tentative="1">
      <w:start w:val="1"/>
      <w:numFmt w:val="lowerLetter"/>
      <w:lvlText w:val="%2."/>
      <w:lvlJc w:val="left"/>
      <w:pPr>
        <w:ind w:left="2769" w:hanging="360"/>
      </w:pPr>
    </w:lvl>
    <w:lvl w:ilvl="2" w:tplc="0407001B" w:tentative="1">
      <w:start w:val="1"/>
      <w:numFmt w:val="lowerRoman"/>
      <w:lvlText w:val="%3."/>
      <w:lvlJc w:val="right"/>
      <w:pPr>
        <w:ind w:left="3489" w:hanging="180"/>
      </w:pPr>
    </w:lvl>
    <w:lvl w:ilvl="3" w:tplc="0407000F" w:tentative="1">
      <w:start w:val="1"/>
      <w:numFmt w:val="decimal"/>
      <w:lvlText w:val="%4."/>
      <w:lvlJc w:val="left"/>
      <w:pPr>
        <w:ind w:left="4209" w:hanging="360"/>
      </w:pPr>
    </w:lvl>
    <w:lvl w:ilvl="4" w:tplc="04070019" w:tentative="1">
      <w:start w:val="1"/>
      <w:numFmt w:val="lowerLetter"/>
      <w:lvlText w:val="%5."/>
      <w:lvlJc w:val="left"/>
      <w:pPr>
        <w:ind w:left="4929" w:hanging="360"/>
      </w:pPr>
    </w:lvl>
    <w:lvl w:ilvl="5" w:tplc="0407001B" w:tentative="1">
      <w:start w:val="1"/>
      <w:numFmt w:val="lowerRoman"/>
      <w:lvlText w:val="%6."/>
      <w:lvlJc w:val="right"/>
      <w:pPr>
        <w:ind w:left="5649" w:hanging="180"/>
      </w:pPr>
    </w:lvl>
    <w:lvl w:ilvl="6" w:tplc="0407000F" w:tentative="1">
      <w:start w:val="1"/>
      <w:numFmt w:val="decimal"/>
      <w:lvlText w:val="%7."/>
      <w:lvlJc w:val="left"/>
      <w:pPr>
        <w:ind w:left="6369" w:hanging="360"/>
      </w:pPr>
    </w:lvl>
    <w:lvl w:ilvl="7" w:tplc="04070019" w:tentative="1">
      <w:start w:val="1"/>
      <w:numFmt w:val="lowerLetter"/>
      <w:lvlText w:val="%8."/>
      <w:lvlJc w:val="left"/>
      <w:pPr>
        <w:ind w:left="7089" w:hanging="360"/>
      </w:pPr>
    </w:lvl>
    <w:lvl w:ilvl="8" w:tplc="0407001B" w:tentative="1">
      <w:start w:val="1"/>
      <w:numFmt w:val="lowerRoman"/>
      <w:lvlText w:val="%9."/>
      <w:lvlJc w:val="right"/>
      <w:pPr>
        <w:ind w:left="7809" w:hanging="180"/>
      </w:pPr>
    </w:lvl>
  </w:abstractNum>
  <w:abstractNum w:abstractNumId="28" w15:restartNumberingAfterBreak="0">
    <w:nsid w:val="38927D67"/>
    <w:multiLevelType w:val="hybridMultilevel"/>
    <w:tmpl w:val="F14238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BF43862"/>
    <w:multiLevelType w:val="hybridMultilevel"/>
    <w:tmpl w:val="6B42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BD287E"/>
    <w:multiLevelType w:val="hybridMultilevel"/>
    <w:tmpl w:val="09FEB9C0"/>
    <w:lvl w:ilvl="0" w:tplc="A6D6CAF8">
      <w:start w:val="1"/>
      <w:numFmt w:val="bullet"/>
      <w:lvlText w:val="-"/>
      <w:lvlJc w:val="left"/>
      <w:pPr>
        <w:ind w:left="644" w:hanging="360"/>
      </w:pPr>
      <w:rPr>
        <w:rFonts w:ascii="Calibri" w:eastAsia="Calibri" w:hAnsi="Calibri"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1" w15:restartNumberingAfterBreak="0">
    <w:nsid w:val="47914D04"/>
    <w:multiLevelType w:val="hybridMultilevel"/>
    <w:tmpl w:val="C4B4B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A2ACB"/>
    <w:multiLevelType w:val="hybridMultilevel"/>
    <w:tmpl w:val="C18C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10EA8"/>
    <w:multiLevelType w:val="hybridMultilevel"/>
    <w:tmpl w:val="2A9AB0EA"/>
    <w:lvl w:ilvl="0" w:tplc="FF8AD56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3B64777"/>
    <w:multiLevelType w:val="hybridMultilevel"/>
    <w:tmpl w:val="8B12DD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5CDF3310"/>
    <w:multiLevelType w:val="hybridMultilevel"/>
    <w:tmpl w:val="10829844"/>
    <w:lvl w:ilvl="0" w:tplc="FFFFFFFF">
      <w:start w:val="1"/>
      <w:numFmt w:val="bullet"/>
      <w:lvlText w:val=""/>
      <w:lvlJc w:val="left"/>
      <w:pPr>
        <w:ind w:left="1080" w:hanging="360"/>
      </w:pPr>
      <w:rPr>
        <w:rFonts w:ascii="Symbol" w:hAnsi="Symbol" w:hint="default"/>
      </w:rPr>
    </w:lvl>
    <w:lvl w:ilvl="1" w:tplc="F9B8B03E">
      <w:start w:val="1"/>
      <w:numFmt w:val="bullet"/>
      <w:lvlText w:val=""/>
      <w:lvlJc w:val="left"/>
      <w:pPr>
        <w:ind w:left="1800" w:hanging="360"/>
      </w:pPr>
      <w:rPr>
        <w:rFonts w:ascii="Wingdings" w:hAnsi="Wingdings"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1C63EAB"/>
    <w:multiLevelType w:val="hybridMultilevel"/>
    <w:tmpl w:val="D7A6983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256D58"/>
    <w:multiLevelType w:val="hybridMultilevel"/>
    <w:tmpl w:val="B42227CA"/>
    <w:lvl w:ilvl="0" w:tplc="FFFFFFFF">
      <w:start w:val="1"/>
      <w:numFmt w:val="lowerRoman"/>
      <w:lvlText w:val="%1."/>
      <w:lvlJc w:val="right"/>
      <w:pPr>
        <w:ind w:left="1350" w:hanging="360"/>
      </w:pPr>
    </w:lvl>
    <w:lvl w:ilvl="1" w:tplc="040C0019">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3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F17679"/>
    <w:multiLevelType w:val="hybridMultilevel"/>
    <w:tmpl w:val="CD98C9F4"/>
    <w:lvl w:ilvl="0" w:tplc="CF801DF6">
      <w:start w:val="1"/>
      <w:numFmt w:val="lowerLetter"/>
      <w:lvlText w:val="(%1)"/>
      <w:lvlJc w:val="left"/>
      <w:pPr>
        <w:ind w:left="2049" w:hanging="360"/>
      </w:pPr>
      <w:rPr>
        <w:rFonts w:hint="default"/>
      </w:rPr>
    </w:lvl>
    <w:lvl w:ilvl="1" w:tplc="04070019" w:tentative="1">
      <w:start w:val="1"/>
      <w:numFmt w:val="lowerLetter"/>
      <w:lvlText w:val="%2."/>
      <w:lvlJc w:val="left"/>
      <w:pPr>
        <w:ind w:left="2769" w:hanging="360"/>
      </w:pPr>
    </w:lvl>
    <w:lvl w:ilvl="2" w:tplc="0407001B" w:tentative="1">
      <w:start w:val="1"/>
      <w:numFmt w:val="lowerRoman"/>
      <w:lvlText w:val="%3."/>
      <w:lvlJc w:val="right"/>
      <w:pPr>
        <w:ind w:left="3489" w:hanging="180"/>
      </w:pPr>
    </w:lvl>
    <w:lvl w:ilvl="3" w:tplc="0407000F" w:tentative="1">
      <w:start w:val="1"/>
      <w:numFmt w:val="decimal"/>
      <w:lvlText w:val="%4."/>
      <w:lvlJc w:val="left"/>
      <w:pPr>
        <w:ind w:left="4209" w:hanging="360"/>
      </w:pPr>
    </w:lvl>
    <w:lvl w:ilvl="4" w:tplc="04070019" w:tentative="1">
      <w:start w:val="1"/>
      <w:numFmt w:val="lowerLetter"/>
      <w:lvlText w:val="%5."/>
      <w:lvlJc w:val="left"/>
      <w:pPr>
        <w:ind w:left="4929" w:hanging="360"/>
      </w:pPr>
    </w:lvl>
    <w:lvl w:ilvl="5" w:tplc="0407001B" w:tentative="1">
      <w:start w:val="1"/>
      <w:numFmt w:val="lowerRoman"/>
      <w:lvlText w:val="%6."/>
      <w:lvlJc w:val="right"/>
      <w:pPr>
        <w:ind w:left="5649" w:hanging="180"/>
      </w:pPr>
    </w:lvl>
    <w:lvl w:ilvl="6" w:tplc="0407000F" w:tentative="1">
      <w:start w:val="1"/>
      <w:numFmt w:val="decimal"/>
      <w:lvlText w:val="%7."/>
      <w:lvlJc w:val="left"/>
      <w:pPr>
        <w:ind w:left="6369" w:hanging="360"/>
      </w:pPr>
    </w:lvl>
    <w:lvl w:ilvl="7" w:tplc="04070019" w:tentative="1">
      <w:start w:val="1"/>
      <w:numFmt w:val="lowerLetter"/>
      <w:lvlText w:val="%8."/>
      <w:lvlJc w:val="left"/>
      <w:pPr>
        <w:ind w:left="7089" w:hanging="360"/>
      </w:pPr>
    </w:lvl>
    <w:lvl w:ilvl="8" w:tplc="0407001B" w:tentative="1">
      <w:start w:val="1"/>
      <w:numFmt w:val="lowerRoman"/>
      <w:lvlText w:val="%9."/>
      <w:lvlJc w:val="right"/>
      <w:pPr>
        <w:ind w:left="7809" w:hanging="180"/>
      </w:pPr>
    </w:lvl>
  </w:abstractNum>
  <w:abstractNum w:abstractNumId="41" w15:restartNumberingAfterBreak="0">
    <w:nsid w:val="67C66A82"/>
    <w:multiLevelType w:val="hybridMultilevel"/>
    <w:tmpl w:val="F4AC23E8"/>
    <w:lvl w:ilvl="0" w:tplc="4972FA24">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2" w15:restartNumberingAfterBreak="0">
    <w:nsid w:val="6F392F3B"/>
    <w:multiLevelType w:val="hybridMultilevel"/>
    <w:tmpl w:val="6CDE1902"/>
    <w:lvl w:ilvl="0" w:tplc="E11811CE">
      <w:start w:val="1"/>
      <w:numFmt w:val="lowerRoman"/>
      <w:lvlText w:val="%1."/>
      <w:lvlJc w:val="right"/>
      <w:pPr>
        <w:ind w:left="1080" w:hanging="360"/>
      </w:pPr>
    </w:lvl>
    <w:lvl w:ilvl="1" w:tplc="8BF01FA0">
      <w:start w:val="1"/>
      <w:numFmt w:val="lowerLetter"/>
      <w:lvlText w:val="%2."/>
      <w:lvlJc w:val="left"/>
      <w:pPr>
        <w:ind w:left="1800" w:hanging="360"/>
      </w:pPr>
    </w:lvl>
    <w:lvl w:ilvl="2" w:tplc="B78C1226">
      <w:start w:val="1"/>
      <w:numFmt w:val="lowerRoman"/>
      <w:lvlText w:val="%3."/>
      <w:lvlJc w:val="right"/>
      <w:pPr>
        <w:ind w:left="2520" w:hanging="180"/>
      </w:pPr>
    </w:lvl>
    <w:lvl w:ilvl="3" w:tplc="AA4A6B18">
      <w:start w:val="1"/>
      <w:numFmt w:val="decimal"/>
      <w:lvlText w:val="%4."/>
      <w:lvlJc w:val="left"/>
      <w:pPr>
        <w:ind w:left="3240" w:hanging="360"/>
      </w:pPr>
    </w:lvl>
    <w:lvl w:ilvl="4" w:tplc="FD069C82">
      <w:start w:val="1"/>
      <w:numFmt w:val="lowerLetter"/>
      <w:lvlText w:val="%5."/>
      <w:lvlJc w:val="left"/>
      <w:pPr>
        <w:ind w:left="3960" w:hanging="360"/>
      </w:pPr>
    </w:lvl>
    <w:lvl w:ilvl="5" w:tplc="9C4237AE">
      <w:start w:val="1"/>
      <w:numFmt w:val="lowerRoman"/>
      <w:lvlText w:val="%6."/>
      <w:lvlJc w:val="right"/>
      <w:pPr>
        <w:ind w:left="4680" w:hanging="180"/>
      </w:pPr>
    </w:lvl>
    <w:lvl w:ilvl="6" w:tplc="77544C12">
      <w:start w:val="1"/>
      <w:numFmt w:val="decimal"/>
      <w:lvlText w:val="%7."/>
      <w:lvlJc w:val="left"/>
      <w:pPr>
        <w:ind w:left="5400" w:hanging="360"/>
      </w:pPr>
    </w:lvl>
    <w:lvl w:ilvl="7" w:tplc="B0A2D2C4">
      <w:start w:val="1"/>
      <w:numFmt w:val="lowerLetter"/>
      <w:lvlText w:val="%8."/>
      <w:lvlJc w:val="left"/>
      <w:pPr>
        <w:ind w:left="6120" w:hanging="360"/>
      </w:pPr>
    </w:lvl>
    <w:lvl w:ilvl="8" w:tplc="3EA6E322">
      <w:start w:val="1"/>
      <w:numFmt w:val="lowerRoman"/>
      <w:lvlText w:val="%9."/>
      <w:lvlJc w:val="right"/>
      <w:pPr>
        <w:ind w:left="6840" w:hanging="180"/>
      </w:pPr>
    </w:lvl>
  </w:abstractNum>
  <w:abstractNum w:abstractNumId="4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E4312"/>
    <w:multiLevelType w:val="hybridMultilevel"/>
    <w:tmpl w:val="487E862C"/>
    <w:lvl w:ilvl="0" w:tplc="70CCBF6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6"/>
  </w:num>
  <w:num w:numId="12">
    <w:abstractNumId w:val="16"/>
  </w:num>
  <w:num w:numId="13">
    <w:abstractNumId w:val="12"/>
  </w:num>
  <w:num w:numId="14">
    <w:abstractNumId w:val="39"/>
  </w:num>
  <w:num w:numId="15">
    <w:abstractNumId w:val="43"/>
  </w:num>
  <w:num w:numId="16">
    <w:abstractNumId w:val="28"/>
  </w:num>
  <w:num w:numId="17">
    <w:abstractNumId w:val="33"/>
  </w:num>
  <w:num w:numId="18">
    <w:abstractNumId w:val="41"/>
  </w:num>
  <w:num w:numId="19">
    <w:abstractNumId w:val="27"/>
  </w:num>
  <w:num w:numId="20">
    <w:abstractNumId w:val="40"/>
  </w:num>
  <w:num w:numId="21">
    <w:abstractNumId w:val="24"/>
  </w:num>
  <w:num w:numId="22">
    <w:abstractNumId w:val="31"/>
  </w:num>
  <w:num w:numId="23">
    <w:abstractNumId w:val="44"/>
  </w:num>
  <w:num w:numId="24">
    <w:abstractNumId w:val="20"/>
  </w:num>
  <w:num w:numId="25">
    <w:abstractNumId w:val="30"/>
  </w:num>
  <w:num w:numId="26">
    <w:abstractNumId w:val="18"/>
  </w:num>
  <w:num w:numId="27">
    <w:abstractNumId w:val="11"/>
  </w:num>
  <w:num w:numId="28">
    <w:abstractNumId w:val="19"/>
  </w:num>
  <w:num w:numId="29">
    <w:abstractNumId w:val="21"/>
  </w:num>
  <w:num w:numId="30">
    <w:abstractNumId w:val="17"/>
  </w:num>
  <w:num w:numId="31">
    <w:abstractNumId w:val="25"/>
  </w:num>
  <w:num w:numId="32">
    <w:abstractNumId w:val="22"/>
  </w:num>
  <w:num w:numId="33">
    <w:abstractNumId w:val="23"/>
  </w:num>
  <w:num w:numId="34">
    <w:abstractNumId w:val="42"/>
  </w:num>
  <w:num w:numId="35">
    <w:abstractNumId w:val="38"/>
  </w:num>
  <w:num w:numId="36">
    <w:abstractNumId w:val="35"/>
  </w:num>
  <w:num w:numId="37">
    <w:abstractNumId w:val="10"/>
  </w:num>
  <w:num w:numId="38">
    <w:abstractNumId w:val="15"/>
  </w:num>
  <w:num w:numId="39">
    <w:abstractNumId w:val="37"/>
  </w:num>
  <w:num w:numId="40">
    <w:abstractNumId w:val="14"/>
  </w:num>
  <w:num w:numId="41">
    <w:abstractNumId w:val="34"/>
  </w:num>
  <w:num w:numId="42">
    <w:abstractNumId w:val="26"/>
  </w:num>
  <w:num w:numId="43">
    <w:abstractNumId w:val="32"/>
  </w:num>
  <w:num w:numId="44">
    <w:abstractNumId w:val="13"/>
  </w:num>
  <w:num w:numId="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nl-NL"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C"/>
    <w:rsid w:val="000019B8"/>
    <w:rsid w:val="0000306F"/>
    <w:rsid w:val="00004EE4"/>
    <w:rsid w:val="0000630C"/>
    <w:rsid w:val="00006FAE"/>
    <w:rsid w:val="000133C5"/>
    <w:rsid w:val="00013F48"/>
    <w:rsid w:val="000144C7"/>
    <w:rsid w:val="000168D8"/>
    <w:rsid w:val="0001748E"/>
    <w:rsid w:val="00017D24"/>
    <w:rsid w:val="0002050F"/>
    <w:rsid w:val="0002125F"/>
    <w:rsid w:val="000216C2"/>
    <w:rsid w:val="000216CC"/>
    <w:rsid w:val="000364BC"/>
    <w:rsid w:val="000375B0"/>
    <w:rsid w:val="00043180"/>
    <w:rsid w:val="000504CE"/>
    <w:rsid w:val="00050922"/>
    <w:rsid w:val="00050F6B"/>
    <w:rsid w:val="00053492"/>
    <w:rsid w:val="00055819"/>
    <w:rsid w:val="0005710C"/>
    <w:rsid w:val="00061551"/>
    <w:rsid w:val="00063F5B"/>
    <w:rsid w:val="00064402"/>
    <w:rsid w:val="00067E6D"/>
    <w:rsid w:val="00072C8C"/>
    <w:rsid w:val="00072F16"/>
    <w:rsid w:val="00073129"/>
    <w:rsid w:val="00075F99"/>
    <w:rsid w:val="00076A0A"/>
    <w:rsid w:val="000819E1"/>
    <w:rsid w:val="00082CE1"/>
    <w:rsid w:val="00083598"/>
    <w:rsid w:val="00083941"/>
    <w:rsid w:val="00084632"/>
    <w:rsid w:val="00084B06"/>
    <w:rsid w:val="00085921"/>
    <w:rsid w:val="0008612B"/>
    <w:rsid w:val="000867EA"/>
    <w:rsid w:val="000870D0"/>
    <w:rsid w:val="00087CFD"/>
    <w:rsid w:val="00091046"/>
    <w:rsid w:val="000911D9"/>
    <w:rsid w:val="00091419"/>
    <w:rsid w:val="00091740"/>
    <w:rsid w:val="00091CB3"/>
    <w:rsid w:val="000931C0"/>
    <w:rsid w:val="0009354A"/>
    <w:rsid w:val="00094D14"/>
    <w:rsid w:val="00097297"/>
    <w:rsid w:val="000A2236"/>
    <w:rsid w:val="000A25BA"/>
    <w:rsid w:val="000A35F2"/>
    <w:rsid w:val="000A3747"/>
    <w:rsid w:val="000A3A48"/>
    <w:rsid w:val="000A4C38"/>
    <w:rsid w:val="000B175B"/>
    <w:rsid w:val="000B3A0F"/>
    <w:rsid w:val="000B4919"/>
    <w:rsid w:val="000B49DC"/>
    <w:rsid w:val="000B55E5"/>
    <w:rsid w:val="000B7AF2"/>
    <w:rsid w:val="000B7D55"/>
    <w:rsid w:val="000C05C6"/>
    <w:rsid w:val="000C1ED8"/>
    <w:rsid w:val="000C5D4B"/>
    <w:rsid w:val="000C61D8"/>
    <w:rsid w:val="000C623B"/>
    <w:rsid w:val="000C717F"/>
    <w:rsid w:val="000D0B8F"/>
    <w:rsid w:val="000D1587"/>
    <w:rsid w:val="000D280C"/>
    <w:rsid w:val="000D2A50"/>
    <w:rsid w:val="000D481F"/>
    <w:rsid w:val="000D5FE3"/>
    <w:rsid w:val="000D6D97"/>
    <w:rsid w:val="000D759E"/>
    <w:rsid w:val="000D7830"/>
    <w:rsid w:val="000E0415"/>
    <w:rsid w:val="000E54D9"/>
    <w:rsid w:val="000F404F"/>
    <w:rsid w:val="000F50A2"/>
    <w:rsid w:val="000F52D6"/>
    <w:rsid w:val="000F6A20"/>
    <w:rsid w:val="000F73E4"/>
    <w:rsid w:val="000F78AF"/>
    <w:rsid w:val="00100142"/>
    <w:rsid w:val="001044DB"/>
    <w:rsid w:val="0010461A"/>
    <w:rsid w:val="00107652"/>
    <w:rsid w:val="00110EC5"/>
    <w:rsid w:val="00111DD6"/>
    <w:rsid w:val="00115303"/>
    <w:rsid w:val="00117787"/>
    <w:rsid w:val="00117D0D"/>
    <w:rsid w:val="00121EB7"/>
    <w:rsid w:val="00123DB3"/>
    <w:rsid w:val="00130BF0"/>
    <w:rsid w:val="00131B10"/>
    <w:rsid w:val="00131D42"/>
    <w:rsid w:val="00133637"/>
    <w:rsid w:val="00133C50"/>
    <w:rsid w:val="001406F4"/>
    <w:rsid w:val="00141FDE"/>
    <w:rsid w:val="001457FA"/>
    <w:rsid w:val="00152053"/>
    <w:rsid w:val="0015400C"/>
    <w:rsid w:val="001553A9"/>
    <w:rsid w:val="00161E15"/>
    <w:rsid w:val="00162E8B"/>
    <w:rsid w:val="001633FB"/>
    <w:rsid w:val="00163A1B"/>
    <w:rsid w:val="00165735"/>
    <w:rsid w:val="00167786"/>
    <w:rsid w:val="00173B3C"/>
    <w:rsid w:val="001760F4"/>
    <w:rsid w:val="00177652"/>
    <w:rsid w:val="00180A6A"/>
    <w:rsid w:val="00181019"/>
    <w:rsid w:val="001835BF"/>
    <w:rsid w:val="00184B86"/>
    <w:rsid w:val="00184FC8"/>
    <w:rsid w:val="001855B8"/>
    <w:rsid w:val="00190BD6"/>
    <w:rsid w:val="00192A20"/>
    <w:rsid w:val="00194674"/>
    <w:rsid w:val="001A02A4"/>
    <w:rsid w:val="001A3A37"/>
    <w:rsid w:val="001A7D61"/>
    <w:rsid w:val="001B35EE"/>
    <w:rsid w:val="001B4277"/>
    <w:rsid w:val="001B4B04"/>
    <w:rsid w:val="001B6B72"/>
    <w:rsid w:val="001C0D0B"/>
    <w:rsid w:val="001C3B32"/>
    <w:rsid w:val="001C429D"/>
    <w:rsid w:val="001C6663"/>
    <w:rsid w:val="001C7895"/>
    <w:rsid w:val="001D26DF"/>
    <w:rsid w:val="001D2FDC"/>
    <w:rsid w:val="001D3123"/>
    <w:rsid w:val="001D3A88"/>
    <w:rsid w:val="001D4B2D"/>
    <w:rsid w:val="001D4E70"/>
    <w:rsid w:val="001E29A7"/>
    <w:rsid w:val="001E797C"/>
    <w:rsid w:val="001E7A06"/>
    <w:rsid w:val="001F3EF5"/>
    <w:rsid w:val="001F4273"/>
    <w:rsid w:val="001F4FDD"/>
    <w:rsid w:val="001F5160"/>
    <w:rsid w:val="001F7E3C"/>
    <w:rsid w:val="00204B07"/>
    <w:rsid w:val="00210110"/>
    <w:rsid w:val="00210EB3"/>
    <w:rsid w:val="00211B12"/>
    <w:rsid w:val="00211E0B"/>
    <w:rsid w:val="0021481D"/>
    <w:rsid w:val="002153F8"/>
    <w:rsid w:val="00217BB8"/>
    <w:rsid w:val="00220070"/>
    <w:rsid w:val="00221589"/>
    <w:rsid w:val="00221AC2"/>
    <w:rsid w:val="00223E43"/>
    <w:rsid w:val="00224676"/>
    <w:rsid w:val="00224CD9"/>
    <w:rsid w:val="002254A7"/>
    <w:rsid w:val="002309A7"/>
    <w:rsid w:val="0023335C"/>
    <w:rsid w:val="00235381"/>
    <w:rsid w:val="00236BBD"/>
    <w:rsid w:val="00237785"/>
    <w:rsid w:val="00241178"/>
    <w:rsid w:val="00241466"/>
    <w:rsid w:val="0024267F"/>
    <w:rsid w:val="00242D99"/>
    <w:rsid w:val="002440E7"/>
    <w:rsid w:val="00247570"/>
    <w:rsid w:val="00252AF3"/>
    <w:rsid w:val="00253CD8"/>
    <w:rsid w:val="00257287"/>
    <w:rsid w:val="00257C1E"/>
    <w:rsid w:val="00261B71"/>
    <w:rsid w:val="00261E65"/>
    <w:rsid w:val="002621F5"/>
    <w:rsid w:val="00263C5F"/>
    <w:rsid w:val="0026623E"/>
    <w:rsid w:val="00266BDD"/>
    <w:rsid w:val="0027018D"/>
    <w:rsid w:val="002708B5"/>
    <w:rsid w:val="002725CA"/>
    <w:rsid w:val="00273A92"/>
    <w:rsid w:val="00274DD9"/>
    <w:rsid w:val="00276AD2"/>
    <w:rsid w:val="00277896"/>
    <w:rsid w:val="00280AB6"/>
    <w:rsid w:val="00280EB7"/>
    <w:rsid w:val="00282C5A"/>
    <w:rsid w:val="00282D44"/>
    <w:rsid w:val="00286532"/>
    <w:rsid w:val="00290A5E"/>
    <w:rsid w:val="0029596A"/>
    <w:rsid w:val="002974E6"/>
    <w:rsid w:val="002976CF"/>
    <w:rsid w:val="002A0BD2"/>
    <w:rsid w:val="002A56D0"/>
    <w:rsid w:val="002A5B17"/>
    <w:rsid w:val="002B067A"/>
    <w:rsid w:val="002B1514"/>
    <w:rsid w:val="002B15ED"/>
    <w:rsid w:val="002B1CDA"/>
    <w:rsid w:val="002B4530"/>
    <w:rsid w:val="002B49C4"/>
    <w:rsid w:val="002B7739"/>
    <w:rsid w:val="002C01A4"/>
    <w:rsid w:val="002C16CD"/>
    <w:rsid w:val="002C17B9"/>
    <w:rsid w:val="002C4402"/>
    <w:rsid w:val="002C7F25"/>
    <w:rsid w:val="002D328B"/>
    <w:rsid w:val="002D3956"/>
    <w:rsid w:val="002D3FC2"/>
    <w:rsid w:val="002D5A85"/>
    <w:rsid w:val="002D5C7D"/>
    <w:rsid w:val="002E2CD0"/>
    <w:rsid w:val="002E35BB"/>
    <w:rsid w:val="002E5936"/>
    <w:rsid w:val="002F0A0F"/>
    <w:rsid w:val="002F4395"/>
    <w:rsid w:val="002F68FD"/>
    <w:rsid w:val="00304656"/>
    <w:rsid w:val="00304AA3"/>
    <w:rsid w:val="00310073"/>
    <w:rsid w:val="003107FA"/>
    <w:rsid w:val="00311A8D"/>
    <w:rsid w:val="00315266"/>
    <w:rsid w:val="00315D73"/>
    <w:rsid w:val="00316FF9"/>
    <w:rsid w:val="00317681"/>
    <w:rsid w:val="0032121A"/>
    <w:rsid w:val="00321716"/>
    <w:rsid w:val="003224C3"/>
    <w:rsid w:val="003229D8"/>
    <w:rsid w:val="00322A8D"/>
    <w:rsid w:val="00327D0A"/>
    <w:rsid w:val="003312A7"/>
    <w:rsid w:val="003415E7"/>
    <w:rsid w:val="00341645"/>
    <w:rsid w:val="003517C3"/>
    <w:rsid w:val="00355502"/>
    <w:rsid w:val="00355A19"/>
    <w:rsid w:val="00356BC7"/>
    <w:rsid w:val="00356D69"/>
    <w:rsid w:val="00357A20"/>
    <w:rsid w:val="00362334"/>
    <w:rsid w:val="0036641E"/>
    <w:rsid w:val="00372F06"/>
    <w:rsid w:val="0037488D"/>
    <w:rsid w:val="003753C8"/>
    <w:rsid w:val="00376AD2"/>
    <w:rsid w:val="00380C4F"/>
    <w:rsid w:val="0038277A"/>
    <w:rsid w:val="00383045"/>
    <w:rsid w:val="00383EDD"/>
    <w:rsid w:val="00391647"/>
    <w:rsid w:val="003925FB"/>
    <w:rsid w:val="0039277A"/>
    <w:rsid w:val="00395751"/>
    <w:rsid w:val="00396A06"/>
    <w:rsid w:val="00396F6A"/>
    <w:rsid w:val="003972E0"/>
    <w:rsid w:val="003974A7"/>
    <w:rsid w:val="003A19C8"/>
    <w:rsid w:val="003A1EC2"/>
    <w:rsid w:val="003A27EB"/>
    <w:rsid w:val="003A28DC"/>
    <w:rsid w:val="003A52D7"/>
    <w:rsid w:val="003A5669"/>
    <w:rsid w:val="003A5A16"/>
    <w:rsid w:val="003B5C07"/>
    <w:rsid w:val="003B656D"/>
    <w:rsid w:val="003B7257"/>
    <w:rsid w:val="003C0657"/>
    <w:rsid w:val="003C0FEC"/>
    <w:rsid w:val="003C18C9"/>
    <w:rsid w:val="003C19B2"/>
    <w:rsid w:val="003C1C0B"/>
    <w:rsid w:val="003C2CC4"/>
    <w:rsid w:val="003C388D"/>
    <w:rsid w:val="003C655D"/>
    <w:rsid w:val="003C664B"/>
    <w:rsid w:val="003D4B23"/>
    <w:rsid w:val="003D7399"/>
    <w:rsid w:val="003E44F8"/>
    <w:rsid w:val="003E497C"/>
    <w:rsid w:val="003E77FA"/>
    <w:rsid w:val="003E7A8E"/>
    <w:rsid w:val="003F23A4"/>
    <w:rsid w:val="003F5B52"/>
    <w:rsid w:val="003F750C"/>
    <w:rsid w:val="00401DC1"/>
    <w:rsid w:val="00403EC6"/>
    <w:rsid w:val="00406CD4"/>
    <w:rsid w:val="004105A9"/>
    <w:rsid w:val="004110FA"/>
    <w:rsid w:val="00412406"/>
    <w:rsid w:val="00414400"/>
    <w:rsid w:val="00416028"/>
    <w:rsid w:val="0041F112"/>
    <w:rsid w:val="0042348E"/>
    <w:rsid w:val="004260D3"/>
    <w:rsid w:val="00426195"/>
    <w:rsid w:val="0042717A"/>
    <w:rsid w:val="00430051"/>
    <w:rsid w:val="00430086"/>
    <w:rsid w:val="00430918"/>
    <w:rsid w:val="004325CB"/>
    <w:rsid w:val="00435180"/>
    <w:rsid w:val="00437C4C"/>
    <w:rsid w:val="00437F3F"/>
    <w:rsid w:val="00440CA9"/>
    <w:rsid w:val="00442809"/>
    <w:rsid w:val="0044394F"/>
    <w:rsid w:val="00443E39"/>
    <w:rsid w:val="0044409E"/>
    <w:rsid w:val="00445985"/>
    <w:rsid w:val="00446DE4"/>
    <w:rsid w:val="00452D10"/>
    <w:rsid w:val="00454036"/>
    <w:rsid w:val="004553E9"/>
    <w:rsid w:val="004562AA"/>
    <w:rsid w:val="0046443A"/>
    <w:rsid w:val="004653B3"/>
    <w:rsid w:val="004654C4"/>
    <w:rsid w:val="00465B6F"/>
    <w:rsid w:val="0046668F"/>
    <w:rsid w:val="0046773D"/>
    <w:rsid w:val="0046788D"/>
    <w:rsid w:val="00480122"/>
    <w:rsid w:val="0048304D"/>
    <w:rsid w:val="004835C0"/>
    <w:rsid w:val="00484A9B"/>
    <w:rsid w:val="00487DE4"/>
    <w:rsid w:val="00492AF9"/>
    <w:rsid w:val="00494C77"/>
    <w:rsid w:val="00497711"/>
    <w:rsid w:val="004977CE"/>
    <w:rsid w:val="004A228D"/>
    <w:rsid w:val="004A413F"/>
    <w:rsid w:val="004A6958"/>
    <w:rsid w:val="004B0E8D"/>
    <w:rsid w:val="004B1E47"/>
    <w:rsid w:val="004B2C9D"/>
    <w:rsid w:val="004B5939"/>
    <w:rsid w:val="004B7389"/>
    <w:rsid w:val="004B73D6"/>
    <w:rsid w:val="004C39D0"/>
    <w:rsid w:val="004C4BE5"/>
    <w:rsid w:val="004C4F1A"/>
    <w:rsid w:val="004C571E"/>
    <w:rsid w:val="004C679C"/>
    <w:rsid w:val="004C6D6D"/>
    <w:rsid w:val="004C7E31"/>
    <w:rsid w:val="004D2234"/>
    <w:rsid w:val="004D3001"/>
    <w:rsid w:val="004D56A5"/>
    <w:rsid w:val="004E0C5D"/>
    <w:rsid w:val="004F1E93"/>
    <w:rsid w:val="004F2F21"/>
    <w:rsid w:val="004F3AC0"/>
    <w:rsid w:val="004F4240"/>
    <w:rsid w:val="004F77CD"/>
    <w:rsid w:val="005055BD"/>
    <w:rsid w:val="00507CF1"/>
    <w:rsid w:val="00514EDD"/>
    <w:rsid w:val="00522177"/>
    <w:rsid w:val="00526AF2"/>
    <w:rsid w:val="00527910"/>
    <w:rsid w:val="00530C66"/>
    <w:rsid w:val="00531ED6"/>
    <w:rsid w:val="005339FC"/>
    <w:rsid w:val="0054202F"/>
    <w:rsid w:val="005420F2"/>
    <w:rsid w:val="00542505"/>
    <w:rsid w:val="005475D4"/>
    <w:rsid w:val="00547C8B"/>
    <w:rsid w:val="005528FB"/>
    <w:rsid w:val="00555CDB"/>
    <w:rsid w:val="00561B6D"/>
    <w:rsid w:val="0056200D"/>
    <w:rsid w:val="00562D45"/>
    <w:rsid w:val="0056615B"/>
    <w:rsid w:val="00567DFB"/>
    <w:rsid w:val="00571721"/>
    <w:rsid w:val="00571DAA"/>
    <w:rsid w:val="005765B0"/>
    <w:rsid w:val="005779CC"/>
    <w:rsid w:val="0058129D"/>
    <w:rsid w:val="00584BB9"/>
    <w:rsid w:val="005869A6"/>
    <w:rsid w:val="00590144"/>
    <w:rsid w:val="005922C1"/>
    <w:rsid w:val="0059682C"/>
    <w:rsid w:val="005A3DE1"/>
    <w:rsid w:val="005A5ECE"/>
    <w:rsid w:val="005A64DD"/>
    <w:rsid w:val="005A7236"/>
    <w:rsid w:val="005B01CE"/>
    <w:rsid w:val="005B09F0"/>
    <w:rsid w:val="005B0CED"/>
    <w:rsid w:val="005B3DB3"/>
    <w:rsid w:val="005B528A"/>
    <w:rsid w:val="005B7CDD"/>
    <w:rsid w:val="005C06EE"/>
    <w:rsid w:val="005C4CB5"/>
    <w:rsid w:val="005D0C6C"/>
    <w:rsid w:val="005D0F42"/>
    <w:rsid w:val="005D1BB4"/>
    <w:rsid w:val="005D277F"/>
    <w:rsid w:val="005D602E"/>
    <w:rsid w:val="005E1B18"/>
    <w:rsid w:val="005E1CCD"/>
    <w:rsid w:val="005E47C9"/>
    <w:rsid w:val="005E5946"/>
    <w:rsid w:val="005E62F3"/>
    <w:rsid w:val="005F3597"/>
    <w:rsid w:val="005F3A39"/>
    <w:rsid w:val="005F5C2F"/>
    <w:rsid w:val="005F7BB1"/>
    <w:rsid w:val="00602490"/>
    <w:rsid w:val="00602A51"/>
    <w:rsid w:val="00603E3C"/>
    <w:rsid w:val="00604785"/>
    <w:rsid w:val="0060505C"/>
    <w:rsid w:val="00610576"/>
    <w:rsid w:val="00610740"/>
    <w:rsid w:val="00611167"/>
    <w:rsid w:val="00611FC4"/>
    <w:rsid w:val="00612812"/>
    <w:rsid w:val="006176FB"/>
    <w:rsid w:val="006179CB"/>
    <w:rsid w:val="006254FC"/>
    <w:rsid w:val="00626B06"/>
    <w:rsid w:val="006279AC"/>
    <w:rsid w:val="00630D9D"/>
    <w:rsid w:val="0063419C"/>
    <w:rsid w:val="00634545"/>
    <w:rsid w:val="00635381"/>
    <w:rsid w:val="00636677"/>
    <w:rsid w:val="00636986"/>
    <w:rsid w:val="00636F1E"/>
    <w:rsid w:val="00637542"/>
    <w:rsid w:val="00640B26"/>
    <w:rsid w:val="00641194"/>
    <w:rsid w:val="00645A0B"/>
    <w:rsid w:val="00646BF2"/>
    <w:rsid w:val="006500BA"/>
    <w:rsid w:val="006506DB"/>
    <w:rsid w:val="00661E21"/>
    <w:rsid w:val="00662121"/>
    <w:rsid w:val="00662E09"/>
    <w:rsid w:val="006648AD"/>
    <w:rsid w:val="0066648F"/>
    <w:rsid w:val="006700D0"/>
    <w:rsid w:val="00670CF0"/>
    <w:rsid w:val="00672B1E"/>
    <w:rsid w:val="00675F87"/>
    <w:rsid w:val="00687476"/>
    <w:rsid w:val="006875B2"/>
    <w:rsid w:val="00690CD6"/>
    <w:rsid w:val="00692C6F"/>
    <w:rsid w:val="0069438D"/>
    <w:rsid w:val="006950DB"/>
    <w:rsid w:val="00696D43"/>
    <w:rsid w:val="006A21BC"/>
    <w:rsid w:val="006A3932"/>
    <w:rsid w:val="006A42B2"/>
    <w:rsid w:val="006A4C67"/>
    <w:rsid w:val="006A63E3"/>
    <w:rsid w:val="006A7392"/>
    <w:rsid w:val="006B1C55"/>
    <w:rsid w:val="006B1D09"/>
    <w:rsid w:val="006B3391"/>
    <w:rsid w:val="006B35FF"/>
    <w:rsid w:val="006C000C"/>
    <w:rsid w:val="006C0D34"/>
    <w:rsid w:val="006C251B"/>
    <w:rsid w:val="006C2F7E"/>
    <w:rsid w:val="006C48EF"/>
    <w:rsid w:val="006C74C4"/>
    <w:rsid w:val="006D0C97"/>
    <w:rsid w:val="006D1E62"/>
    <w:rsid w:val="006D2639"/>
    <w:rsid w:val="006D3560"/>
    <w:rsid w:val="006D51B8"/>
    <w:rsid w:val="006D68FB"/>
    <w:rsid w:val="006E0B07"/>
    <w:rsid w:val="006E3B65"/>
    <w:rsid w:val="006E564B"/>
    <w:rsid w:val="006E599F"/>
    <w:rsid w:val="006E642F"/>
    <w:rsid w:val="006F027F"/>
    <w:rsid w:val="006F4C6A"/>
    <w:rsid w:val="007025C0"/>
    <w:rsid w:val="00707F04"/>
    <w:rsid w:val="00710842"/>
    <w:rsid w:val="00710F8C"/>
    <w:rsid w:val="00711637"/>
    <w:rsid w:val="00712344"/>
    <w:rsid w:val="00713EC5"/>
    <w:rsid w:val="007149A0"/>
    <w:rsid w:val="00714F4F"/>
    <w:rsid w:val="00716B23"/>
    <w:rsid w:val="0072632A"/>
    <w:rsid w:val="00730A3B"/>
    <w:rsid w:val="0073435C"/>
    <w:rsid w:val="00736E6A"/>
    <w:rsid w:val="00741F59"/>
    <w:rsid w:val="0074697D"/>
    <w:rsid w:val="00752E9E"/>
    <w:rsid w:val="00755EBE"/>
    <w:rsid w:val="007565BA"/>
    <w:rsid w:val="0075710E"/>
    <w:rsid w:val="00761619"/>
    <w:rsid w:val="0076177C"/>
    <w:rsid w:val="007626C8"/>
    <w:rsid w:val="00763C33"/>
    <w:rsid w:val="0076554F"/>
    <w:rsid w:val="00766322"/>
    <w:rsid w:val="00766FCA"/>
    <w:rsid w:val="007674BB"/>
    <w:rsid w:val="00767E6C"/>
    <w:rsid w:val="00770BCD"/>
    <w:rsid w:val="00771904"/>
    <w:rsid w:val="00773353"/>
    <w:rsid w:val="00774129"/>
    <w:rsid w:val="00774E8F"/>
    <w:rsid w:val="00774EAA"/>
    <w:rsid w:val="0078123B"/>
    <w:rsid w:val="007855F6"/>
    <w:rsid w:val="00786434"/>
    <w:rsid w:val="00786A9D"/>
    <w:rsid w:val="00790791"/>
    <w:rsid w:val="0079158D"/>
    <w:rsid w:val="00793AE5"/>
    <w:rsid w:val="00796F36"/>
    <w:rsid w:val="00797966"/>
    <w:rsid w:val="00797FDD"/>
    <w:rsid w:val="007A2C46"/>
    <w:rsid w:val="007A2CDB"/>
    <w:rsid w:val="007A6183"/>
    <w:rsid w:val="007A62EC"/>
    <w:rsid w:val="007B14CA"/>
    <w:rsid w:val="007B1A7E"/>
    <w:rsid w:val="007B2BA8"/>
    <w:rsid w:val="007B4FC4"/>
    <w:rsid w:val="007B6BA5"/>
    <w:rsid w:val="007B6BC7"/>
    <w:rsid w:val="007B77C8"/>
    <w:rsid w:val="007C2C0D"/>
    <w:rsid w:val="007C3162"/>
    <w:rsid w:val="007C3390"/>
    <w:rsid w:val="007C3D2F"/>
    <w:rsid w:val="007C4B64"/>
    <w:rsid w:val="007C4F4B"/>
    <w:rsid w:val="007C644D"/>
    <w:rsid w:val="007D201D"/>
    <w:rsid w:val="007D4ED7"/>
    <w:rsid w:val="007D7663"/>
    <w:rsid w:val="007D7BC6"/>
    <w:rsid w:val="007E0CE9"/>
    <w:rsid w:val="007E3C94"/>
    <w:rsid w:val="007E43AB"/>
    <w:rsid w:val="007E4BD3"/>
    <w:rsid w:val="007E5B96"/>
    <w:rsid w:val="007E5D7C"/>
    <w:rsid w:val="007F2A54"/>
    <w:rsid w:val="007F5104"/>
    <w:rsid w:val="007F5A3C"/>
    <w:rsid w:val="007F6611"/>
    <w:rsid w:val="00800024"/>
    <w:rsid w:val="008037A2"/>
    <w:rsid w:val="00810F2C"/>
    <w:rsid w:val="008137EF"/>
    <w:rsid w:val="00816582"/>
    <w:rsid w:val="00816AB6"/>
    <w:rsid w:val="008175E9"/>
    <w:rsid w:val="00817F98"/>
    <w:rsid w:val="0082016A"/>
    <w:rsid w:val="00820A2D"/>
    <w:rsid w:val="008242D7"/>
    <w:rsid w:val="00826C09"/>
    <w:rsid w:val="0083043E"/>
    <w:rsid w:val="0083069A"/>
    <w:rsid w:val="00832A1D"/>
    <w:rsid w:val="00834479"/>
    <w:rsid w:val="0083536D"/>
    <w:rsid w:val="00835396"/>
    <w:rsid w:val="008375A2"/>
    <w:rsid w:val="00837902"/>
    <w:rsid w:val="00840AD5"/>
    <w:rsid w:val="0084344A"/>
    <w:rsid w:val="00843561"/>
    <w:rsid w:val="00843AB2"/>
    <w:rsid w:val="00844EAB"/>
    <w:rsid w:val="00845B0C"/>
    <w:rsid w:val="00846809"/>
    <w:rsid w:val="00846AB0"/>
    <w:rsid w:val="0084737B"/>
    <w:rsid w:val="00857284"/>
    <w:rsid w:val="00860824"/>
    <w:rsid w:val="00860A81"/>
    <w:rsid w:val="0086107D"/>
    <w:rsid w:val="00861186"/>
    <w:rsid w:val="008620AE"/>
    <w:rsid w:val="00862BD5"/>
    <w:rsid w:val="00863D94"/>
    <w:rsid w:val="00864231"/>
    <w:rsid w:val="00864251"/>
    <w:rsid w:val="00867EC4"/>
    <w:rsid w:val="00871FD5"/>
    <w:rsid w:val="0087567B"/>
    <w:rsid w:val="00876A20"/>
    <w:rsid w:val="00881043"/>
    <w:rsid w:val="00881213"/>
    <w:rsid w:val="00884233"/>
    <w:rsid w:val="0088642C"/>
    <w:rsid w:val="00890B55"/>
    <w:rsid w:val="008916A5"/>
    <w:rsid w:val="008979B1"/>
    <w:rsid w:val="008A0B75"/>
    <w:rsid w:val="008A1542"/>
    <w:rsid w:val="008A1598"/>
    <w:rsid w:val="008A2EF9"/>
    <w:rsid w:val="008A6B25"/>
    <w:rsid w:val="008A6C4F"/>
    <w:rsid w:val="008A7679"/>
    <w:rsid w:val="008A7AB3"/>
    <w:rsid w:val="008B24BB"/>
    <w:rsid w:val="008B2FD9"/>
    <w:rsid w:val="008B309F"/>
    <w:rsid w:val="008B3A9A"/>
    <w:rsid w:val="008B3EC4"/>
    <w:rsid w:val="008B65FB"/>
    <w:rsid w:val="008C1810"/>
    <w:rsid w:val="008C3B3C"/>
    <w:rsid w:val="008C4283"/>
    <w:rsid w:val="008C5EA7"/>
    <w:rsid w:val="008C6F95"/>
    <w:rsid w:val="008C7192"/>
    <w:rsid w:val="008C74C3"/>
    <w:rsid w:val="008C7BF7"/>
    <w:rsid w:val="008D134F"/>
    <w:rsid w:val="008D3C75"/>
    <w:rsid w:val="008D6942"/>
    <w:rsid w:val="008E0E46"/>
    <w:rsid w:val="008E1DAE"/>
    <w:rsid w:val="008E295A"/>
    <w:rsid w:val="008F2D9A"/>
    <w:rsid w:val="008F44B8"/>
    <w:rsid w:val="008F483C"/>
    <w:rsid w:val="008F504A"/>
    <w:rsid w:val="008F6440"/>
    <w:rsid w:val="008F6689"/>
    <w:rsid w:val="00904EBC"/>
    <w:rsid w:val="00905376"/>
    <w:rsid w:val="00912806"/>
    <w:rsid w:val="00917870"/>
    <w:rsid w:val="00922DEF"/>
    <w:rsid w:val="00923019"/>
    <w:rsid w:val="00923160"/>
    <w:rsid w:val="00924B63"/>
    <w:rsid w:val="00926270"/>
    <w:rsid w:val="0092670F"/>
    <w:rsid w:val="009363B6"/>
    <w:rsid w:val="00940F46"/>
    <w:rsid w:val="00941B52"/>
    <w:rsid w:val="00941ECC"/>
    <w:rsid w:val="00942EA3"/>
    <w:rsid w:val="00945A5D"/>
    <w:rsid w:val="00946A0D"/>
    <w:rsid w:val="00950292"/>
    <w:rsid w:val="00955109"/>
    <w:rsid w:val="00955ECC"/>
    <w:rsid w:val="00963B67"/>
    <w:rsid w:val="00963CBA"/>
    <w:rsid w:val="0096556A"/>
    <w:rsid w:val="009701ED"/>
    <w:rsid w:val="00970463"/>
    <w:rsid w:val="009768AA"/>
    <w:rsid w:val="00976DEF"/>
    <w:rsid w:val="00983103"/>
    <w:rsid w:val="00983354"/>
    <w:rsid w:val="00983E1E"/>
    <w:rsid w:val="00984471"/>
    <w:rsid w:val="00985F37"/>
    <w:rsid w:val="009879EA"/>
    <w:rsid w:val="009908A5"/>
    <w:rsid w:val="0099124E"/>
    <w:rsid w:val="00991261"/>
    <w:rsid w:val="0099284F"/>
    <w:rsid w:val="00994B80"/>
    <w:rsid w:val="009953D5"/>
    <w:rsid w:val="009A1D29"/>
    <w:rsid w:val="009B2960"/>
    <w:rsid w:val="009B31F4"/>
    <w:rsid w:val="009B6FA9"/>
    <w:rsid w:val="009C1F06"/>
    <w:rsid w:val="009C1F78"/>
    <w:rsid w:val="009C4856"/>
    <w:rsid w:val="009C6394"/>
    <w:rsid w:val="009D0D97"/>
    <w:rsid w:val="009D0E2A"/>
    <w:rsid w:val="009D0F0E"/>
    <w:rsid w:val="009D1AAE"/>
    <w:rsid w:val="009D5536"/>
    <w:rsid w:val="009D634E"/>
    <w:rsid w:val="009D6B51"/>
    <w:rsid w:val="009D7635"/>
    <w:rsid w:val="009D7B35"/>
    <w:rsid w:val="009E1560"/>
    <w:rsid w:val="009E380E"/>
    <w:rsid w:val="009E3C0B"/>
    <w:rsid w:val="009E4A5F"/>
    <w:rsid w:val="009E7BEE"/>
    <w:rsid w:val="009F0F06"/>
    <w:rsid w:val="009F1735"/>
    <w:rsid w:val="009F4FC5"/>
    <w:rsid w:val="00A0219F"/>
    <w:rsid w:val="00A02513"/>
    <w:rsid w:val="00A04238"/>
    <w:rsid w:val="00A1427D"/>
    <w:rsid w:val="00A164EE"/>
    <w:rsid w:val="00A1699F"/>
    <w:rsid w:val="00A228AF"/>
    <w:rsid w:val="00A235F1"/>
    <w:rsid w:val="00A23C78"/>
    <w:rsid w:val="00A24B4B"/>
    <w:rsid w:val="00A25199"/>
    <w:rsid w:val="00A25DEC"/>
    <w:rsid w:val="00A31DBA"/>
    <w:rsid w:val="00A332DC"/>
    <w:rsid w:val="00A349AE"/>
    <w:rsid w:val="00A34B00"/>
    <w:rsid w:val="00A36529"/>
    <w:rsid w:val="00A365B1"/>
    <w:rsid w:val="00A3777A"/>
    <w:rsid w:val="00A44CB5"/>
    <w:rsid w:val="00A50077"/>
    <w:rsid w:val="00A54CA8"/>
    <w:rsid w:val="00A60196"/>
    <w:rsid w:val="00A606AC"/>
    <w:rsid w:val="00A6199C"/>
    <w:rsid w:val="00A622AF"/>
    <w:rsid w:val="00A62445"/>
    <w:rsid w:val="00A649E3"/>
    <w:rsid w:val="00A65F4A"/>
    <w:rsid w:val="00A66636"/>
    <w:rsid w:val="00A66CD9"/>
    <w:rsid w:val="00A72510"/>
    <w:rsid w:val="00A72F22"/>
    <w:rsid w:val="00A744D7"/>
    <w:rsid w:val="00A748A6"/>
    <w:rsid w:val="00A74A46"/>
    <w:rsid w:val="00A75EC9"/>
    <w:rsid w:val="00A77065"/>
    <w:rsid w:val="00A810D4"/>
    <w:rsid w:val="00A83538"/>
    <w:rsid w:val="00A83678"/>
    <w:rsid w:val="00A8523D"/>
    <w:rsid w:val="00A855F5"/>
    <w:rsid w:val="00A86C80"/>
    <w:rsid w:val="00A879A4"/>
    <w:rsid w:val="00A92D29"/>
    <w:rsid w:val="00A942AC"/>
    <w:rsid w:val="00AA1276"/>
    <w:rsid w:val="00AA1D9A"/>
    <w:rsid w:val="00AA2484"/>
    <w:rsid w:val="00AA2ED7"/>
    <w:rsid w:val="00AA32EB"/>
    <w:rsid w:val="00AB1BAF"/>
    <w:rsid w:val="00AB296A"/>
    <w:rsid w:val="00AB382F"/>
    <w:rsid w:val="00AB4CF1"/>
    <w:rsid w:val="00AB63FA"/>
    <w:rsid w:val="00AB7E9F"/>
    <w:rsid w:val="00AC3668"/>
    <w:rsid w:val="00AC7E57"/>
    <w:rsid w:val="00AD0555"/>
    <w:rsid w:val="00AD34EE"/>
    <w:rsid w:val="00AD5CD4"/>
    <w:rsid w:val="00AD7262"/>
    <w:rsid w:val="00AD7C88"/>
    <w:rsid w:val="00AE25D3"/>
    <w:rsid w:val="00AE45DE"/>
    <w:rsid w:val="00AE63E6"/>
    <w:rsid w:val="00AF0878"/>
    <w:rsid w:val="00AF26D2"/>
    <w:rsid w:val="00AF2F9D"/>
    <w:rsid w:val="00AF6710"/>
    <w:rsid w:val="00B013E6"/>
    <w:rsid w:val="00B01C3C"/>
    <w:rsid w:val="00B01E71"/>
    <w:rsid w:val="00B01EF2"/>
    <w:rsid w:val="00B03DF3"/>
    <w:rsid w:val="00B04D66"/>
    <w:rsid w:val="00B06D4D"/>
    <w:rsid w:val="00B10C19"/>
    <w:rsid w:val="00B1157C"/>
    <w:rsid w:val="00B1292B"/>
    <w:rsid w:val="00B1501F"/>
    <w:rsid w:val="00B1565D"/>
    <w:rsid w:val="00B22B5C"/>
    <w:rsid w:val="00B2301B"/>
    <w:rsid w:val="00B26710"/>
    <w:rsid w:val="00B26B3C"/>
    <w:rsid w:val="00B27ED7"/>
    <w:rsid w:val="00B28366"/>
    <w:rsid w:val="00B30179"/>
    <w:rsid w:val="00B313E8"/>
    <w:rsid w:val="00B32DD0"/>
    <w:rsid w:val="00B3317B"/>
    <w:rsid w:val="00B3578D"/>
    <w:rsid w:val="00B368D6"/>
    <w:rsid w:val="00B41384"/>
    <w:rsid w:val="00B4398E"/>
    <w:rsid w:val="00B447BE"/>
    <w:rsid w:val="00B47F37"/>
    <w:rsid w:val="00B50E39"/>
    <w:rsid w:val="00B5392B"/>
    <w:rsid w:val="00B62B4A"/>
    <w:rsid w:val="00B716C8"/>
    <w:rsid w:val="00B71E2B"/>
    <w:rsid w:val="00B73DA8"/>
    <w:rsid w:val="00B74F7C"/>
    <w:rsid w:val="00B758FC"/>
    <w:rsid w:val="00B75E05"/>
    <w:rsid w:val="00B8050A"/>
    <w:rsid w:val="00B81E12"/>
    <w:rsid w:val="00B84AAC"/>
    <w:rsid w:val="00B87186"/>
    <w:rsid w:val="00B908FC"/>
    <w:rsid w:val="00B90F54"/>
    <w:rsid w:val="00B91CC3"/>
    <w:rsid w:val="00B92A0C"/>
    <w:rsid w:val="00B93068"/>
    <w:rsid w:val="00B931A6"/>
    <w:rsid w:val="00B97036"/>
    <w:rsid w:val="00B97F1D"/>
    <w:rsid w:val="00BA5059"/>
    <w:rsid w:val="00BA62F0"/>
    <w:rsid w:val="00BB176D"/>
    <w:rsid w:val="00BB26DB"/>
    <w:rsid w:val="00BB28DD"/>
    <w:rsid w:val="00BB3B28"/>
    <w:rsid w:val="00BC0574"/>
    <w:rsid w:val="00BC1DEC"/>
    <w:rsid w:val="00BC74E9"/>
    <w:rsid w:val="00BD6FBB"/>
    <w:rsid w:val="00BE1FF8"/>
    <w:rsid w:val="00BE289D"/>
    <w:rsid w:val="00BE50CA"/>
    <w:rsid w:val="00BE618E"/>
    <w:rsid w:val="00BF1786"/>
    <w:rsid w:val="00BF57C3"/>
    <w:rsid w:val="00C025AF"/>
    <w:rsid w:val="00C0263F"/>
    <w:rsid w:val="00C03B44"/>
    <w:rsid w:val="00C10E79"/>
    <w:rsid w:val="00C11170"/>
    <w:rsid w:val="00C13A85"/>
    <w:rsid w:val="00C161E4"/>
    <w:rsid w:val="00C218A4"/>
    <w:rsid w:val="00C25BC6"/>
    <w:rsid w:val="00C2756F"/>
    <w:rsid w:val="00C323C9"/>
    <w:rsid w:val="00C326C2"/>
    <w:rsid w:val="00C332C2"/>
    <w:rsid w:val="00C34FFA"/>
    <w:rsid w:val="00C36D37"/>
    <w:rsid w:val="00C37FC8"/>
    <w:rsid w:val="00C45BF0"/>
    <w:rsid w:val="00C463DD"/>
    <w:rsid w:val="00C46D5B"/>
    <w:rsid w:val="00C50DDA"/>
    <w:rsid w:val="00C5156B"/>
    <w:rsid w:val="00C5189A"/>
    <w:rsid w:val="00C523D4"/>
    <w:rsid w:val="00C526E3"/>
    <w:rsid w:val="00C537D5"/>
    <w:rsid w:val="00C60B64"/>
    <w:rsid w:val="00C62F76"/>
    <w:rsid w:val="00C66D78"/>
    <w:rsid w:val="00C67A2F"/>
    <w:rsid w:val="00C745C3"/>
    <w:rsid w:val="00C77629"/>
    <w:rsid w:val="00C81212"/>
    <w:rsid w:val="00C82C96"/>
    <w:rsid w:val="00C84FF1"/>
    <w:rsid w:val="00C871F2"/>
    <w:rsid w:val="00C91180"/>
    <w:rsid w:val="00C93C11"/>
    <w:rsid w:val="00C96322"/>
    <w:rsid w:val="00C971F6"/>
    <w:rsid w:val="00CA049C"/>
    <w:rsid w:val="00CA04FB"/>
    <w:rsid w:val="00CA1BB6"/>
    <w:rsid w:val="00CA381C"/>
    <w:rsid w:val="00CA74D3"/>
    <w:rsid w:val="00CB2158"/>
    <w:rsid w:val="00CB2AE0"/>
    <w:rsid w:val="00CB6380"/>
    <w:rsid w:val="00CB708C"/>
    <w:rsid w:val="00CC255D"/>
    <w:rsid w:val="00CC4CA6"/>
    <w:rsid w:val="00CD0009"/>
    <w:rsid w:val="00CD30EE"/>
    <w:rsid w:val="00CD3225"/>
    <w:rsid w:val="00CD5AED"/>
    <w:rsid w:val="00CD5BEB"/>
    <w:rsid w:val="00CD6C27"/>
    <w:rsid w:val="00CD6C4E"/>
    <w:rsid w:val="00CD6FFE"/>
    <w:rsid w:val="00CE327F"/>
    <w:rsid w:val="00CE4083"/>
    <w:rsid w:val="00CE46BA"/>
    <w:rsid w:val="00CE4A8F"/>
    <w:rsid w:val="00CE551D"/>
    <w:rsid w:val="00CE5A6F"/>
    <w:rsid w:val="00CE75E0"/>
    <w:rsid w:val="00CF0871"/>
    <w:rsid w:val="00CF4205"/>
    <w:rsid w:val="00CF6F32"/>
    <w:rsid w:val="00CF778D"/>
    <w:rsid w:val="00D01787"/>
    <w:rsid w:val="00D0631B"/>
    <w:rsid w:val="00D065C6"/>
    <w:rsid w:val="00D06C3A"/>
    <w:rsid w:val="00D164BA"/>
    <w:rsid w:val="00D17FFD"/>
    <w:rsid w:val="00D2031B"/>
    <w:rsid w:val="00D2033E"/>
    <w:rsid w:val="00D2407B"/>
    <w:rsid w:val="00D25E8C"/>
    <w:rsid w:val="00D25FE2"/>
    <w:rsid w:val="00D26622"/>
    <w:rsid w:val="00D27714"/>
    <w:rsid w:val="00D27E89"/>
    <w:rsid w:val="00D37E80"/>
    <w:rsid w:val="00D43252"/>
    <w:rsid w:val="00D43AAC"/>
    <w:rsid w:val="00D4616E"/>
    <w:rsid w:val="00D46231"/>
    <w:rsid w:val="00D46568"/>
    <w:rsid w:val="00D46AE7"/>
    <w:rsid w:val="00D477C4"/>
    <w:rsid w:val="00D47A58"/>
    <w:rsid w:val="00D50B02"/>
    <w:rsid w:val="00D51087"/>
    <w:rsid w:val="00D51378"/>
    <w:rsid w:val="00D51FD4"/>
    <w:rsid w:val="00D5409C"/>
    <w:rsid w:val="00D56A99"/>
    <w:rsid w:val="00D57C13"/>
    <w:rsid w:val="00D57FD9"/>
    <w:rsid w:val="00D610C1"/>
    <w:rsid w:val="00D62650"/>
    <w:rsid w:val="00D64BF9"/>
    <w:rsid w:val="00D658FA"/>
    <w:rsid w:val="00D70F1F"/>
    <w:rsid w:val="00D730E3"/>
    <w:rsid w:val="00D739AE"/>
    <w:rsid w:val="00D753D8"/>
    <w:rsid w:val="00D76A70"/>
    <w:rsid w:val="00D77A1B"/>
    <w:rsid w:val="00D9274F"/>
    <w:rsid w:val="00D9282E"/>
    <w:rsid w:val="00D93C36"/>
    <w:rsid w:val="00D96248"/>
    <w:rsid w:val="00D96CC5"/>
    <w:rsid w:val="00D978C6"/>
    <w:rsid w:val="00D97B77"/>
    <w:rsid w:val="00DA0160"/>
    <w:rsid w:val="00DA62E3"/>
    <w:rsid w:val="00DA6620"/>
    <w:rsid w:val="00DA67AD"/>
    <w:rsid w:val="00DB272A"/>
    <w:rsid w:val="00DB3514"/>
    <w:rsid w:val="00DC2F1C"/>
    <w:rsid w:val="00DD0B71"/>
    <w:rsid w:val="00DD0E29"/>
    <w:rsid w:val="00DD3D27"/>
    <w:rsid w:val="00DD42A0"/>
    <w:rsid w:val="00DD6849"/>
    <w:rsid w:val="00DE236F"/>
    <w:rsid w:val="00DE3ECB"/>
    <w:rsid w:val="00DE4785"/>
    <w:rsid w:val="00DE7267"/>
    <w:rsid w:val="00DF0A4D"/>
    <w:rsid w:val="00DF2019"/>
    <w:rsid w:val="00DF3039"/>
    <w:rsid w:val="00DF3A04"/>
    <w:rsid w:val="00DF4518"/>
    <w:rsid w:val="00E00272"/>
    <w:rsid w:val="00E04108"/>
    <w:rsid w:val="00E07CE1"/>
    <w:rsid w:val="00E1105D"/>
    <w:rsid w:val="00E130AB"/>
    <w:rsid w:val="00E13CB9"/>
    <w:rsid w:val="00E141A9"/>
    <w:rsid w:val="00E1495C"/>
    <w:rsid w:val="00E15D26"/>
    <w:rsid w:val="00E1679E"/>
    <w:rsid w:val="00E1707A"/>
    <w:rsid w:val="00E20C50"/>
    <w:rsid w:val="00E22B67"/>
    <w:rsid w:val="00E239A0"/>
    <w:rsid w:val="00E268BA"/>
    <w:rsid w:val="00E33839"/>
    <w:rsid w:val="00E34E58"/>
    <w:rsid w:val="00E36838"/>
    <w:rsid w:val="00E36C10"/>
    <w:rsid w:val="00E40B76"/>
    <w:rsid w:val="00E42461"/>
    <w:rsid w:val="00E43050"/>
    <w:rsid w:val="00E4443D"/>
    <w:rsid w:val="00E4507C"/>
    <w:rsid w:val="00E473F1"/>
    <w:rsid w:val="00E51A2C"/>
    <w:rsid w:val="00E5271B"/>
    <w:rsid w:val="00E52EB0"/>
    <w:rsid w:val="00E54352"/>
    <w:rsid w:val="00E55D45"/>
    <w:rsid w:val="00E5644E"/>
    <w:rsid w:val="00E56863"/>
    <w:rsid w:val="00E5691C"/>
    <w:rsid w:val="00E569A3"/>
    <w:rsid w:val="00E56BAA"/>
    <w:rsid w:val="00E60681"/>
    <w:rsid w:val="00E607DC"/>
    <w:rsid w:val="00E61897"/>
    <w:rsid w:val="00E631BA"/>
    <w:rsid w:val="00E638E2"/>
    <w:rsid w:val="00E63DE8"/>
    <w:rsid w:val="00E6613A"/>
    <w:rsid w:val="00E66764"/>
    <w:rsid w:val="00E71F0F"/>
    <w:rsid w:val="00E7260F"/>
    <w:rsid w:val="00E730D8"/>
    <w:rsid w:val="00E77880"/>
    <w:rsid w:val="00E8090F"/>
    <w:rsid w:val="00E81230"/>
    <w:rsid w:val="00E81B98"/>
    <w:rsid w:val="00E83D46"/>
    <w:rsid w:val="00E8535A"/>
    <w:rsid w:val="00E862E5"/>
    <w:rsid w:val="00E864BE"/>
    <w:rsid w:val="00E90647"/>
    <w:rsid w:val="00E93458"/>
    <w:rsid w:val="00E96630"/>
    <w:rsid w:val="00EA0364"/>
    <w:rsid w:val="00EA48C4"/>
    <w:rsid w:val="00EA6533"/>
    <w:rsid w:val="00EA772F"/>
    <w:rsid w:val="00EB2AE3"/>
    <w:rsid w:val="00EB374E"/>
    <w:rsid w:val="00EB4C06"/>
    <w:rsid w:val="00EB51D5"/>
    <w:rsid w:val="00EB65EF"/>
    <w:rsid w:val="00EB66DE"/>
    <w:rsid w:val="00EB6832"/>
    <w:rsid w:val="00EB71BA"/>
    <w:rsid w:val="00EB798F"/>
    <w:rsid w:val="00EC12E9"/>
    <w:rsid w:val="00EC14E9"/>
    <w:rsid w:val="00EC271A"/>
    <w:rsid w:val="00EC755A"/>
    <w:rsid w:val="00ED1E0A"/>
    <w:rsid w:val="00ED3508"/>
    <w:rsid w:val="00ED3F6F"/>
    <w:rsid w:val="00ED7502"/>
    <w:rsid w:val="00ED7A2A"/>
    <w:rsid w:val="00EE22B5"/>
    <w:rsid w:val="00EE245D"/>
    <w:rsid w:val="00EE3269"/>
    <w:rsid w:val="00EE484D"/>
    <w:rsid w:val="00EE4D59"/>
    <w:rsid w:val="00EE73C3"/>
    <w:rsid w:val="00EE7D34"/>
    <w:rsid w:val="00EF17CD"/>
    <w:rsid w:val="00EF1D7F"/>
    <w:rsid w:val="00EF26F3"/>
    <w:rsid w:val="00EF4AAC"/>
    <w:rsid w:val="00EF5FA8"/>
    <w:rsid w:val="00EF69F5"/>
    <w:rsid w:val="00F013A2"/>
    <w:rsid w:val="00F01C57"/>
    <w:rsid w:val="00F03FA2"/>
    <w:rsid w:val="00F05283"/>
    <w:rsid w:val="00F07537"/>
    <w:rsid w:val="00F07E12"/>
    <w:rsid w:val="00F111C5"/>
    <w:rsid w:val="00F1200D"/>
    <w:rsid w:val="00F14C3A"/>
    <w:rsid w:val="00F16980"/>
    <w:rsid w:val="00F21B6F"/>
    <w:rsid w:val="00F222B6"/>
    <w:rsid w:val="00F259AF"/>
    <w:rsid w:val="00F30A8A"/>
    <w:rsid w:val="00F33ED7"/>
    <w:rsid w:val="00F34267"/>
    <w:rsid w:val="00F3574D"/>
    <w:rsid w:val="00F363DE"/>
    <w:rsid w:val="00F36AAE"/>
    <w:rsid w:val="00F375DC"/>
    <w:rsid w:val="00F40295"/>
    <w:rsid w:val="00F40783"/>
    <w:rsid w:val="00F40E75"/>
    <w:rsid w:val="00F412D3"/>
    <w:rsid w:val="00F44172"/>
    <w:rsid w:val="00F444E3"/>
    <w:rsid w:val="00F453C3"/>
    <w:rsid w:val="00F47657"/>
    <w:rsid w:val="00F50541"/>
    <w:rsid w:val="00F5087E"/>
    <w:rsid w:val="00F51BAB"/>
    <w:rsid w:val="00F535BE"/>
    <w:rsid w:val="00F54674"/>
    <w:rsid w:val="00F5776F"/>
    <w:rsid w:val="00F629FF"/>
    <w:rsid w:val="00F63FFB"/>
    <w:rsid w:val="00F64C95"/>
    <w:rsid w:val="00F658F5"/>
    <w:rsid w:val="00F66D55"/>
    <w:rsid w:val="00F73F05"/>
    <w:rsid w:val="00F74F19"/>
    <w:rsid w:val="00F75E96"/>
    <w:rsid w:val="00F76A73"/>
    <w:rsid w:val="00F77AC5"/>
    <w:rsid w:val="00F82708"/>
    <w:rsid w:val="00F92739"/>
    <w:rsid w:val="00F928DC"/>
    <w:rsid w:val="00F93C5A"/>
    <w:rsid w:val="00F94F57"/>
    <w:rsid w:val="00FA00A0"/>
    <w:rsid w:val="00FA0155"/>
    <w:rsid w:val="00FA2B9B"/>
    <w:rsid w:val="00FA3D6B"/>
    <w:rsid w:val="00FA3FB7"/>
    <w:rsid w:val="00FA78A8"/>
    <w:rsid w:val="00FB4910"/>
    <w:rsid w:val="00FB5A37"/>
    <w:rsid w:val="00FB7793"/>
    <w:rsid w:val="00FC0215"/>
    <w:rsid w:val="00FC18AA"/>
    <w:rsid w:val="00FC215C"/>
    <w:rsid w:val="00FC3B96"/>
    <w:rsid w:val="00FC68B7"/>
    <w:rsid w:val="00FC7CBB"/>
    <w:rsid w:val="00FD20DF"/>
    <w:rsid w:val="00FD3C5D"/>
    <w:rsid w:val="00FD3E70"/>
    <w:rsid w:val="00FD5CF7"/>
    <w:rsid w:val="00FD5FE7"/>
    <w:rsid w:val="00FD6B2B"/>
    <w:rsid w:val="00FE071A"/>
    <w:rsid w:val="00FE3EEA"/>
    <w:rsid w:val="00FF03BB"/>
    <w:rsid w:val="00FF071A"/>
    <w:rsid w:val="00FF0A2D"/>
    <w:rsid w:val="00FF0AA6"/>
    <w:rsid w:val="00FF1502"/>
    <w:rsid w:val="00FF3990"/>
    <w:rsid w:val="00FF4741"/>
    <w:rsid w:val="00FF51FB"/>
    <w:rsid w:val="00FF67F6"/>
    <w:rsid w:val="01316EAD"/>
    <w:rsid w:val="0162A5D5"/>
    <w:rsid w:val="0190EEBF"/>
    <w:rsid w:val="01CDF828"/>
    <w:rsid w:val="0202B05F"/>
    <w:rsid w:val="02247C48"/>
    <w:rsid w:val="0243FAB6"/>
    <w:rsid w:val="02606A09"/>
    <w:rsid w:val="028E68B6"/>
    <w:rsid w:val="02905CAD"/>
    <w:rsid w:val="02A063AD"/>
    <w:rsid w:val="031E13FF"/>
    <w:rsid w:val="0336D6BA"/>
    <w:rsid w:val="03373B37"/>
    <w:rsid w:val="034185A2"/>
    <w:rsid w:val="0351ED3E"/>
    <w:rsid w:val="038E81E5"/>
    <w:rsid w:val="03E6AE14"/>
    <w:rsid w:val="0422BBB8"/>
    <w:rsid w:val="044E48E3"/>
    <w:rsid w:val="0452AA94"/>
    <w:rsid w:val="047E0B88"/>
    <w:rsid w:val="04B76BEC"/>
    <w:rsid w:val="04DFF176"/>
    <w:rsid w:val="0539B9A9"/>
    <w:rsid w:val="0569AC83"/>
    <w:rsid w:val="057B9B78"/>
    <w:rsid w:val="057DE74A"/>
    <w:rsid w:val="05A503B7"/>
    <w:rsid w:val="05B602A6"/>
    <w:rsid w:val="05C4D552"/>
    <w:rsid w:val="061417D1"/>
    <w:rsid w:val="06229AB9"/>
    <w:rsid w:val="06324231"/>
    <w:rsid w:val="0633FD47"/>
    <w:rsid w:val="06426EAA"/>
    <w:rsid w:val="064BC9C4"/>
    <w:rsid w:val="0675743D"/>
    <w:rsid w:val="06A7A234"/>
    <w:rsid w:val="06C6DEE9"/>
    <w:rsid w:val="06E75C59"/>
    <w:rsid w:val="071D8350"/>
    <w:rsid w:val="0732E41B"/>
    <w:rsid w:val="07337FE4"/>
    <w:rsid w:val="0747AB7A"/>
    <w:rsid w:val="0759B547"/>
    <w:rsid w:val="07891DE4"/>
    <w:rsid w:val="079D2213"/>
    <w:rsid w:val="07BC84B2"/>
    <w:rsid w:val="07CA491C"/>
    <w:rsid w:val="07DF2BB8"/>
    <w:rsid w:val="0844667E"/>
    <w:rsid w:val="085BBEDE"/>
    <w:rsid w:val="085E2756"/>
    <w:rsid w:val="0864BF57"/>
    <w:rsid w:val="08947A3B"/>
    <w:rsid w:val="089CD044"/>
    <w:rsid w:val="08A0B5CD"/>
    <w:rsid w:val="08E923E0"/>
    <w:rsid w:val="09466656"/>
    <w:rsid w:val="098A6528"/>
    <w:rsid w:val="099DD1A4"/>
    <w:rsid w:val="09C49D70"/>
    <w:rsid w:val="09E41D9C"/>
    <w:rsid w:val="0A1F57A7"/>
    <w:rsid w:val="0A65E7DE"/>
    <w:rsid w:val="0A92D49A"/>
    <w:rsid w:val="0A94BBC5"/>
    <w:rsid w:val="0AEE58E0"/>
    <w:rsid w:val="0B183E1C"/>
    <w:rsid w:val="0B1BC55E"/>
    <w:rsid w:val="0B5B1A6F"/>
    <w:rsid w:val="0BEADCFC"/>
    <w:rsid w:val="0CB47E72"/>
    <w:rsid w:val="0CBCFDCF"/>
    <w:rsid w:val="0D82A02D"/>
    <w:rsid w:val="0D8E88D5"/>
    <w:rsid w:val="0D94D731"/>
    <w:rsid w:val="0DB5B83B"/>
    <w:rsid w:val="0E2720D9"/>
    <w:rsid w:val="0E29BF47"/>
    <w:rsid w:val="0E39D97D"/>
    <w:rsid w:val="0E41C7D1"/>
    <w:rsid w:val="0E9E4049"/>
    <w:rsid w:val="0E9F9B89"/>
    <w:rsid w:val="0EB006DB"/>
    <w:rsid w:val="0F174C64"/>
    <w:rsid w:val="0F2E7C83"/>
    <w:rsid w:val="0F325480"/>
    <w:rsid w:val="0F682CE8"/>
    <w:rsid w:val="0F766E7E"/>
    <w:rsid w:val="0F7AD9C3"/>
    <w:rsid w:val="0F8AD46C"/>
    <w:rsid w:val="0FBD2FBE"/>
    <w:rsid w:val="0FE53512"/>
    <w:rsid w:val="102300C8"/>
    <w:rsid w:val="103BD712"/>
    <w:rsid w:val="106AD0B3"/>
    <w:rsid w:val="1072A5E1"/>
    <w:rsid w:val="109796EA"/>
    <w:rsid w:val="1098949D"/>
    <w:rsid w:val="10ADB79F"/>
    <w:rsid w:val="10CBFB96"/>
    <w:rsid w:val="10D82DBC"/>
    <w:rsid w:val="11485103"/>
    <w:rsid w:val="116AC93B"/>
    <w:rsid w:val="11707B0E"/>
    <w:rsid w:val="117845A8"/>
    <w:rsid w:val="1181A65B"/>
    <w:rsid w:val="119A57E8"/>
    <w:rsid w:val="11B56276"/>
    <w:rsid w:val="11EAF26F"/>
    <w:rsid w:val="11EBABAA"/>
    <w:rsid w:val="120035B5"/>
    <w:rsid w:val="122BD018"/>
    <w:rsid w:val="124245D6"/>
    <w:rsid w:val="124783A6"/>
    <w:rsid w:val="124C497D"/>
    <w:rsid w:val="125A1E80"/>
    <w:rsid w:val="126D4FFA"/>
    <w:rsid w:val="12AF4219"/>
    <w:rsid w:val="12BAC2E3"/>
    <w:rsid w:val="1350F693"/>
    <w:rsid w:val="1369B94E"/>
    <w:rsid w:val="1383C975"/>
    <w:rsid w:val="1395CA0C"/>
    <w:rsid w:val="139A1D49"/>
    <w:rsid w:val="13AA3617"/>
    <w:rsid w:val="13D6D237"/>
    <w:rsid w:val="13E372BB"/>
    <w:rsid w:val="13EFFA94"/>
    <w:rsid w:val="142762B7"/>
    <w:rsid w:val="14BECA92"/>
    <w:rsid w:val="14C6C001"/>
    <w:rsid w:val="14FA7521"/>
    <w:rsid w:val="151C916B"/>
    <w:rsid w:val="152ADEFA"/>
    <w:rsid w:val="153B0C2F"/>
    <w:rsid w:val="1585D123"/>
    <w:rsid w:val="15B3EBF5"/>
    <w:rsid w:val="160D8769"/>
    <w:rsid w:val="162DB817"/>
    <w:rsid w:val="164104F3"/>
    <w:rsid w:val="165E7805"/>
    <w:rsid w:val="16662BE9"/>
    <w:rsid w:val="166E0275"/>
    <w:rsid w:val="16977547"/>
    <w:rsid w:val="16D44BDF"/>
    <w:rsid w:val="16EEADC4"/>
    <w:rsid w:val="170A5F9B"/>
    <w:rsid w:val="170CF58D"/>
    <w:rsid w:val="174DFB05"/>
    <w:rsid w:val="17818162"/>
    <w:rsid w:val="179E0B46"/>
    <w:rsid w:val="17CF64E0"/>
    <w:rsid w:val="17D87901"/>
    <w:rsid w:val="17EB30D1"/>
    <w:rsid w:val="18050CCE"/>
    <w:rsid w:val="181DD812"/>
    <w:rsid w:val="181E0D9D"/>
    <w:rsid w:val="182467B6"/>
    <w:rsid w:val="183EC99B"/>
    <w:rsid w:val="18B67FC4"/>
    <w:rsid w:val="1920C4FC"/>
    <w:rsid w:val="1938C6AB"/>
    <w:rsid w:val="19397CFA"/>
    <w:rsid w:val="194B9F6F"/>
    <w:rsid w:val="1950BED4"/>
    <w:rsid w:val="1991C2AF"/>
    <w:rsid w:val="19B1CC63"/>
    <w:rsid w:val="19CC4C4B"/>
    <w:rsid w:val="19CF4D11"/>
    <w:rsid w:val="19FF07E8"/>
    <w:rsid w:val="1A446354"/>
    <w:rsid w:val="1A6582FE"/>
    <w:rsid w:val="1A83E1E8"/>
    <w:rsid w:val="1A8B3605"/>
    <w:rsid w:val="1AF4F4C5"/>
    <w:rsid w:val="1B31E928"/>
    <w:rsid w:val="1B406F0E"/>
    <w:rsid w:val="1B736A6D"/>
    <w:rsid w:val="1BEF1C69"/>
    <w:rsid w:val="1BF93A79"/>
    <w:rsid w:val="1C09A58C"/>
    <w:rsid w:val="1C27B154"/>
    <w:rsid w:val="1C637A48"/>
    <w:rsid w:val="1C77B1B1"/>
    <w:rsid w:val="1C790A47"/>
    <w:rsid w:val="1C89D4BA"/>
    <w:rsid w:val="1D94E2E5"/>
    <w:rsid w:val="1DA02DC5"/>
    <w:rsid w:val="1DA875DD"/>
    <w:rsid w:val="1DB66404"/>
    <w:rsid w:val="1DDC8B2A"/>
    <w:rsid w:val="1E21EC12"/>
    <w:rsid w:val="1E48D604"/>
    <w:rsid w:val="1E5F2E6C"/>
    <w:rsid w:val="1E717770"/>
    <w:rsid w:val="1E74F75C"/>
    <w:rsid w:val="1EE12EC4"/>
    <w:rsid w:val="1FB06DA0"/>
    <w:rsid w:val="1FB5989F"/>
    <w:rsid w:val="1FB7CE46"/>
    <w:rsid w:val="1FD531D7"/>
    <w:rsid w:val="1FF38A0E"/>
    <w:rsid w:val="2047D7AF"/>
    <w:rsid w:val="205F6B7A"/>
    <w:rsid w:val="206B9278"/>
    <w:rsid w:val="209F9B38"/>
    <w:rsid w:val="20A8D28E"/>
    <w:rsid w:val="20C44837"/>
    <w:rsid w:val="20F1D15B"/>
    <w:rsid w:val="210E974F"/>
    <w:rsid w:val="210F734F"/>
    <w:rsid w:val="213E27BF"/>
    <w:rsid w:val="21671752"/>
    <w:rsid w:val="2182BB7B"/>
    <w:rsid w:val="2194020F"/>
    <w:rsid w:val="21A440C7"/>
    <w:rsid w:val="21C7B26A"/>
    <w:rsid w:val="21CA0DA5"/>
    <w:rsid w:val="2220F201"/>
    <w:rsid w:val="2237EBD1"/>
    <w:rsid w:val="2253E281"/>
    <w:rsid w:val="225C9F0F"/>
    <w:rsid w:val="2293F033"/>
    <w:rsid w:val="2294ED9F"/>
    <w:rsid w:val="22BDD65C"/>
    <w:rsid w:val="22ED9CE3"/>
    <w:rsid w:val="2345DEDC"/>
    <w:rsid w:val="234ADCE0"/>
    <w:rsid w:val="23801A81"/>
    <w:rsid w:val="238E5663"/>
    <w:rsid w:val="23AB152D"/>
    <w:rsid w:val="23D074B9"/>
    <w:rsid w:val="24175A73"/>
    <w:rsid w:val="2466A8BC"/>
    <w:rsid w:val="24850E87"/>
    <w:rsid w:val="2487435A"/>
    <w:rsid w:val="2487B48A"/>
    <w:rsid w:val="24887CB6"/>
    <w:rsid w:val="24965322"/>
    <w:rsid w:val="24E06B22"/>
    <w:rsid w:val="24E10B53"/>
    <w:rsid w:val="24F3437E"/>
    <w:rsid w:val="2559F165"/>
    <w:rsid w:val="256CBFD3"/>
    <w:rsid w:val="2575E9C4"/>
    <w:rsid w:val="25F67AE0"/>
    <w:rsid w:val="26383935"/>
    <w:rsid w:val="26759B7E"/>
    <w:rsid w:val="27040083"/>
    <w:rsid w:val="2716D6AE"/>
    <w:rsid w:val="2730D2F1"/>
    <w:rsid w:val="27476005"/>
    <w:rsid w:val="2755199F"/>
    <w:rsid w:val="27AB0E3B"/>
    <w:rsid w:val="27CD5C6C"/>
    <w:rsid w:val="281859B6"/>
    <w:rsid w:val="2819F6E5"/>
    <w:rsid w:val="2868B1D4"/>
    <w:rsid w:val="28859199"/>
    <w:rsid w:val="28BA6C5C"/>
    <w:rsid w:val="28EF922F"/>
    <w:rsid w:val="28FFB1C7"/>
    <w:rsid w:val="293CC593"/>
    <w:rsid w:val="297064FB"/>
    <w:rsid w:val="2973C6AF"/>
    <w:rsid w:val="297FBCC3"/>
    <w:rsid w:val="299B950C"/>
    <w:rsid w:val="29A8611B"/>
    <w:rsid w:val="29DDAFC2"/>
    <w:rsid w:val="29E6A531"/>
    <w:rsid w:val="2A2BF62F"/>
    <w:rsid w:val="2A3AFF0F"/>
    <w:rsid w:val="2AE5F757"/>
    <w:rsid w:val="2AED9944"/>
    <w:rsid w:val="2B00D9B7"/>
    <w:rsid w:val="2B14AEA5"/>
    <w:rsid w:val="2B844890"/>
    <w:rsid w:val="2B9AD6DA"/>
    <w:rsid w:val="2BC6597F"/>
    <w:rsid w:val="2C035E30"/>
    <w:rsid w:val="2C10268D"/>
    <w:rsid w:val="2C814C3E"/>
    <w:rsid w:val="2CBCB74E"/>
    <w:rsid w:val="2CD43E87"/>
    <w:rsid w:val="2CD896C9"/>
    <w:rsid w:val="2D1F4212"/>
    <w:rsid w:val="2D597015"/>
    <w:rsid w:val="2D5AE214"/>
    <w:rsid w:val="2DE92EB1"/>
    <w:rsid w:val="2E3DF992"/>
    <w:rsid w:val="2F06C7F8"/>
    <w:rsid w:val="2F5CE3EE"/>
    <w:rsid w:val="2FAEC9A9"/>
    <w:rsid w:val="30252A8D"/>
    <w:rsid w:val="303AF16B"/>
    <w:rsid w:val="30756FCB"/>
    <w:rsid w:val="307B1EC0"/>
    <w:rsid w:val="30C015AF"/>
    <w:rsid w:val="30DB410C"/>
    <w:rsid w:val="30DC409D"/>
    <w:rsid w:val="30FEB2AF"/>
    <w:rsid w:val="3104D9CD"/>
    <w:rsid w:val="310831EA"/>
    <w:rsid w:val="310AA706"/>
    <w:rsid w:val="31B771F5"/>
    <w:rsid w:val="31F8DA53"/>
    <w:rsid w:val="324AF61B"/>
    <w:rsid w:val="32890F3D"/>
    <w:rsid w:val="32A32337"/>
    <w:rsid w:val="32DA07C0"/>
    <w:rsid w:val="3317D2E8"/>
    <w:rsid w:val="331AB031"/>
    <w:rsid w:val="331E885E"/>
    <w:rsid w:val="3330FCBD"/>
    <w:rsid w:val="3343FDFC"/>
    <w:rsid w:val="342FAD21"/>
    <w:rsid w:val="3435B96F"/>
    <w:rsid w:val="347AB2E8"/>
    <w:rsid w:val="34A0CE46"/>
    <w:rsid w:val="35047676"/>
    <w:rsid w:val="3530E1F7"/>
    <w:rsid w:val="35480FDB"/>
    <w:rsid w:val="35844FF6"/>
    <w:rsid w:val="35AFE11F"/>
    <w:rsid w:val="35C05183"/>
    <w:rsid w:val="35ED4F05"/>
    <w:rsid w:val="365D5526"/>
    <w:rsid w:val="36EEF287"/>
    <w:rsid w:val="371995E3"/>
    <w:rsid w:val="372A55DE"/>
    <w:rsid w:val="372F575D"/>
    <w:rsid w:val="37674DE3"/>
    <w:rsid w:val="37E0D130"/>
    <w:rsid w:val="37ED7092"/>
    <w:rsid w:val="383DEA08"/>
    <w:rsid w:val="384394FD"/>
    <w:rsid w:val="3855D0B2"/>
    <w:rsid w:val="38569A58"/>
    <w:rsid w:val="38822E3F"/>
    <w:rsid w:val="3886A109"/>
    <w:rsid w:val="388C0B2D"/>
    <w:rsid w:val="38944478"/>
    <w:rsid w:val="38C96251"/>
    <w:rsid w:val="38D5D847"/>
    <w:rsid w:val="38F3FAB8"/>
    <w:rsid w:val="3901FB4C"/>
    <w:rsid w:val="39368A70"/>
    <w:rsid w:val="393A30C5"/>
    <w:rsid w:val="39531D5E"/>
    <w:rsid w:val="39B24361"/>
    <w:rsid w:val="3A42107D"/>
    <w:rsid w:val="3A7B978D"/>
    <w:rsid w:val="3AE43EAD"/>
    <w:rsid w:val="3AF17FF3"/>
    <w:rsid w:val="3B20E70B"/>
    <w:rsid w:val="3B2C3491"/>
    <w:rsid w:val="3B5E8450"/>
    <w:rsid w:val="3B60B9CD"/>
    <w:rsid w:val="3B8BD645"/>
    <w:rsid w:val="3B93EBBF"/>
    <w:rsid w:val="3BA85EC7"/>
    <w:rsid w:val="3C02A142"/>
    <w:rsid w:val="3C2B6A10"/>
    <w:rsid w:val="3C556E71"/>
    <w:rsid w:val="3CE55B34"/>
    <w:rsid w:val="3D1A0862"/>
    <w:rsid w:val="3D3A8426"/>
    <w:rsid w:val="3DB653F6"/>
    <w:rsid w:val="3DB89906"/>
    <w:rsid w:val="3DD2256B"/>
    <w:rsid w:val="3DE9C186"/>
    <w:rsid w:val="3E0AFD82"/>
    <w:rsid w:val="3E0DD539"/>
    <w:rsid w:val="3E141F89"/>
    <w:rsid w:val="3E8A6999"/>
    <w:rsid w:val="3ECA525A"/>
    <w:rsid w:val="3ECBFE5D"/>
    <w:rsid w:val="3EF436C1"/>
    <w:rsid w:val="3F2FD546"/>
    <w:rsid w:val="3F33D3FD"/>
    <w:rsid w:val="3F4780CC"/>
    <w:rsid w:val="3F6BFA4B"/>
    <w:rsid w:val="3F6E9F36"/>
    <w:rsid w:val="3FA0B282"/>
    <w:rsid w:val="3FC1B3FA"/>
    <w:rsid w:val="403876A0"/>
    <w:rsid w:val="404394C7"/>
    <w:rsid w:val="40486B44"/>
    <w:rsid w:val="405D3C35"/>
    <w:rsid w:val="4066E07B"/>
    <w:rsid w:val="4080A32A"/>
    <w:rsid w:val="40D59C0A"/>
    <w:rsid w:val="40F0809E"/>
    <w:rsid w:val="412DD7C2"/>
    <w:rsid w:val="4147DDF4"/>
    <w:rsid w:val="41B9F178"/>
    <w:rsid w:val="41CBCD96"/>
    <w:rsid w:val="41FA0225"/>
    <w:rsid w:val="4211EEA8"/>
    <w:rsid w:val="42542F1C"/>
    <w:rsid w:val="428A9DC1"/>
    <w:rsid w:val="42952A6F"/>
    <w:rsid w:val="42A23A47"/>
    <w:rsid w:val="42A299D7"/>
    <w:rsid w:val="42DE3CF9"/>
    <w:rsid w:val="4358A6FA"/>
    <w:rsid w:val="435FF550"/>
    <w:rsid w:val="438E0578"/>
    <w:rsid w:val="43B18181"/>
    <w:rsid w:val="43DC0BF3"/>
    <w:rsid w:val="441BA809"/>
    <w:rsid w:val="4427BB8C"/>
    <w:rsid w:val="443352A4"/>
    <w:rsid w:val="44354DBB"/>
    <w:rsid w:val="446AB496"/>
    <w:rsid w:val="44AC0DA2"/>
    <w:rsid w:val="44CCC946"/>
    <w:rsid w:val="44E8C6E9"/>
    <w:rsid w:val="4501CF04"/>
    <w:rsid w:val="4524821B"/>
    <w:rsid w:val="452F5FA7"/>
    <w:rsid w:val="454DC21C"/>
    <w:rsid w:val="455A1058"/>
    <w:rsid w:val="455CBA45"/>
    <w:rsid w:val="456BB472"/>
    <w:rsid w:val="45A5AA1F"/>
    <w:rsid w:val="45B9BE9C"/>
    <w:rsid w:val="45C0EEFA"/>
    <w:rsid w:val="45FB9D95"/>
    <w:rsid w:val="460EBB50"/>
    <w:rsid w:val="461283BC"/>
    <w:rsid w:val="46303EA5"/>
    <w:rsid w:val="4646349B"/>
    <w:rsid w:val="46984E5B"/>
    <w:rsid w:val="46D5EF2E"/>
    <w:rsid w:val="46DCB85C"/>
    <w:rsid w:val="47112BDC"/>
    <w:rsid w:val="47549AEA"/>
    <w:rsid w:val="47788296"/>
    <w:rsid w:val="47E65C87"/>
    <w:rsid w:val="47F41651"/>
    <w:rsid w:val="47FA143A"/>
    <w:rsid w:val="4814C062"/>
    <w:rsid w:val="481C4C55"/>
    <w:rsid w:val="48209805"/>
    <w:rsid w:val="4841680E"/>
    <w:rsid w:val="4865F36E"/>
    <w:rsid w:val="486AD6D3"/>
    <w:rsid w:val="487D0C89"/>
    <w:rsid w:val="48965F38"/>
    <w:rsid w:val="4906799E"/>
    <w:rsid w:val="492B9F4C"/>
    <w:rsid w:val="492E8C90"/>
    <w:rsid w:val="493808E2"/>
    <w:rsid w:val="494AD0A3"/>
    <w:rsid w:val="4A2DB351"/>
    <w:rsid w:val="4A4E4130"/>
    <w:rsid w:val="4A769BB7"/>
    <w:rsid w:val="4AF04D59"/>
    <w:rsid w:val="4B00C7F4"/>
    <w:rsid w:val="4B2363EA"/>
    <w:rsid w:val="4B37E2D5"/>
    <w:rsid w:val="4B787158"/>
    <w:rsid w:val="4B815AFD"/>
    <w:rsid w:val="4C1FE4AE"/>
    <w:rsid w:val="4CE460ED"/>
    <w:rsid w:val="4D2B382F"/>
    <w:rsid w:val="4D37F1EA"/>
    <w:rsid w:val="4D40E561"/>
    <w:rsid w:val="4D6939CD"/>
    <w:rsid w:val="4D76B723"/>
    <w:rsid w:val="4D96374F"/>
    <w:rsid w:val="4E86ECF8"/>
    <w:rsid w:val="4EDDBAFB"/>
    <w:rsid w:val="4F3168EE"/>
    <w:rsid w:val="4F34ED1A"/>
    <w:rsid w:val="4F426111"/>
    <w:rsid w:val="4F5F43C0"/>
    <w:rsid w:val="4F657AC3"/>
    <w:rsid w:val="4FD7B839"/>
    <w:rsid w:val="50087E0E"/>
    <w:rsid w:val="50523C6A"/>
    <w:rsid w:val="505FD384"/>
    <w:rsid w:val="50C00E84"/>
    <w:rsid w:val="50C10888"/>
    <w:rsid w:val="50C762A1"/>
    <w:rsid w:val="5102CDDB"/>
    <w:rsid w:val="512580C8"/>
    <w:rsid w:val="51273CC2"/>
    <w:rsid w:val="514B4E09"/>
    <w:rsid w:val="5168423A"/>
    <w:rsid w:val="516C33B1"/>
    <w:rsid w:val="518E19DC"/>
    <w:rsid w:val="51983514"/>
    <w:rsid w:val="51A7F134"/>
    <w:rsid w:val="51D055CA"/>
    <w:rsid w:val="51FD757D"/>
    <w:rsid w:val="5230A5DA"/>
    <w:rsid w:val="527569CE"/>
    <w:rsid w:val="52A64206"/>
    <w:rsid w:val="52AEE97D"/>
    <w:rsid w:val="52C9CA94"/>
    <w:rsid w:val="53024D2E"/>
    <w:rsid w:val="533CEE1F"/>
    <w:rsid w:val="537D86CC"/>
    <w:rsid w:val="538912E3"/>
    <w:rsid w:val="53C681EE"/>
    <w:rsid w:val="53F2FB48"/>
    <w:rsid w:val="541A0E3D"/>
    <w:rsid w:val="541ABB76"/>
    <w:rsid w:val="542D5713"/>
    <w:rsid w:val="5460DAE7"/>
    <w:rsid w:val="546A637F"/>
    <w:rsid w:val="5492CB72"/>
    <w:rsid w:val="54A3A178"/>
    <w:rsid w:val="54AE7C9B"/>
    <w:rsid w:val="54B98CA6"/>
    <w:rsid w:val="5540FFFE"/>
    <w:rsid w:val="55677C29"/>
    <w:rsid w:val="5579A9AC"/>
    <w:rsid w:val="55A6198E"/>
    <w:rsid w:val="55AAC1CA"/>
    <w:rsid w:val="55B52A16"/>
    <w:rsid w:val="55D1A0BD"/>
    <w:rsid w:val="560706B9"/>
    <w:rsid w:val="5607F745"/>
    <w:rsid w:val="5619D527"/>
    <w:rsid w:val="5666B531"/>
    <w:rsid w:val="5691E523"/>
    <w:rsid w:val="569F9EBD"/>
    <w:rsid w:val="56E35C24"/>
    <w:rsid w:val="56E3B4E6"/>
    <w:rsid w:val="56E9AF69"/>
    <w:rsid w:val="571E295A"/>
    <w:rsid w:val="573BBD4A"/>
    <w:rsid w:val="574940BD"/>
    <w:rsid w:val="57BBA1BA"/>
    <w:rsid w:val="57C90EED"/>
    <w:rsid w:val="58195E17"/>
    <w:rsid w:val="582A16BC"/>
    <w:rsid w:val="58464544"/>
    <w:rsid w:val="5871BAEC"/>
    <w:rsid w:val="58AFC294"/>
    <w:rsid w:val="58BE6C90"/>
    <w:rsid w:val="58C4BAEC"/>
    <w:rsid w:val="5908F88B"/>
    <w:rsid w:val="5910E9C6"/>
    <w:rsid w:val="5915E241"/>
    <w:rsid w:val="59263DD4"/>
    <w:rsid w:val="59586655"/>
    <w:rsid w:val="596E2428"/>
    <w:rsid w:val="5977A4B9"/>
    <w:rsid w:val="5988592F"/>
    <w:rsid w:val="59E4B118"/>
    <w:rsid w:val="59EB96C2"/>
    <w:rsid w:val="59F73959"/>
    <w:rsid w:val="5A044A50"/>
    <w:rsid w:val="5A0DE55C"/>
    <w:rsid w:val="5A15EE8D"/>
    <w:rsid w:val="5A19B799"/>
    <w:rsid w:val="5A681DC9"/>
    <w:rsid w:val="5A869863"/>
    <w:rsid w:val="5AA2837F"/>
    <w:rsid w:val="5AD3E084"/>
    <w:rsid w:val="5ADF11DE"/>
    <w:rsid w:val="5AE61875"/>
    <w:rsid w:val="5BC0F074"/>
    <w:rsid w:val="5BD8B710"/>
    <w:rsid w:val="5C13BDA3"/>
    <w:rsid w:val="5C32774D"/>
    <w:rsid w:val="5C6202D3"/>
    <w:rsid w:val="5C940201"/>
    <w:rsid w:val="5CB5721D"/>
    <w:rsid w:val="5CC3F505"/>
    <w:rsid w:val="5CEE2625"/>
    <w:rsid w:val="5CF0626B"/>
    <w:rsid w:val="5D66CA9C"/>
    <w:rsid w:val="5DD0A1C7"/>
    <w:rsid w:val="5E0265CB"/>
    <w:rsid w:val="5E16F592"/>
    <w:rsid w:val="5F007EF2"/>
    <w:rsid w:val="5F127A07"/>
    <w:rsid w:val="5F1A4EA7"/>
    <w:rsid w:val="5F524ED1"/>
    <w:rsid w:val="5F67441A"/>
    <w:rsid w:val="5F997B67"/>
    <w:rsid w:val="5FD4BA8C"/>
    <w:rsid w:val="5FD721D7"/>
    <w:rsid w:val="60144321"/>
    <w:rsid w:val="60438336"/>
    <w:rsid w:val="60701AE9"/>
    <w:rsid w:val="607AD504"/>
    <w:rsid w:val="6084EC2D"/>
    <w:rsid w:val="6088DD0C"/>
    <w:rsid w:val="60C4C7C5"/>
    <w:rsid w:val="60F28DD5"/>
    <w:rsid w:val="613BB728"/>
    <w:rsid w:val="61426543"/>
    <w:rsid w:val="615A8F90"/>
    <w:rsid w:val="61CAF61F"/>
    <w:rsid w:val="61FA87FD"/>
    <w:rsid w:val="6269D6CA"/>
    <w:rsid w:val="627B81B1"/>
    <w:rsid w:val="62CE4F0A"/>
    <w:rsid w:val="62D0FB66"/>
    <w:rsid w:val="62F1F37E"/>
    <w:rsid w:val="631B00AE"/>
    <w:rsid w:val="6327F775"/>
    <w:rsid w:val="6339C24E"/>
    <w:rsid w:val="63628753"/>
    <w:rsid w:val="637494EA"/>
    <w:rsid w:val="637EB80C"/>
    <w:rsid w:val="6395AACE"/>
    <w:rsid w:val="639AE5F2"/>
    <w:rsid w:val="63C17A85"/>
    <w:rsid w:val="63C9353A"/>
    <w:rsid w:val="63D2035B"/>
    <w:rsid w:val="63D95B5B"/>
    <w:rsid w:val="63FCE712"/>
    <w:rsid w:val="641A796A"/>
    <w:rsid w:val="642117E3"/>
    <w:rsid w:val="64282B00"/>
    <w:rsid w:val="6446331C"/>
    <w:rsid w:val="6452D8C1"/>
    <w:rsid w:val="6454B4AD"/>
    <w:rsid w:val="6474412D"/>
    <w:rsid w:val="647FEDC9"/>
    <w:rsid w:val="649BA4B7"/>
    <w:rsid w:val="64BB261A"/>
    <w:rsid w:val="64D02A1D"/>
    <w:rsid w:val="65035A7A"/>
    <w:rsid w:val="65182522"/>
    <w:rsid w:val="651DE39D"/>
    <w:rsid w:val="656F1D35"/>
    <w:rsid w:val="657D3516"/>
    <w:rsid w:val="65E4DAE4"/>
    <w:rsid w:val="66058B25"/>
    <w:rsid w:val="66170365"/>
    <w:rsid w:val="6629D1D3"/>
    <w:rsid w:val="6639473D"/>
    <w:rsid w:val="6655F77F"/>
    <w:rsid w:val="6659B189"/>
    <w:rsid w:val="668F4632"/>
    <w:rsid w:val="668FC8C1"/>
    <w:rsid w:val="66A14B52"/>
    <w:rsid w:val="66F070FC"/>
    <w:rsid w:val="672A76CA"/>
    <w:rsid w:val="676FA33F"/>
    <w:rsid w:val="67DE78F1"/>
    <w:rsid w:val="6800D5DC"/>
    <w:rsid w:val="68486CD5"/>
    <w:rsid w:val="6858AB8D"/>
    <w:rsid w:val="6869C4C9"/>
    <w:rsid w:val="68A39260"/>
    <w:rsid w:val="68ABF269"/>
    <w:rsid w:val="6928C884"/>
    <w:rsid w:val="692E511C"/>
    <w:rsid w:val="6990CDF7"/>
    <w:rsid w:val="69BAD621"/>
    <w:rsid w:val="69DE1618"/>
    <w:rsid w:val="69F250DF"/>
    <w:rsid w:val="6A28A5E2"/>
    <w:rsid w:val="6A34B818"/>
    <w:rsid w:val="6A3C72CD"/>
    <w:rsid w:val="6A484FD4"/>
    <w:rsid w:val="6A4C908B"/>
    <w:rsid w:val="6A5C1886"/>
    <w:rsid w:val="6AB97DBF"/>
    <w:rsid w:val="6AC0398D"/>
    <w:rsid w:val="6ADAAC85"/>
    <w:rsid w:val="6AE148AA"/>
    <w:rsid w:val="6B006B84"/>
    <w:rsid w:val="6B5341EB"/>
    <w:rsid w:val="6B5A2DF5"/>
    <w:rsid w:val="6B6CDA82"/>
    <w:rsid w:val="6B6F4EA2"/>
    <w:rsid w:val="6BC6A386"/>
    <w:rsid w:val="6BDE9C22"/>
    <w:rsid w:val="6C060CEB"/>
    <w:rsid w:val="6C2E3F27"/>
    <w:rsid w:val="6C39DE23"/>
    <w:rsid w:val="6CAFAB03"/>
    <w:rsid w:val="6CB75659"/>
    <w:rsid w:val="6CB99CCB"/>
    <w:rsid w:val="6CE65E26"/>
    <w:rsid w:val="6CF9795D"/>
    <w:rsid w:val="6D0E07B8"/>
    <w:rsid w:val="6D1821FA"/>
    <w:rsid w:val="6D467E95"/>
    <w:rsid w:val="6D488F6E"/>
    <w:rsid w:val="6D96893D"/>
    <w:rsid w:val="6D9918F3"/>
    <w:rsid w:val="6DB24BE8"/>
    <w:rsid w:val="6E0DFD37"/>
    <w:rsid w:val="6E3681E7"/>
    <w:rsid w:val="6E7E23A2"/>
    <w:rsid w:val="6ED1088C"/>
    <w:rsid w:val="6F2FFBBE"/>
    <w:rsid w:val="6F40EBB0"/>
    <w:rsid w:val="6F42A5D3"/>
    <w:rsid w:val="6F70B351"/>
    <w:rsid w:val="6FB3EA41"/>
    <w:rsid w:val="70001A13"/>
    <w:rsid w:val="702B5F4B"/>
    <w:rsid w:val="70BB4FD4"/>
    <w:rsid w:val="71459DF9"/>
    <w:rsid w:val="71B4B6E8"/>
    <w:rsid w:val="71E5A668"/>
    <w:rsid w:val="71F0F534"/>
    <w:rsid w:val="71FA6E67"/>
    <w:rsid w:val="7207B7C7"/>
    <w:rsid w:val="721958FC"/>
    <w:rsid w:val="7225E965"/>
    <w:rsid w:val="72681A82"/>
    <w:rsid w:val="727A1743"/>
    <w:rsid w:val="727CE574"/>
    <w:rsid w:val="7296F7E2"/>
    <w:rsid w:val="72CB61F1"/>
    <w:rsid w:val="72E018E6"/>
    <w:rsid w:val="72FC6C41"/>
    <w:rsid w:val="730426F6"/>
    <w:rsid w:val="73286DA4"/>
    <w:rsid w:val="7362C10F"/>
    <w:rsid w:val="736D6493"/>
    <w:rsid w:val="739CF1CB"/>
    <w:rsid w:val="73B41B6A"/>
    <w:rsid w:val="73F2591E"/>
    <w:rsid w:val="7405A25E"/>
    <w:rsid w:val="74244FF3"/>
    <w:rsid w:val="744D5BFE"/>
    <w:rsid w:val="7477C9CA"/>
    <w:rsid w:val="747952C9"/>
    <w:rsid w:val="747D4ED8"/>
    <w:rsid w:val="74CAC318"/>
    <w:rsid w:val="74DED1C0"/>
    <w:rsid w:val="74ED9108"/>
    <w:rsid w:val="751D83A0"/>
    <w:rsid w:val="752F420A"/>
    <w:rsid w:val="755C3F8C"/>
    <w:rsid w:val="760F9FA4"/>
    <w:rsid w:val="7660C192"/>
    <w:rsid w:val="769072DA"/>
    <w:rsid w:val="76942F25"/>
    <w:rsid w:val="776F6133"/>
    <w:rsid w:val="77791301"/>
    <w:rsid w:val="778BED2C"/>
    <w:rsid w:val="77BEB7D5"/>
    <w:rsid w:val="77ECCEFF"/>
    <w:rsid w:val="77EE0A46"/>
    <w:rsid w:val="77F5B77F"/>
    <w:rsid w:val="780FEB3A"/>
    <w:rsid w:val="78378645"/>
    <w:rsid w:val="783E4600"/>
    <w:rsid w:val="7894825E"/>
    <w:rsid w:val="78AC390D"/>
    <w:rsid w:val="78D00B63"/>
    <w:rsid w:val="78E62D26"/>
    <w:rsid w:val="78F4CBBE"/>
    <w:rsid w:val="79050A76"/>
    <w:rsid w:val="79620BA2"/>
    <w:rsid w:val="7976AD4E"/>
    <w:rsid w:val="79ACC961"/>
    <w:rsid w:val="79BF5921"/>
    <w:rsid w:val="79D03B35"/>
    <w:rsid w:val="79DA07D4"/>
    <w:rsid w:val="79EFCEB4"/>
    <w:rsid w:val="79FB81CA"/>
    <w:rsid w:val="7A09A274"/>
    <w:rsid w:val="7A49DFC3"/>
    <w:rsid w:val="7A9B56C4"/>
    <w:rsid w:val="7AB121B4"/>
    <w:rsid w:val="7AD94AE9"/>
    <w:rsid w:val="7B5692B9"/>
    <w:rsid w:val="7B8F18BC"/>
    <w:rsid w:val="7BB3923B"/>
    <w:rsid w:val="7BB9E097"/>
    <w:rsid w:val="7BBD48A7"/>
    <w:rsid w:val="7BC8CB12"/>
    <w:rsid w:val="7BCBD296"/>
    <w:rsid w:val="7C7853DB"/>
    <w:rsid w:val="7CB5EAE2"/>
    <w:rsid w:val="7CED3DA4"/>
    <w:rsid w:val="7CEFA61C"/>
    <w:rsid w:val="7CF72E00"/>
    <w:rsid w:val="7D0D5572"/>
    <w:rsid w:val="7D4B00D5"/>
    <w:rsid w:val="7D83AB94"/>
    <w:rsid w:val="7DB830FA"/>
    <w:rsid w:val="7DFFD445"/>
    <w:rsid w:val="7E4EC0A3"/>
    <w:rsid w:val="7EA0DF0F"/>
    <w:rsid w:val="7F21EA18"/>
    <w:rsid w:val="7F461F88"/>
    <w:rsid w:val="7F742397"/>
    <w:rsid w:val="7F764535"/>
    <w:rsid w:val="7FD4D1AC"/>
    <w:rsid w:val="7FE618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BE1769"/>
  <w15:docId w15:val="{F74CF622-AAD0-4679-BF69-A033FF8D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7FA"/>
    <w:pPr>
      <w:suppressAutoHyphens/>
      <w:spacing w:line="240" w:lineRule="atLeast"/>
    </w:pPr>
    <w:rPr>
      <w:lang w:eastAsia="en-US"/>
    </w:rPr>
  </w:style>
  <w:style w:type="paragraph" w:styleId="Heading1">
    <w:name w:val="heading 1"/>
    <w:aliases w:val="Table_G"/>
    <w:basedOn w:val="SingleTxtG"/>
    <w:next w:val="SingleTxtG"/>
    <w:qFormat/>
    <w:rsid w:val="00A8523D"/>
    <w:pPr>
      <w:spacing w:after="0" w:line="240" w:lineRule="auto"/>
      <w:ind w:right="0"/>
      <w:jc w:val="left"/>
      <w:outlineLvl w:val="0"/>
    </w:pPr>
  </w:style>
  <w:style w:type="paragraph" w:styleId="Heading2">
    <w:name w:val="heading 2"/>
    <w:aliases w:val="GHS Chapter Heading"/>
    <w:basedOn w:val="Normal"/>
    <w:next w:val="Normal"/>
    <w:link w:val="Heading2Char"/>
    <w:qFormat/>
    <w:rsid w:val="00A8523D"/>
    <w:pPr>
      <w:spacing w:line="240" w:lineRule="auto"/>
      <w:outlineLvl w:val="1"/>
    </w:pPr>
  </w:style>
  <w:style w:type="paragraph" w:styleId="Heading3">
    <w:name w:val="heading 3"/>
    <w:basedOn w:val="Normal"/>
    <w:next w:val="Normal"/>
    <w:link w:val="Heading3Char"/>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A8523D"/>
    <w:pPr>
      <w:keepNext/>
      <w:keepLines/>
      <w:tabs>
        <w:tab w:val="right" w:pos="851"/>
      </w:tabs>
      <w:spacing w:before="360" w:after="240" w:line="300" w:lineRule="exact"/>
      <w:ind w:left="1134" w:right="1134" w:hanging="1134"/>
    </w:pPr>
    <w:rPr>
      <w:b/>
      <w:sz w:val="28"/>
      <w:lang w:val="x-none"/>
    </w:rPr>
  </w:style>
  <w:style w:type="paragraph" w:customStyle="1" w:styleId="SingleTxtG">
    <w:name w:val="_ Single Txt_G"/>
    <w:basedOn w:val="Normal"/>
    <w:link w:val="SingleTxtGChar"/>
    <w:qFormat/>
    <w:rsid w:val="00A8523D"/>
    <w:pPr>
      <w:spacing w:after="120"/>
      <w:ind w:left="1134" w:right="1134"/>
      <w:jc w:val="both"/>
    </w:pPr>
    <w:rPr>
      <w:lang w:val="x-none"/>
    </w:rPr>
  </w:style>
  <w:style w:type="character" w:styleId="PageNumber">
    <w:name w:val="page number"/>
    <w:aliases w:val="7_G"/>
    <w:uiPriority w:val="99"/>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link w:val="BodyTextChar"/>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Footnote Reference/"/>
    <w:qFormat/>
    <w:rsid w:val="00A8523D"/>
    <w:rPr>
      <w:rFonts w:ascii="Times New Roman" w:hAnsi="Times New Roman"/>
      <w:sz w:val="18"/>
      <w:vertAlign w:val="superscript"/>
    </w:rPr>
  </w:style>
  <w:style w:type="paragraph" w:styleId="FootnoteText">
    <w:name w:val="footnote text"/>
    <w:aliases w:val="5_G"/>
    <w:basedOn w:val="Normal"/>
    <w:link w:val="FootnoteTextChar"/>
    <w:qFormat/>
    <w:rsid w:val="00A8523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rsid w:val="00A8523D"/>
  </w:style>
  <w:style w:type="character" w:styleId="CommentReference">
    <w:name w:val="annotation reference"/>
    <w:uiPriority w:val="99"/>
    <w:rPr>
      <w:sz w:val="6"/>
    </w:rPr>
  </w:style>
  <w:style w:type="paragraph" w:styleId="CommentText">
    <w:name w:val="annotation text"/>
    <w:basedOn w:val="Normal"/>
    <w:link w:val="CommentTextChar"/>
    <w:uiPriority w:val="99"/>
    <w:rPr>
      <w:lang w:eastAsia="x-none"/>
    </w:rPr>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link w:val="H1GChar"/>
    <w:qFormat/>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semiHidden/>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A8523D"/>
    <w:pPr>
      <w:spacing w:line="240" w:lineRule="auto"/>
    </w:pPr>
    <w:rPr>
      <w:sz w:val="16"/>
    </w:rPr>
  </w:style>
  <w:style w:type="paragraph" w:styleId="Header">
    <w:name w:val="header"/>
    <w:aliases w:val="6_G"/>
    <w:basedOn w:val="Normal"/>
    <w:link w:val="HeaderChar"/>
    <w:uiPriority w:val="99"/>
    <w:rsid w:val="00A8523D"/>
    <w:pPr>
      <w:pBdr>
        <w:bottom w:val="single" w:sz="4" w:space="4" w:color="auto"/>
      </w:pBdr>
      <w:spacing w:line="240" w:lineRule="auto"/>
    </w:pPr>
    <w:rPr>
      <w:b/>
      <w:sz w:val="18"/>
    </w:rPr>
  </w:style>
  <w:style w:type="paragraph" w:styleId="BalloonText">
    <w:name w:val="Balloon Text"/>
    <w:basedOn w:val="Normal"/>
    <w:link w:val="BalloonTextChar"/>
    <w:uiPriority w:val="99"/>
    <w:rsid w:val="000216CC"/>
    <w:pPr>
      <w:spacing w:line="240" w:lineRule="auto"/>
    </w:pPr>
    <w:rPr>
      <w:rFonts w:ascii="Tahoma" w:hAnsi="Tahoma"/>
      <w:sz w:val="16"/>
      <w:szCs w:val="16"/>
      <w:lang w:val="x-none"/>
    </w:rPr>
  </w:style>
  <w:style w:type="character" w:customStyle="1" w:styleId="BalloonTextChar">
    <w:name w:val="Balloon Text Char"/>
    <w:link w:val="BalloonText"/>
    <w:uiPriority w:val="99"/>
    <w:rsid w:val="000216CC"/>
    <w:rPr>
      <w:rFonts w:ascii="Tahoma" w:hAnsi="Tahoma" w:cs="Tahoma"/>
      <w:sz w:val="16"/>
      <w:szCs w:val="16"/>
      <w:lang w:eastAsia="en-US"/>
    </w:rPr>
  </w:style>
  <w:style w:type="character" w:customStyle="1" w:styleId="HChGChar">
    <w:name w:val="_ H _Ch_G Char"/>
    <w:link w:val="HChG"/>
    <w:rsid w:val="006B1C55"/>
    <w:rPr>
      <w:b/>
      <w:sz w:val="28"/>
      <w:lang w:eastAsia="en-US"/>
    </w:rPr>
  </w:style>
  <w:style w:type="paragraph" w:styleId="ListParagraph">
    <w:name w:val="List Paragraph"/>
    <w:basedOn w:val="Normal"/>
    <w:uiPriority w:val="34"/>
    <w:qFormat/>
    <w:rsid w:val="006B1C55"/>
    <w:pPr>
      <w:suppressAutoHyphens w:val="0"/>
      <w:spacing w:line="240" w:lineRule="auto"/>
      <w:ind w:left="720"/>
      <w:jc w:val="both"/>
    </w:pPr>
    <w:rPr>
      <w:sz w:val="24"/>
      <w:szCs w:val="24"/>
      <w:lang w:val="en-US"/>
    </w:rPr>
  </w:style>
  <w:style w:type="paragraph" w:customStyle="1" w:styleId="Default">
    <w:name w:val="Default"/>
    <w:rsid w:val="00494C77"/>
    <w:pPr>
      <w:autoSpaceDE w:val="0"/>
      <w:autoSpaceDN w:val="0"/>
      <w:adjustRightInd w:val="0"/>
    </w:pPr>
    <w:rPr>
      <w:color w:val="000000"/>
      <w:sz w:val="24"/>
      <w:szCs w:val="24"/>
      <w:lang w:val="sv-SE" w:eastAsia="sv-SE"/>
    </w:rPr>
  </w:style>
  <w:style w:type="character" w:customStyle="1" w:styleId="SingleTxtGChar">
    <w:name w:val="_ Single Txt_G Char"/>
    <w:link w:val="SingleTxtG"/>
    <w:qFormat/>
    <w:locked/>
    <w:rsid w:val="00E34E58"/>
    <w:rPr>
      <w:lang w:eastAsia="en-US"/>
    </w:rPr>
  </w:style>
  <w:style w:type="character" w:customStyle="1" w:styleId="FootnoteTextChar">
    <w:name w:val="Footnote Text Char"/>
    <w:aliases w:val="5_G Char"/>
    <w:link w:val="FootnoteText"/>
    <w:rsid w:val="00E34E58"/>
    <w:rPr>
      <w:sz w:val="18"/>
      <w:lang w:eastAsia="en-US"/>
    </w:rPr>
  </w:style>
  <w:style w:type="paragraph" w:styleId="CommentSubject">
    <w:name w:val="annotation subject"/>
    <w:basedOn w:val="CommentText"/>
    <w:next w:val="CommentText"/>
    <w:link w:val="CommentSubjectChar"/>
    <w:uiPriority w:val="99"/>
    <w:rsid w:val="00115303"/>
    <w:rPr>
      <w:b/>
      <w:bCs/>
    </w:rPr>
  </w:style>
  <w:style w:type="character" w:customStyle="1" w:styleId="CommentTextChar">
    <w:name w:val="Comment Text Char"/>
    <w:link w:val="CommentText"/>
    <w:uiPriority w:val="99"/>
    <w:rsid w:val="00115303"/>
    <w:rPr>
      <w:lang w:val="en-GB"/>
    </w:rPr>
  </w:style>
  <w:style w:type="character" w:customStyle="1" w:styleId="CommentSubjectChar">
    <w:name w:val="Comment Subject Char"/>
    <w:link w:val="CommentSubject"/>
    <w:uiPriority w:val="99"/>
    <w:rsid w:val="00115303"/>
    <w:rPr>
      <w:b/>
      <w:bCs/>
      <w:lang w:val="en-GB"/>
    </w:rPr>
  </w:style>
  <w:style w:type="paragraph" w:customStyle="1" w:styleId="Listenabsatz1">
    <w:name w:val="Listenabsatz1"/>
    <w:basedOn w:val="Normal"/>
    <w:uiPriority w:val="99"/>
    <w:rsid w:val="008037A2"/>
    <w:pPr>
      <w:suppressAutoHyphens w:val="0"/>
      <w:spacing w:line="240" w:lineRule="auto"/>
      <w:ind w:left="720"/>
      <w:contextualSpacing/>
    </w:pPr>
    <w:rPr>
      <w:sz w:val="24"/>
      <w:szCs w:val="24"/>
      <w:lang w:eastAsia="en-GB"/>
    </w:rPr>
  </w:style>
  <w:style w:type="character" w:customStyle="1" w:styleId="Heading3Char">
    <w:name w:val="Heading 3 Char"/>
    <w:link w:val="Heading3"/>
    <w:rsid w:val="009D634E"/>
    <w:rPr>
      <w:lang w:eastAsia="en-US"/>
    </w:rPr>
  </w:style>
  <w:style w:type="paragraph" w:customStyle="1" w:styleId="GHSHeading4">
    <w:name w:val="GHSHeading4"/>
    <w:basedOn w:val="Normal"/>
    <w:rsid w:val="009D634E"/>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9D634E"/>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9D634E"/>
    <w:pPr>
      <w:suppressAutoHyphens w:val="0"/>
      <w:spacing w:line="240" w:lineRule="auto"/>
    </w:pPr>
    <w:rPr>
      <w:sz w:val="22"/>
      <w:szCs w:val="24"/>
    </w:rPr>
  </w:style>
  <w:style w:type="character" w:customStyle="1" w:styleId="xxnormaltextrun">
    <w:name w:val="x_xnormaltextrun"/>
    <w:rsid w:val="002F0A0F"/>
  </w:style>
  <w:style w:type="character" w:styleId="SmartLink">
    <w:name w:val="Smart Link"/>
    <w:uiPriority w:val="99"/>
    <w:semiHidden/>
    <w:unhideWhenUsed/>
    <w:rsid w:val="0024267F"/>
    <w:rPr>
      <w:color w:val="0000FF"/>
      <w:u w:val="single"/>
      <w:shd w:val="clear" w:color="auto" w:fill="F3F2F1"/>
    </w:rPr>
  </w:style>
  <w:style w:type="paragraph" w:customStyle="1" w:styleId="xxparagraph">
    <w:name w:val="x_xparagraph"/>
    <w:basedOn w:val="Normal"/>
    <w:uiPriority w:val="99"/>
    <w:rsid w:val="00D46568"/>
    <w:pPr>
      <w:suppressAutoHyphens w:val="0"/>
      <w:spacing w:before="100" w:beforeAutospacing="1" w:after="100" w:afterAutospacing="1" w:line="240" w:lineRule="auto"/>
    </w:pPr>
    <w:rPr>
      <w:rFonts w:eastAsia="DengXian"/>
      <w:sz w:val="24"/>
      <w:szCs w:val="24"/>
      <w:lang w:eastAsia="zh-CN"/>
    </w:rPr>
  </w:style>
  <w:style w:type="character" w:customStyle="1" w:styleId="normaltextrun">
    <w:name w:val="normaltextrun"/>
    <w:rsid w:val="00DD0E29"/>
  </w:style>
  <w:style w:type="character" w:customStyle="1" w:styleId="eop">
    <w:name w:val="eop"/>
    <w:rsid w:val="00DD0E29"/>
  </w:style>
  <w:style w:type="paragraph" w:customStyle="1" w:styleId="paragraph">
    <w:name w:val="paragraph"/>
    <w:basedOn w:val="Normal"/>
    <w:rsid w:val="30252A8D"/>
    <w:pPr>
      <w:spacing w:beforeAutospacing="1" w:afterAutospacing="1"/>
    </w:pPr>
    <w:rPr>
      <w:sz w:val="24"/>
      <w:szCs w:val="24"/>
    </w:rPr>
  </w:style>
  <w:style w:type="character" w:styleId="UnresolvedMention">
    <w:name w:val="Unresolved Mention"/>
    <w:basedOn w:val="DefaultParagraphFont"/>
    <w:uiPriority w:val="99"/>
    <w:unhideWhenUsed/>
    <w:rsid w:val="00857284"/>
    <w:rPr>
      <w:color w:val="605E5C"/>
      <w:shd w:val="clear" w:color="auto" w:fill="E1DFDD"/>
    </w:rPr>
  </w:style>
  <w:style w:type="character" w:customStyle="1" w:styleId="HeaderChar">
    <w:name w:val="Header Char"/>
    <w:aliases w:val="6_G Char"/>
    <w:basedOn w:val="DefaultParagraphFont"/>
    <w:link w:val="Header"/>
    <w:uiPriority w:val="99"/>
    <w:rsid w:val="008B2FD9"/>
    <w:rPr>
      <w:b/>
      <w:sz w:val="18"/>
      <w:lang w:eastAsia="en-US"/>
    </w:rPr>
  </w:style>
  <w:style w:type="character" w:customStyle="1" w:styleId="FooterChar">
    <w:name w:val="Footer Char"/>
    <w:aliases w:val="3_G Char"/>
    <w:basedOn w:val="DefaultParagraphFont"/>
    <w:link w:val="Footer"/>
    <w:uiPriority w:val="99"/>
    <w:rsid w:val="00A855F5"/>
    <w:rPr>
      <w:sz w:val="16"/>
      <w:lang w:eastAsia="en-US"/>
    </w:rPr>
  </w:style>
  <w:style w:type="character" w:customStyle="1" w:styleId="TitleChar">
    <w:name w:val="Title Char"/>
    <w:basedOn w:val="DefaultParagraphFont"/>
    <w:link w:val="Title"/>
    <w:uiPriority w:val="10"/>
    <w:rsid w:val="00A855F5"/>
    <w:rPr>
      <w:rFonts w:ascii="Arial" w:hAnsi="Arial" w:cs="Arial"/>
      <w:b/>
      <w:bCs/>
      <w:kern w:val="28"/>
      <w:sz w:val="32"/>
      <w:szCs w:val="32"/>
      <w:lang w:eastAsia="en-US"/>
    </w:rPr>
  </w:style>
  <w:style w:type="paragraph" w:styleId="Revision">
    <w:name w:val="Revision"/>
    <w:hidden/>
    <w:uiPriority w:val="99"/>
    <w:semiHidden/>
    <w:rsid w:val="00A855F5"/>
    <w:rPr>
      <w:rFonts w:asciiTheme="minorHAnsi" w:eastAsiaTheme="minorHAnsi" w:hAnsiTheme="minorHAnsi" w:cstheme="minorBidi"/>
      <w:sz w:val="24"/>
      <w:szCs w:val="24"/>
      <w:lang w:val="en-US" w:eastAsia="en-US"/>
    </w:rPr>
  </w:style>
  <w:style w:type="character" w:customStyle="1" w:styleId="UnresolvedMention1">
    <w:name w:val="Unresolved Mention1"/>
    <w:basedOn w:val="DefaultParagraphFont"/>
    <w:uiPriority w:val="99"/>
    <w:semiHidden/>
    <w:unhideWhenUsed/>
    <w:rsid w:val="00A855F5"/>
    <w:rPr>
      <w:color w:val="605E5C"/>
      <w:shd w:val="clear" w:color="auto" w:fill="E1DFDD"/>
    </w:rPr>
  </w:style>
  <w:style w:type="character" w:customStyle="1" w:styleId="apple-converted-space">
    <w:name w:val="apple-converted-space"/>
    <w:basedOn w:val="DefaultParagraphFont"/>
    <w:rsid w:val="00A855F5"/>
  </w:style>
  <w:style w:type="character" w:styleId="Mention">
    <w:name w:val="Mention"/>
    <w:basedOn w:val="DefaultParagraphFont"/>
    <w:uiPriority w:val="99"/>
    <w:unhideWhenUsed/>
    <w:rsid w:val="00A855F5"/>
    <w:rPr>
      <w:color w:val="2B579A"/>
      <w:shd w:val="clear" w:color="auto" w:fill="E1DFDD"/>
    </w:rPr>
  </w:style>
  <w:style w:type="character" w:customStyle="1" w:styleId="H1GChar">
    <w:name w:val="_ H_1_G Char"/>
    <w:link w:val="H1G"/>
    <w:rsid w:val="002A56D0"/>
    <w:rPr>
      <w:b/>
      <w:sz w:val="24"/>
      <w:lang w:eastAsia="en-US"/>
    </w:rPr>
  </w:style>
  <w:style w:type="paragraph" w:customStyle="1" w:styleId="GHSHeading3">
    <w:name w:val="GHSHeading3"/>
    <w:basedOn w:val="Heading3"/>
    <w:rsid w:val="00443E39"/>
    <w:pPr>
      <w:keepNext/>
      <w:tabs>
        <w:tab w:val="left" w:pos="1418"/>
      </w:tabs>
      <w:suppressAutoHyphens w:val="0"/>
      <w:autoSpaceDE w:val="0"/>
      <w:autoSpaceDN w:val="0"/>
      <w:adjustRightInd w:val="0"/>
    </w:pPr>
    <w:rPr>
      <w:b/>
      <w:bCs/>
      <w:color w:val="000000"/>
      <w:sz w:val="22"/>
      <w:szCs w:val="22"/>
      <w:lang w:eastAsia="fr-FR"/>
    </w:rPr>
  </w:style>
  <w:style w:type="paragraph" w:customStyle="1" w:styleId="GHS1stline">
    <w:name w:val="GHS_1st line"/>
    <w:basedOn w:val="Normal"/>
    <w:qFormat/>
    <w:rsid w:val="00443E39"/>
    <w:pPr>
      <w:tabs>
        <w:tab w:val="left" w:pos="1418"/>
        <w:tab w:val="left" w:pos="1985"/>
        <w:tab w:val="left" w:pos="2552"/>
        <w:tab w:val="left" w:pos="3119"/>
        <w:tab w:val="left" w:pos="3686"/>
      </w:tabs>
      <w:suppressAutoHyphens w:val="0"/>
      <w:autoSpaceDE w:val="0"/>
      <w:autoSpaceDN w:val="0"/>
      <w:adjustRightInd w:val="0"/>
      <w:spacing w:after="240" w:line="240" w:lineRule="auto"/>
      <w:ind w:firstLine="1418"/>
      <w:jc w:val="both"/>
    </w:pPr>
  </w:style>
  <w:style w:type="character" w:customStyle="1" w:styleId="Heading2Char">
    <w:name w:val="Heading 2 Char"/>
    <w:aliases w:val="GHS Chapter Heading Char"/>
    <w:basedOn w:val="DefaultParagraphFont"/>
    <w:link w:val="Heading2"/>
    <w:rsid w:val="00837902"/>
    <w:rPr>
      <w:lang w:eastAsia="en-US"/>
    </w:rPr>
  </w:style>
  <w:style w:type="character" w:customStyle="1" w:styleId="BodyTextChar">
    <w:name w:val="Body Text Char"/>
    <w:basedOn w:val="DefaultParagraphFont"/>
    <w:link w:val="BodyText"/>
    <w:rsid w:val="00837902"/>
    <w:rPr>
      <w:lang w:eastAsia="en-US"/>
    </w:rPr>
  </w:style>
  <w:style w:type="paragraph" w:customStyle="1" w:styleId="GHStext">
    <w:name w:val="GHS_text"/>
    <w:basedOn w:val="Normal"/>
    <w:link w:val="GHStextChar"/>
    <w:qFormat/>
    <w:rsid w:val="00837902"/>
    <w:pPr>
      <w:suppressAutoHyphens w:val="0"/>
      <w:spacing w:after="240" w:line="240" w:lineRule="auto"/>
      <w:jc w:val="both"/>
    </w:pPr>
    <w:rPr>
      <w:rFonts w:eastAsia="SimSun"/>
      <w:snapToGrid w:val="0"/>
      <w:color w:val="000000"/>
      <w:szCs w:val="22"/>
      <w:lang w:val="es-ES"/>
    </w:rPr>
  </w:style>
  <w:style w:type="character" w:customStyle="1" w:styleId="GHStextChar">
    <w:name w:val="GHS_text Char"/>
    <w:link w:val="GHStext"/>
    <w:rsid w:val="00837902"/>
    <w:rPr>
      <w:rFonts w:eastAsia="SimSun"/>
      <w:snapToGrid w:val="0"/>
      <w:color w:val="000000"/>
      <w:szCs w:val="22"/>
      <w:lang w:val="es-ES" w:eastAsia="en-US"/>
    </w:rPr>
  </w:style>
  <w:style w:type="paragraph" w:customStyle="1" w:styleId="StyleGHSHeading410pt">
    <w:name w:val="Style GHSHeading4 + 10 pt"/>
    <w:basedOn w:val="GHSHeading4"/>
    <w:rsid w:val="00837902"/>
    <w:pPr>
      <w:spacing w:after="240"/>
    </w:pPr>
    <w:rPr>
      <w:sz w:val="20"/>
    </w:rPr>
  </w:style>
  <w:style w:type="paragraph" w:customStyle="1" w:styleId="M1Sect">
    <w:name w:val="M1Sect"/>
    <w:basedOn w:val="Normal"/>
    <w:qFormat/>
    <w:rsid w:val="0083536D"/>
    <w:pPr>
      <w:keepNext/>
      <w:keepLines/>
      <w:numPr>
        <w:ilvl w:val="12"/>
      </w:numPr>
      <w:suppressAutoHyphens w:val="0"/>
      <w:autoSpaceDE w:val="0"/>
      <w:autoSpaceDN w:val="0"/>
      <w:adjustRightInd w:val="0"/>
      <w:spacing w:after="480" w:line="240" w:lineRule="auto"/>
      <w:jc w:val="center"/>
      <w:outlineLvl w:val="1"/>
    </w:pPr>
    <w:rPr>
      <w:b/>
      <w:sz w:val="26"/>
      <w:szCs w:val="26"/>
      <w:lang w:eastAsia="fr-FR"/>
    </w:rPr>
  </w:style>
  <w:style w:type="paragraph" w:customStyle="1" w:styleId="M2Head">
    <w:name w:val="M2Head"/>
    <w:basedOn w:val="Normal"/>
    <w:qFormat/>
    <w:rsid w:val="0083536D"/>
    <w:pPr>
      <w:keepNext/>
      <w:keepLines/>
      <w:numPr>
        <w:ilvl w:val="12"/>
      </w:numPr>
      <w:tabs>
        <w:tab w:val="left" w:pos="1418"/>
      </w:tabs>
      <w:suppressAutoHyphens w:val="0"/>
      <w:autoSpaceDE w:val="0"/>
      <w:autoSpaceDN w:val="0"/>
      <w:adjustRightInd w:val="0"/>
      <w:spacing w:after="240" w:line="240" w:lineRule="auto"/>
      <w:jc w:val="both"/>
      <w:outlineLvl w:val="2"/>
    </w:pPr>
    <w:rPr>
      <w:b/>
      <w:sz w:val="22"/>
      <w:szCs w:val="22"/>
      <w:lang w:eastAsia="fr-FR"/>
    </w:rPr>
  </w:style>
  <w:style w:type="paragraph" w:customStyle="1" w:styleId="MBodyTxt">
    <w:name w:val="MBodyTxt"/>
    <w:basedOn w:val="Normal"/>
    <w:link w:val="MBodyTxtChar"/>
    <w:qFormat/>
    <w:rsid w:val="0083536D"/>
    <w:pPr>
      <w:numPr>
        <w:ilvl w:val="12"/>
      </w:numPr>
      <w:tabs>
        <w:tab w:val="left" w:pos="1418"/>
      </w:tabs>
      <w:suppressAutoHyphens w:val="0"/>
      <w:autoSpaceDE w:val="0"/>
      <w:autoSpaceDN w:val="0"/>
      <w:adjustRightInd w:val="0"/>
      <w:spacing w:after="240" w:line="240" w:lineRule="auto"/>
      <w:jc w:val="both"/>
    </w:pPr>
    <w:rPr>
      <w:sz w:val="22"/>
      <w:szCs w:val="22"/>
      <w:lang w:eastAsia="fr-FR"/>
    </w:rPr>
  </w:style>
  <w:style w:type="character" w:customStyle="1" w:styleId="MBodyTxtChar">
    <w:name w:val="MBodyTxt Char"/>
    <w:basedOn w:val="DefaultParagraphFont"/>
    <w:link w:val="MBodyTxt"/>
    <w:rsid w:val="0083536D"/>
    <w:rPr>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4981">
      <w:bodyDiv w:val="1"/>
      <w:marLeft w:val="0"/>
      <w:marRight w:val="0"/>
      <w:marTop w:val="0"/>
      <w:marBottom w:val="0"/>
      <w:divBdr>
        <w:top w:val="none" w:sz="0" w:space="0" w:color="auto"/>
        <w:left w:val="none" w:sz="0" w:space="0" w:color="auto"/>
        <w:bottom w:val="none" w:sz="0" w:space="0" w:color="auto"/>
        <w:right w:val="none" w:sz="0" w:space="0" w:color="auto"/>
      </w:divBdr>
    </w:div>
    <w:div w:id="16492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package" Target="embeddings/Microsoft_Visio_Drawing.vsdx"/><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_Couto\AppData\Roaming\Microsoft\Templates\ST_SG\AC10_C3_bis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5A17-77EF-42CE-939B-1357D8DD87E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4112EF9-0CD4-4EAB-B964-E72433F83F50}">
  <ds:schemaRefs>
    <ds:schemaRef ds:uri="http://schemas.microsoft.com/sharepoint/v3/contenttype/forms"/>
  </ds:schemaRefs>
</ds:datastoreItem>
</file>

<file path=customXml/itemProps3.xml><?xml version="1.0" encoding="utf-8"?>
<ds:datastoreItem xmlns:ds="http://schemas.openxmlformats.org/officeDocument/2006/customXml" ds:itemID="{AFB3CE91-1033-42AC-9AAB-CB75131C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45D36-2F30-44AA-9DE9-5214C865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AC10_C3_bis_E.dotm</Template>
  <TotalTime>1</TotalTime>
  <Pages>10</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rfoster</dc:creator>
  <cp:keywords/>
  <cp:lastModifiedBy>Laurence Berthet</cp:lastModifiedBy>
  <cp:revision>2</cp:revision>
  <cp:lastPrinted>2022-11-25T15:13:00Z</cp:lastPrinted>
  <dcterms:created xsi:type="dcterms:W3CDTF">2022-11-25T15:14:00Z</dcterms:created>
  <dcterms:modified xsi:type="dcterms:W3CDTF">2022-11-25T15:14:00Z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3459000</vt:r8>
  </property>
  <property fmtid="{D5CDD505-2E9C-101B-9397-08002B2CF9AE}" pid="5" name="gba66df640194346a5267c50f24d4797">
    <vt:lpwstr/>
  </property>
  <property fmtid="{D5CDD505-2E9C-101B-9397-08002B2CF9AE}" pid="6" name="Office_x0020_of_x0020_Origin">
    <vt:lpwstr/>
  </property>
  <property fmtid="{D5CDD505-2E9C-101B-9397-08002B2CF9AE}" pid="7" name="MediaServiceImageTags">
    <vt:lpwstr/>
  </property>
  <property fmtid="{D5CDD505-2E9C-101B-9397-08002B2CF9AE}" pid="8" name="Office of Origin">
    <vt:lpwstr/>
  </property>
</Properties>
</file>