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D6C46" w14:paraId="58DF8ADA" w14:textId="77777777" w:rsidTr="00F01738">
        <w:trPr>
          <w:trHeight w:hRule="exact" w:val="851"/>
        </w:trPr>
        <w:tc>
          <w:tcPr>
            <w:tcW w:w="1276" w:type="dxa"/>
            <w:tcBorders>
              <w:bottom w:val="single" w:sz="4" w:space="0" w:color="auto"/>
            </w:tcBorders>
          </w:tcPr>
          <w:p w14:paraId="77378833" w14:textId="77777777" w:rsidR="00132EA9" w:rsidRPr="007D6C46" w:rsidRDefault="00132EA9" w:rsidP="0029619C"/>
        </w:tc>
        <w:tc>
          <w:tcPr>
            <w:tcW w:w="2268" w:type="dxa"/>
            <w:tcBorders>
              <w:bottom w:val="single" w:sz="4" w:space="0" w:color="auto"/>
            </w:tcBorders>
            <w:vAlign w:val="bottom"/>
          </w:tcPr>
          <w:p w14:paraId="28710F47" w14:textId="77777777" w:rsidR="00132EA9" w:rsidRPr="007D6C46" w:rsidRDefault="00132EA9" w:rsidP="00F01738">
            <w:pPr>
              <w:spacing w:after="80" w:line="300" w:lineRule="exact"/>
              <w:rPr>
                <w:sz w:val="28"/>
              </w:rPr>
            </w:pPr>
            <w:r w:rsidRPr="007D6C46">
              <w:rPr>
                <w:sz w:val="28"/>
              </w:rPr>
              <w:t>Nations Unies</w:t>
            </w:r>
          </w:p>
        </w:tc>
        <w:tc>
          <w:tcPr>
            <w:tcW w:w="6095" w:type="dxa"/>
            <w:gridSpan w:val="2"/>
            <w:tcBorders>
              <w:bottom w:val="single" w:sz="4" w:space="0" w:color="auto"/>
            </w:tcBorders>
            <w:vAlign w:val="bottom"/>
          </w:tcPr>
          <w:p w14:paraId="1463EF49" w14:textId="3FE2F75C" w:rsidR="00132EA9" w:rsidRPr="007D6C46" w:rsidRDefault="0029619C" w:rsidP="0029619C">
            <w:pPr>
              <w:jc w:val="right"/>
            </w:pPr>
            <w:r w:rsidRPr="007D6C46">
              <w:rPr>
                <w:sz w:val="40"/>
              </w:rPr>
              <w:t>ST</w:t>
            </w:r>
            <w:r w:rsidRPr="007D6C46">
              <w:t>/SG/AC</w:t>
            </w:r>
            <w:r w:rsidR="008B77B5" w:rsidRPr="008B77B5">
              <w:t>.</w:t>
            </w:r>
            <w:r w:rsidRPr="007D6C46">
              <w:t>10/C</w:t>
            </w:r>
            <w:r w:rsidR="008B77B5" w:rsidRPr="008B77B5">
              <w:t>.</w:t>
            </w:r>
            <w:r w:rsidRPr="007D6C46">
              <w:t>3/120</w:t>
            </w:r>
          </w:p>
        </w:tc>
      </w:tr>
      <w:tr w:rsidR="00132EA9" w:rsidRPr="007D6C46" w14:paraId="3B83FEAB" w14:textId="77777777" w:rsidTr="00F01738">
        <w:trPr>
          <w:trHeight w:hRule="exact" w:val="2835"/>
        </w:trPr>
        <w:tc>
          <w:tcPr>
            <w:tcW w:w="1276" w:type="dxa"/>
            <w:tcBorders>
              <w:top w:val="single" w:sz="4" w:space="0" w:color="auto"/>
              <w:bottom w:val="single" w:sz="12" w:space="0" w:color="auto"/>
            </w:tcBorders>
          </w:tcPr>
          <w:p w14:paraId="12DEA40A" w14:textId="77777777" w:rsidR="00132EA9" w:rsidRPr="007D6C46" w:rsidRDefault="00132EA9" w:rsidP="00F01738">
            <w:pPr>
              <w:spacing w:before="120"/>
              <w:jc w:val="center"/>
            </w:pPr>
            <w:r w:rsidRPr="007D6C46">
              <w:rPr>
                <w:noProof/>
                <w:lang w:eastAsia="fr-CH"/>
              </w:rPr>
              <w:drawing>
                <wp:inline distT="0" distB="0" distL="0" distR="0" wp14:anchorId="5CBD3860" wp14:editId="62289E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47DB1E" w14:textId="77777777" w:rsidR="00132EA9" w:rsidRPr="007D6C46" w:rsidRDefault="00132EA9" w:rsidP="00F01738">
            <w:pPr>
              <w:spacing w:before="120" w:line="420" w:lineRule="exact"/>
              <w:rPr>
                <w:b/>
                <w:sz w:val="40"/>
                <w:szCs w:val="40"/>
              </w:rPr>
            </w:pPr>
            <w:r w:rsidRPr="007D6C46">
              <w:rPr>
                <w:b/>
                <w:sz w:val="40"/>
                <w:szCs w:val="40"/>
              </w:rPr>
              <w:t>Secrétariat</w:t>
            </w:r>
          </w:p>
        </w:tc>
        <w:tc>
          <w:tcPr>
            <w:tcW w:w="2835" w:type="dxa"/>
            <w:tcBorders>
              <w:top w:val="single" w:sz="4" w:space="0" w:color="auto"/>
              <w:bottom w:val="single" w:sz="12" w:space="0" w:color="auto"/>
            </w:tcBorders>
          </w:tcPr>
          <w:p w14:paraId="1607051B" w14:textId="69A7ABF8" w:rsidR="00132EA9" w:rsidRPr="007D6C46" w:rsidRDefault="0029619C" w:rsidP="00F01738">
            <w:pPr>
              <w:spacing w:before="240"/>
            </w:pPr>
            <w:proofErr w:type="spellStart"/>
            <w:r w:rsidRPr="007D6C46">
              <w:t>Distr</w:t>
            </w:r>
            <w:proofErr w:type="spellEnd"/>
            <w:r w:rsidR="008B77B5" w:rsidRPr="008B77B5">
              <w:t>.</w:t>
            </w:r>
            <w:r w:rsidRPr="007D6C46">
              <w:t xml:space="preserve"> </w:t>
            </w:r>
            <w:proofErr w:type="gramStart"/>
            <w:r w:rsidRPr="007D6C46">
              <w:t>générale</w:t>
            </w:r>
            <w:proofErr w:type="gramEnd"/>
          </w:p>
          <w:p w14:paraId="7CA6FD6F" w14:textId="77777777" w:rsidR="0029619C" w:rsidRPr="007D6C46" w:rsidRDefault="0029619C" w:rsidP="0029619C">
            <w:pPr>
              <w:spacing w:line="240" w:lineRule="exact"/>
            </w:pPr>
            <w:r w:rsidRPr="007D6C46">
              <w:t>28 juillet 2022</w:t>
            </w:r>
          </w:p>
          <w:p w14:paraId="33567ADD" w14:textId="77777777" w:rsidR="0029619C" w:rsidRPr="007D6C46" w:rsidRDefault="0029619C" w:rsidP="0029619C">
            <w:pPr>
              <w:spacing w:line="240" w:lineRule="exact"/>
            </w:pPr>
            <w:r w:rsidRPr="007D6C46">
              <w:t>Français</w:t>
            </w:r>
          </w:p>
          <w:p w14:paraId="19ADCC51" w14:textId="7ACBBC73" w:rsidR="0029619C" w:rsidRPr="007D6C46" w:rsidRDefault="0029619C" w:rsidP="0029619C">
            <w:pPr>
              <w:spacing w:line="240" w:lineRule="exact"/>
            </w:pPr>
            <w:r w:rsidRPr="007D6C46">
              <w:t>Original : anglais</w:t>
            </w:r>
          </w:p>
        </w:tc>
      </w:tr>
    </w:tbl>
    <w:p w14:paraId="38DCFCD5" w14:textId="77777777" w:rsidR="00564BA0" w:rsidRPr="007D6C46" w:rsidRDefault="00564BA0" w:rsidP="00564BA0">
      <w:pPr>
        <w:spacing w:before="120"/>
        <w:rPr>
          <w:b/>
          <w:sz w:val="24"/>
          <w:szCs w:val="24"/>
        </w:rPr>
      </w:pPr>
      <w:r w:rsidRPr="007D6C46">
        <w:rPr>
          <w:b/>
          <w:sz w:val="24"/>
          <w:szCs w:val="24"/>
        </w:rPr>
        <w:t>Comité d’experts du transport des marchandises dangereuses</w:t>
      </w:r>
      <w:r w:rsidRPr="007D6C46">
        <w:rPr>
          <w:b/>
          <w:sz w:val="24"/>
          <w:szCs w:val="24"/>
        </w:rPr>
        <w:br/>
        <w:t>et du Système général harmonisé de classification</w:t>
      </w:r>
      <w:r w:rsidRPr="007D6C46">
        <w:rPr>
          <w:b/>
          <w:sz w:val="24"/>
          <w:szCs w:val="24"/>
        </w:rPr>
        <w:br/>
        <w:t>et d’étiquetage des produits chimiques</w:t>
      </w:r>
    </w:p>
    <w:p w14:paraId="10DC4588" w14:textId="77777777" w:rsidR="00564BA0" w:rsidRPr="007D6C46" w:rsidRDefault="00564BA0" w:rsidP="00564BA0">
      <w:pPr>
        <w:spacing w:before="120"/>
        <w:rPr>
          <w:b/>
        </w:rPr>
      </w:pPr>
      <w:r w:rsidRPr="007D6C46">
        <w:rPr>
          <w:b/>
        </w:rPr>
        <w:t>Sous-Comité d’experts du transport des marchandises dangereuses</w:t>
      </w:r>
    </w:p>
    <w:p w14:paraId="6D643730" w14:textId="77777777" w:rsidR="00564BA0" w:rsidRPr="007D6C46" w:rsidRDefault="00564BA0" w:rsidP="00564BA0">
      <w:pPr>
        <w:pStyle w:val="HChG"/>
      </w:pPr>
      <w:r w:rsidRPr="007D6C46">
        <w:tab/>
      </w:r>
      <w:r w:rsidRPr="007D6C46">
        <w:tab/>
        <w:t>Rapport du Sous-Comité d’experts du transport des marchandises dangereuses sur les travaux de sa soixantième session</w:t>
      </w:r>
    </w:p>
    <w:p w14:paraId="38A622E6" w14:textId="5F2D9329" w:rsidR="00564BA0" w:rsidRPr="007D6C46" w:rsidRDefault="00564BA0" w:rsidP="00564BA0">
      <w:pPr>
        <w:pStyle w:val="SingleTxtG"/>
        <w:spacing w:after="360"/>
      </w:pPr>
      <w:proofErr w:type="gramStart"/>
      <w:r w:rsidRPr="007D6C46">
        <w:t>tenue</w:t>
      </w:r>
      <w:proofErr w:type="gramEnd"/>
      <w:r w:rsidRPr="007D6C46">
        <w:t xml:space="preserve"> à Genève du 27 juin au 6 juillet 2022</w:t>
      </w:r>
    </w:p>
    <w:p w14:paraId="5895B223" w14:textId="77777777" w:rsidR="00564BA0" w:rsidRPr="007D6C46" w:rsidRDefault="00564BA0" w:rsidP="00564BA0">
      <w:pPr>
        <w:spacing w:after="120"/>
        <w:rPr>
          <w:sz w:val="28"/>
        </w:rPr>
      </w:pPr>
      <w:r w:rsidRPr="007D6C46">
        <w:rPr>
          <w:sz w:val="28"/>
        </w:rPr>
        <w:t>Table des matières</w:t>
      </w:r>
    </w:p>
    <w:p w14:paraId="01DFC7BA" w14:textId="77777777" w:rsidR="00564BA0" w:rsidRPr="007D6C46" w:rsidRDefault="00564BA0" w:rsidP="00564BA0">
      <w:pPr>
        <w:tabs>
          <w:tab w:val="right" w:pos="8929"/>
          <w:tab w:val="right" w:pos="9638"/>
        </w:tabs>
        <w:spacing w:after="120"/>
        <w:ind w:left="283"/>
        <w:rPr>
          <w:i/>
          <w:sz w:val="18"/>
        </w:rPr>
      </w:pPr>
      <w:r w:rsidRPr="007D6C46">
        <w:rPr>
          <w:i/>
          <w:sz w:val="18"/>
        </w:rPr>
        <w:tab/>
        <w:t>Paragraphes</w:t>
      </w:r>
      <w:r w:rsidRPr="007D6C46">
        <w:rPr>
          <w:i/>
          <w:sz w:val="18"/>
        </w:rPr>
        <w:tab/>
        <w:t>Page</w:t>
      </w:r>
    </w:p>
    <w:p w14:paraId="00FDEA57" w14:textId="3D3056C3" w:rsidR="00564BA0" w:rsidRPr="007D6C46" w:rsidRDefault="00564BA0" w:rsidP="00564BA0">
      <w:pPr>
        <w:tabs>
          <w:tab w:val="right" w:pos="850"/>
          <w:tab w:val="right" w:leader="dot" w:pos="7654"/>
          <w:tab w:val="right" w:pos="8929"/>
          <w:tab w:val="right" w:pos="9638"/>
        </w:tabs>
        <w:spacing w:after="120"/>
        <w:ind w:left="1134" w:hanging="1134"/>
      </w:pPr>
      <w:r w:rsidRPr="007D6C46">
        <w:tab/>
        <w:t>I</w:t>
      </w:r>
      <w:r w:rsidR="008B77B5" w:rsidRPr="008B77B5">
        <w:t>.</w:t>
      </w:r>
      <w:r w:rsidRPr="007D6C46">
        <w:tab/>
        <w:t>Participation</w:t>
      </w:r>
      <w:r w:rsidRPr="007D6C46">
        <w:tab/>
      </w:r>
      <w:r w:rsidRPr="007D6C46">
        <w:tab/>
        <w:t>1−6</w:t>
      </w:r>
      <w:r w:rsidRPr="007D6C46">
        <w:tab/>
      </w:r>
      <w:r w:rsidR="00CE614F">
        <w:t>6</w:t>
      </w:r>
    </w:p>
    <w:p w14:paraId="2813AED3" w14:textId="19A19683" w:rsidR="00564BA0" w:rsidRPr="007D6C46" w:rsidRDefault="00564BA0" w:rsidP="00564BA0">
      <w:pPr>
        <w:tabs>
          <w:tab w:val="right" w:pos="850"/>
          <w:tab w:val="right" w:leader="dot" w:pos="7654"/>
          <w:tab w:val="right" w:pos="8929"/>
          <w:tab w:val="right" w:pos="9638"/>
        </w:tabs>
        <w:spacing w:after="120"/>
        <w:ind w:left="1134" w:hanging="1134"/>
      </w:pPr>
      <w:r w:rsidRPr="007D6C46">
        <w:tab/>
        <w:t>II</w:t>
      </w:r>
      <w:r w:rsidR="008B77B5" w:rsidRPr="008B77B5">
        <w:t>.</w:t>
      </w:r>
      <w:r w:rsidRPr="007D6C46">
        <w:tab/>
        <w:t>Ouverture de la session (questions d’organisation)</w:t>
      </w:r>
      <w:r w:rsidRPr="007D6C46">
        <w:tab/>
      </w:r>
      <w:r w:rsidRPr="007D6C46">
        <w:tab/>
        <w:t>7−</w:t>
      </w:r>
      <w:r w:rsidR="00CE614F">
        <w:t>9</w:t>
      </w:r>
      <w:r w:rsidRPr="007D6C46">
        <w:tab/>
      </w:r>
      <w:r w:rsidR="00CE614F">
        <w:t>6</w:t>
      </w:r>
    </w:p>
    <w:p w14:paraId="1626AD5D" w14:textId="17906149" w:rsidR="00564BA0" w:rsidRPr="007D6C46" w:rsidRDefault="00564BA0" w:rsidP="00564BA0">
      <w:pPr>
        <w:tabs>
          <w:tab w:val="right" w:pos="850"/>
          <w:tab w:val="right" w:leader="dot" w:pos="7654"/>
          <w:tab w:val="right" w:pos="8929"/>
          <w:tab w:val="right" w:pos="9638"/>
        </w:tabs>
        <w:spacing w:after="120"/>
        <w:ind w:left="1134" w:hanging="1134"/>
      </w:pPr>
      <w:r w:rsidRPr="007D6C46">
        <w:tab/>
        <w:t>III</w:t>
      </w:r>
      <w:r w:rsidR="008B77B5" w:rsidRPr="008B77B5">
        <w:t>.</w:t>
      </w:r>
      <w:r w:rsidRPr="007D6C46">
        <w:tab/>
        <w:t>Adoption de l’ordre du jour (point 1 de l’ordre du jour)</w:t>
      </w:r>
      <w:r w:rsidRPr="007D6C46">
        <w:tab/>
      </w:r>
      <w:r w:rsidRPr="007D6C46">
        <w:tab/>
        <w:t>1</w:t>
      </w:r>
      <w:r w:rsidR="00F878B0" w:rsidRPr="007D6C46">
        <w:t>0</w:t>
      </w:r>
      <w:r w:rsidRPr="007D6C46">
        <w:t>−1</w:t>
      </w:r>
      <w:r w:rsidR="00F878B0" w:rsidRPr="007D6C46">
        <w:t>2</w:t>
      </w:r>
      <w:r w:rsidRPr="007D6C46">
        <w:tab/>
      </w:r>
      <w:r w:rsidR="00CE614F">
        <w:t>7</w:t>
      </w:r>
    </w:p>
    <w:p w14:paraId="64D591E0" w14:textId="6D7876D9" w:rsidR="00564BA0" w:rsidRPr="007D6C46" w:rsidRDefault="00564BA0" w:rsidP="00564BA0">
      <w:pPr>
        <w:tabs>
          <w:tab w:val="right" w:pos="850"/>
          <w:tab w:val="right" w:leader="dot" w:pos="7654"/>
          <w:tab w:val="right" w:pos="8929"/>
          <w:tab w:val="right" w:pos="9638"/>
        </w:tabs>
        <w:spacing w:after="120"/>
        <w:ind w:left="1134" w:hanging="1134"/>
      </w:pPr>
      <w:r w:rsidRPr="007D6C46">
        <w:tab/>
        <w:t>IV</w:t>
      </w:r>
      <w:r w:rsidR="008B77B5" w:rsidRPr="008B77B5">
        <w:t>.</w:t>
      </w:r>
      <w:r w:rsidRPr="007D6C46">
        <w:tab/>
        <w:t>Explosifs et questions connexes (point 2 de l’ordre du jour)</w:t>
      </w:r>
      <w:r w:rsidRPr="007D6C46">
        <w:tab/>
      </w:r>
      <w:r w:rsidRPr="007D6C46">
        <w:tab/>
        <w:t>1</w:t>
      </w:r>
      <w:r w:rsidR="00F878B0" w:rsidRPr="007D6C46">
        <w:t>3</w:t>
      </w:r>
      <w:r w:rsidRPr="007D6C46">
        <w:t>−</w:t>
      </w:r>
      <w:r w:rsidR="00F878B0" w:rsidRPr="007D6C46">
        <w:t>35</w:t>
      </w:r>
      <w:r w:rsidRPr="007D6C46">
        <w:tab/>
      </w:r>
      <w:r w:rsidR="00CE614F">
        <w:t>7</w:t>
      </w:r>
    </w:p>
    <w:p w14:paraId="6987E9F9" w14:textId="261423F5" w:rsidR="00564BA0" w:rsidRPr="007D6C46" w:rsidRDefault="00564BA0" w:rsidP="00564BA0">
      <w:pPr>
        <w:tabs>
          <w:tab w:val="right" w:leader="dot" w:pos="7654"/>
          <w:tab w:val="right" w:pos="8929"/>
          <w:tab w:val="right" w:pos="9638"/>
        </w:tabs>
        <w:spacing w:after="120"/>
        <w:ind w:left="1559" w:hanging="425"/>
      </w:pPr>
      <w:r w:rsidRPr="007D6C46">
        <w:t>A</w:t>
      </w:r>
      <w:r w:rsidR="008B77B5" w:rsidRPr="008B77B5">
        <w:t>.</w:t>
      </w:r>
      <w:r w:rsidRPr="007D6C46">
        <w:tab/>
        <w:t>Examen des épreuves de la série 6</w:t>
      </w:r>
      <w:r w:rsidRPr="007D6C46">
        <w:tab/>
      </w:r>
      <w:r w:rsidRPr="007D6C46">
        <w:tab/>
        <w:t>1</w:t>
      </w:r>
      <w:r w:rsidR="00F878B0" w:rsidRPr="007D6C46">
        <w:t>9</w:t>
      </w:r>
      <w:r w:rsidRPr="007D6C46">
        <w:tab/>
      </w:r>
      <w:r w:rsidR="00CE614F">
        <w:t>8</w:t>
      </w:r>
    </w:p>
    <w:p w14:paraId="1E27D37F" w14:textId="33D6CD73" w:rsidR="00564BA0" w:rsidRPr="007D6C46" w:rsidRDefault="00564BA0" w:rsidP="00564BA0">
      <w:pPr>
        <w:tabs>
          <w:tab w:val="right" w:leader="dot" w:pos="7654"/>
          <w:tab w:val="right" w:pos="8929"/>
          <w:tab w:val="right" w:pos="9638"/>
        </w:tabs>
        <w:spacing w:after="120"/>
        <w:ind w:left="1559" w:hanging="425"/>
      </w:pPr>
      <w:r w:rsidRPr="007D6C46">
        <w:t>B</w:t>
      </w:r>
      <w:r w:rsidR="008B77B5" w:rsidRPr="008B77B5">
        <w:t>.</w:t>
      </w:r>
      <w:r w:rsidRPr="007D6C46">
        <w:tab/>
        <w:t>Amélioration des épreuves de la série 8</w:t>
      </w:r>
      <w:r w:rsidRPr="007D6C46">
        <w:tab/>
      </w:r>
      <w:r w:rsidRPr="007D6C46">
        <w:tab/>
      </w:r>
      <w:r w:rsidR="00F878B0" w:rsidRPr="007D6C46">
        <w:t>20</w:t>
      </w:r>
      <w:r w:rsidRPr="007D6C46">
        <w:tab/>
      </w:r>
      <w:r w:rsidR="00CE614F">
        <w:t>8</w:t>
      </w:r>
    </w:p>
    <w:p w14:paraId="78E96109" w14:textId="26E863D1" w:rsidR="00564BA0" w:rsidRPr="007D6C46" w:rsidRDefault="00564BA0" w:rsidP="00564BA0">
      <w:pPr>
        <w:tabs>
          <w:tab w:val="right" w:leader="dot" w:pos="7654"/>
          <w:tab w:val="right" w:pos="8929"/>
          <w:tab w:val="right" w:pos="9638"/>
        </w:tabs>
        <w:spacing w:after="120"/>
        <w:ind w:left="1559" w:hanging="425"/>
      </w:pPr>
      <w:r w:rsidRPr="007D6C46">
        <w:t>C</w:t>
      </w:r>
      <w:r w:rsidR="008B77B5" w:rsidRPr="008B77B5">
        <w:t>.</w:t>
      </w:r>
      <w:r w:rsidRPr="007D6C46">
        <w:tab/>
        <w:t xml:space="preserve">Révision des épreuves des parties I, II et III du Manuel d’épreuves </w:t>
      </w:r>
      <w:r w:rsidRPr="007D6C46">
        <w:br/>
        <w:t>et de critères</w:t>
      </w:r>
      <w:r w:rsidRPr="007D6C46">
        <w:tab/>
      </w:r>
      <w:r w:rsidRPr="007D6C46">
        <w:tab/>
      </w:r>
      <w:r w:rsidR="00F878B0" w:rsidRPr="007D6C46">
        <w:t>21−22</w:t>
      </w:r>
      <w:r w:rsidRPr="007D6C46">
        <w:tab/>
      </w:r>
      <w:r w:rsidR="00CE614F">
        <w:t>8</w:t>
      </w:r>
    </w:p>
    <w:p w14:paraId="2C3C956D" w14:textId="771F38E5" w:rsidR="00564BA0" w:rsidRPr="007D6C46" w:rsidRDefault="00564BA0" w:rsidP="00564BA0">
      <w:pPr>
        <w:tabs>
          <w:tab w:val="right" w:leader="dot" w:pos="7654"/>
          <w:tab w:val="right" w:pos="8929"/>
          <w:tab w:val="right" w:pos="9638"/>
        </w:tabs>
        <w:spacing w:after="120"/>
        <w:ind w:left="1985" w:hanging="425"/>
      </w:pPr>
      <w:r w:rsidRPr="007D6C46">
        <w:t>1</w:t>
      </w:r>
      <w:r w:rsidR="008B77B5" w:rsidRPr="008B77B5">
        <w:t>.</w:t>
      </w:r>
      <w:r w:rsidRPr="007D6C46">
        <w:tab/>
      </w:r>
      <w:bookmarkStart w:id="0" w:name="_Hlk114944251"/>
      <w:r w:rsidRPr="007D6C46">
        <w:t>Manuel d’épreuves et de critères, sections 1</w:t>
      </w:r>
      <w:r w:rsidR="008B77B5" w:rsidRPr="008B77B5">
        <w:t>.</w:t>
      </w:r>
      <w:r w:rsidRPr="007D6C46">
        <w:t>2</w:t>
      </w:r>
      <w:r w:rsidR="008B77B5" w:rsidRPr="008B77B5">
        <w:t>.</w:t>
      </w:r>
      <w:r w:rsidRPr="007D6C46">
        <w:t>1</w:t>
      </w:r>
      <w:r w:rsidR="008B77B5" w:rsidRPr="008B77B5">
        <w:t>.</w:t>
      </w:r>
      <w:r w:rsidRPr="007D6C46">
        <w:t>4</w:t>
      </w:r>
      <w:r w:rsidR="008B77B5" w:rsidRPr="008B77B5">
        <w:t>.</w:t>
      </w:r>
      <w:r w:rsidRPr="007D6C46">
        <w:t>3 et 20</w:t>
      </w:r>
      <w:r w:rsidR="008B77B5" w:rsidRPr="008B77B5">
        <w:t>.</w:t>
      </w:r>
      <w:r w:rsidRPr="007D6C46">
        <w:t>2</w:t>
      </w:r>
      <w:r w:rsidR="008B77B5" w:rsidRPr="008B77B5">
        <w:t>.</w:t>
      </w:r>
      <w:r w:rsidRPr="007D6C46">
        <w:t xml:space="preserve">5 sur </w:t>
      </w:r>
      <w:r w:rsidRPr="007D6C46">
        <w:br/>
        <w:t>l’épreuve d’</w:t>
      </w:r>
      <w:proofErr w:type="spellStart"/>
      <w:r w:rsidRPr="007D6C46">
        <w:t>autoéchauffement</w:t>
      </w:r>
      <w:proofErr w:type="spellEnd"/>
      <w:r w:rsidRPr="007D6C46">
        <w:t xml:space="preserve"> N</w:t>
      </w:r>
      <w:r w:rsidR="008B77B5" w:rsidRPr="008B77B5">
        <w:t>.</w:t>
      </w:r>
      <w:r w:rsidRPr="007D6C46">
        <w:t>4 pour les peroxydes organiques</w:t>
      </w:r>
      <w:bookmarkEnd w:id="0"/>
      <w:r w:rsidRPr="007D6C46">
        <w:tab/>
      </w:r>
      <w:r w:rsidRPr="007D6C46">
        <w:tab/>
      </w:r>
      <w:r w:rsidR="00F878B0" w:rsidRPr="007D6C46">
        <w:t>21</w:t>
      </w:r>
      <w:r w:rsidRPr="007D6C46">
        <w:tab/>
      </w:r>
      <w:r w:rsidR="00CE614F">
        <w:t>8</w:t>
      </w:r>
    </w:p>
    <w:p w14:paraId="2B3D3384" w14:textId="5B1C713C" w:rsidR="00564BA0" w:rsidRPr="007D6C46" w:rsidRDefault="00564BA0" w:rsidP="00564BA0">
      <w:pPr>
        <w:tabs>
          <w:tab w:val="right" w:leader="dot" w:pos="7654"/>
          <w:tab w:val="right" w:pos="8929"/>
          <w:tab w:val="right" w:pos="9638"/>
        </w:tabs>
        <w:spacing w:after="120"/>
        <w:ind w:left="1985" w:hanging="425"/>
      </w:pPr>
      <w:r w:rsidRPr="007D6C46">
        <w:t>2</w:t>
      </w:r>
      <w:r w:rsidR="008B77B5" w:rsidRPr="008B77B5">
        <w:t>.</w:t>
      </w:r>
      <w:r w:rsidRPr="007D6C46">
        <w:tab/>
      </w:r>
      <w:bookmarkStart w:id="1" w:name="_Hlk114944543"/>
      <w:r w:rsidRPr="007D6C46">
        <w:t xml:space="preserve">Paramètres pour la spécification de l’appareillage de l’épreuve </w:t>
      </w:r>
      <w:r w:rsidRPr="007D6C46">
        <w:br/>
        <w:t xml:space="preserve">de </w:t>
      </w:r>
      <w:proofErr w:type="spellStart"/>
      <w:r w:rsidRPr="007D6C46">
        <w:t>Koenen</w:t>
      </w:r>
      <w:bookmarkEnd w:id="1"/>
      <w:proofErr w:type="spellEnd"/>
      <w:r w:rsidRPr="007D6C46">
        <w:tab/>
      </w:r>
      <w:r w:rsidRPr="007D6C46">
        <w:tab/>
      </w:r>
      <w:r w:rsidR="00F878B0" w:rsidRPr="007D6C46">
        <w:t>22</w:t>
      </w:r>
      <w:r w:rsidRPr="007D6C46">
        <w:tab/>
      </w:r>
      <w:r w:rsidR="00CE614F">
        <w:t>8</w:t>
      </w:r>
    </w:p>
    <w:p w14:paraId="65EE1C47" w14:textId="07613729" w:rsidR="00564BA0" w:rsidRPr="007D6C46" w:rsidRDefault="00564BA0" w:rsidP="00564BA0">
      <w:pPr>
        <w:tabs>
          <w:tab w:val="right" w:leader="dot" w:pos="7654"/>
          <w:tab w:val="right" w:pos="8929"/>
          <w:tab w:val="right" w:pos="9638"/>
        </w:tabs>
        <w:spacing w:after="120"/>
        <w:ind w:left="1559" w:hanging="425"/>
      </w:pPr>
      <w:r w:rsidRPr="007D6C46">
        <w:t>D</w:t>
      </w:r>
      <w:r w:rsidR="008B77B5" w:rsidRPr="008B77B5">
        <w:t>.</w:t>
      </w:r>
      <w:r w:rsidRPr="007D6C46">
        <w:tab/>
        <w:t>Détonateurs normalisés « UN »</w:t>
      </w:r>
      <w:r w:rsidRPr="007D6C46">
        <w:tab/>
      </w:r>
      <w:r w:rsidRPr="007D6C46">
        <w:tab/>
        <w:t>2</w:t>
      </w:r>
      <w:r w:rsidR="00F878B0" w:rsidRPr="007D6C46">
        <w:t>3</w:t>
      </w:r>
      <w:r w:rsidRPr="007D6C46">
        <w:tab/>
      </w:r>
      <w:r w:rsidR="00CE614F">
        <w:t>8</w:t>
      </w:r>
    </w:p>
    <w:p w14:paraId="7ABFBB03" w14:textId="544693F6" w:rsidR="00564BA0" w:rsidRPr="007D6C46" w:rsidRDefault="00564BA0" w:rsidP="00564BA0">
      <w:pPr>
        <w:tabs>
          <w:tab w:val="right" w:leader="dot" w:pos="7654"/>
          <w:tab w:val="right" w:pos="8929"/>
          <w:tab w:val="right" w:pos="9638"/>
        </w:tabs>
        <w:spacing w:after="120"/>
        <w:ind w:left="1559" w:hanging="425"/>
      </w:pPr>
      <w:r w:rsidRPr="007D6C46">
        <w:t>E</w:t>
      </w:r>
      <w:r w:rsidR="008B77B5" w:rsidRPr="008B77B5">
        <w:t>.</w:t>
      </w:r>
      <w:r w:rsidRPr="007D6C46">
        <w:tab/>
        <w:t>Révision des instructions d’emballage relatives aux explosifs</w:t>
      </w:r>
      <w:r w:rsidRPr="007D6C46">
        <w:tab/>
      </w:r>
      <w:r w:rsidRPr="007D6C46">
        <w:tab/>
        <w:t>2</w:t>
      </w:r>
      <w:r w:rsidR="00F878B0" w:rsidRPr="007D6C46">
        <w:t>4</w:t>
      </w:r>
      <w:r w:rsidRPr="007D6C46">
        <w:tab/>
      </w:r>
      <w:r w:rsidR="00CE614F">
        <w:t>8</w:t>
      </w:r>
    </w:p>
    <w:p w14:paraId="28765F86" w14:textId="536F0432" w:rsidR="00564BA0" w:rsidRPr="007D6C46" w:rsidRDefault="00564BA0" w:rsidP="00564BA0">
      <w:pPr>
        <w:tabs>
          <w:tab w:val="right" w:leader="dot" w:pos="7654"/>
          <w:tab w:val="right" w:pos="8929"/>
          <w:tab w:val="right" w:pos="9638"/>
        </w:tabs>
        <w:spacing w:after="120"/>
        <w:ind w:left="1559" w:hanging="425"/>
        <w:rPr>
          <w:bCs/>
        </w:rPr>
      </w:pPr>
      <w:r w:rsidRPr="007D6C46">
        <w:t>F</w:t>
      </w:r>
      <w:r w:rsidR="008B77B5" w:rsidRPr="008B77B5">
        <w:t>.</w:t>
      </w:r>
      <w:r w:rsidRPr="007D6C46">
        <w:tab/>
        <w:t>Échantillons</w:t>
      </w:r>
      <w:r w:rsidRPr="007D6C46">
        <w:rPr>
          <w:bCs/>
        </w:rPr>
        <w:t xml:space="preserve"> énergétiques</w:t>
      </w:r>
      <w:r w:rsidRPr="007D6C46">
        <w:rPr>
          <w:bCs/>
        </w:rPr>
        <w:tab/>
      </w:r>
      <w:r w:rsidRPr="007D6C46">
        <w:rPr>
          <w:bCs/>
        </w:rPr>
        <w:tab/>
        <w:t>2</w:t>
      </w:r>
      <w:r w:rsidR="00F878B0" w:rsidRPr="007D6C46">
        <w:rPr>
          <w:bCs/>
        </w:rPr>
        <w:t>5</w:t>
      </w:r>
      <w:r w:rsidRPr="007D6C46">
        <w:rPr>
          <w:bCs/>
        </w:rPr>
        <w:tab/>
      </w:r>
      <w:r w:rsidR="00CE614F">
        <w:rPr>
          <w:bCs/>
        </w:rPr>
        <w:t>8</w:t>
      </w:r>
    </w:p>
    <w:p w14:paraId="603B4DDA" w14:textId="6D623438" w:rsidR="00564BA0" w:rsidRPr="007D6C46" w:rsidRDefault="00564BA0" w:rsidP="00564BA0">
      <w:pPr>
        <w:tabs>
          <w:tab w:val="right" w:leader="dot" w:pos="7654"/>
          <w:tab w:val="right" w:pos="8929"/>
          <w:tab w:val="right" w:pos="9638"/>
        </w:tabs>
        <w:spacing w:after="120"/>
        <w:ind w:left="1559" w:hanging="425"/>
        <w:rPr>
          <w:bCs/>
        </w:rPr>
      </w:pPr>
      <w:r w:rsidRPr="007D6C46">
        <w:rPr>
          <w:bCs/>
        </w:rPr>
        <w:t>G</w:t>
      </w:r>
      <w:r w:rsidR="008B77B5" w:rsidRPr="008B77B5">
        <w:rPr>
          <w:bCs/>
        </w:rPr>
        <w:t>.</w:t>
      </w:r>
      <w:r w:rsidRPr="007D6C46">
        <w:rPr>
          <w:bCs/>
        </w:rPr>
        <w:tab/>
        <w:t xml:space="preserve">Questions liées à la </w:t>
      </w:r>
      <w:r w:rsidRPr="007D6C46">
        <w:t>définition</w:t>
      </w:r>
      <w:r w:rsidRPr="007D6C46">
        <w:rPr>
          <w:bCs/>
        </w:rPr>
        <w:t xml:space="preserve"> des explosifs</w:t>
      </w:r>
      <w:r w:rsidRPr="007D6C46">
        <w:rPr>
          <w:bCs/>
        </w:rPr>
        <w:tab/>
      </w:r>
      <w:r w:rsidRPr="007D6C46">
        <w:rPr>
          <w:bCs/>
        </w:rPr>
        <w:tab/>
        <w:t>2</w:t>
      </w:r>
      <w:r w:rsidR="00F878B0" w:rsidRPr="007D6C46">
        <w:rPr>
          <w:bCs/>
        </w:rPr>
        <w:t>6−27</w:t>
      </w:r>
      <w:r w:rsidRPr="007D6C46">
        <w:rPr>
          <w:bCs/>
        </w:rPr>
        <w:tab/>
      </w:r>
      <w:r w:rsidR="00CE614F">
        <w:rPr>
          <w:bCs/>
        </w:rPr>
        <w:t>9</w:t>
      </w:r>
    </w:p>
    <w:p w14:paraId="5E268A8C" w14:textId="4ABA1193" w:rsidR="00564BA0" w:rsidRPr="007D6C46" w:rsidRDefault="00564BA0" w:rsidP="00564BA0">
      <w:pPr>
        <w:tabs>
          <w:tab w:val="right" w:leader="dot" w:pos="7654"/>
          <w:tab w:val="right" w:pos="8929"/>
          <w:tab w:val="right" w:pos="9638"/>
        </w:tabs>
        <w:spacing w:after="120"/>
        <w:ind w:left="1985" w:hanging="425"/>
        <w:rPr>
          <w:bCs/>
        </w:rPr>
      </w:pPr>
      <w:r w:rsidRPr="007D6C46">
        <w:rPr>
          <w:bCs/>
        </w:rPr>
        <w:t>1</w:t>
      </w:r>
      <w:r w:rsidR="008B77B5" w:rsidRPr="008B77B5">
        <w:rPr>
          <w:bCs/>
        </w:rPr>
        <w:t>.</w:t>
      </w:r>
      <w:r w:rsidRPr="007D6C46">
        <w:rPr>
          <w:bCs/>
        </w:rPr>
        <w:tab/>
      </w:r>
      <w:bookmarkStart w:id="2" w:name="_Hlk114945094"/>
      <w:r w:rsidRPr="007D6C46">
        <w:rPr>
          <w:bCs/>
        </w:rPr>
        <w:t xml:space="preserve">Exclusion de la classe 1 des objets contenant des matières </w:t>
      </w:r>
      <w:r w:rsidR="00CE614F">
        <w:rPr>
          <w:bCs/>
        </w:rPr>
        <w:br/>
      </w:r>
      <w:r w:rsidRPr="007D6C46">
        <w:rPr>
          <w:bCs/>
        </w:rPr>
        <w:t>énergétiques qui présentent un risque très faible</w:t>
      </w:r>
      <w:bookmarkEnd w:id="2"/>
      <w:r w:rsidRPr="007D6C46">
        <w:rPr>
          <w:bCs/>
        </w:rPr>
        <w:tab/>
      </w:r>
      <w:r w:rsidRPr="007D6C46">
        <w:rPr>
          <w:bCs/>
        </w:rPr>
        <w:tab/>
      </w:r>
      <w:r w:rsidR="00F878B0" w:rsidRPr="007D6C46">
        <w:rPr>
          <w:bCs/>
        </w:rPr>
        <w:t>26</w:t>
      </w:r>
      <w:r w:rsidRPr="007D6C46">
        <w:rPr>
          <w:bCs/>
        </w:rPr>
        <w:tab/>
      </w:r>
      <w:r w:rsidR="00CE614F">
        <w:rPr>
          <w:bCs/>
        </w:rPr>
        <w:t>9</w:t>
      </w:r>
    </w:p>
    <w:p w14:paraId="079DFB59" w14:textId="5F2522AD" w:rsidR="00564BA0" w:rsidRPr="007D6C46" w:rsidRDefault="00564BA0" w:rsidP="00564BA0">
      <w:pPr>
        <w:tabs>
          <w:tab w:val="right" w:leader="dot" w:pos="7654"/>
          <w:tab w:val="right" w:pos="8929"/>
          <w:tab w:val="right" w:pos="9638"/>
        </w:tabs>
        <w:spacing w:after="120"/>
        <w:ind w:left="1985" w:hanging="425"/>
        <w:rPr>
          <w:bCs/>
        </w:rPr>
      </w:pPr>
      <w:r w:rsidRPr="007D6C46">
        <w:rPr>
          <w:bCs/>
        </w:rPr>
        <w:t>2</w:t>
      </w:r>
      <w:r w:rsidR="008B77B5" w:rsidRPr="008B77B5">
        <w:rPr>
          <w:bCs/>
        </w:rPr>
        <w:t>.</w:t>
      </w:r>
      <w:r w:rsidRPr="007D6C46">
        <w:rPr>
          <w:bCs/>
        </w:rPr>
        <w:tab/>
      </w:r>
      <w:bookmarkStart w:id="3" w:name="_Hlk114945295"/>
      <w:r w:rsidRPr="007D6C46">
        <w:rPr>
          <w:bCs/>
        </w:rPr>
        <w:t>Questions liées à la définition de la classe 1</w:t>
      </w:r>
      <w:bookmarkEnd w:id="3"/>
      <w:r w:rsidRPr="007D6C46">
        <w:rPr>
          <w:bCs/>
        </w:rPr>
        <w:tab/>
      </w:r>
      <w:r w:rsidRPr="007D6C46">
        <w:rPr>
          <w:bCs/>
        </w:rPr>
        <w:tab/>
      </w:r>
      <w:r w:rsidR="00F878B0" w:rsidRPr="007D6C46">
        <w:rPr>
          <w:bCs/>
        </w:rPr>
        <w:t>27</w:t>
      </w:r>
      <w:r w:rsidRPr="007D6C46">
        <w:rPr>
          <w:bCs/>
        </w:rPr>
        <w:tab/>
      </w:r>
      <w:r w:rsidR="00CE614F">
        <w:rPr>
          <w:bCs/>
        </w:rPr>
        <w:t>9</w:t>
      </w:r>
    </w:p>
    <w:p w14:paraId="52C03AAE" w14:textId="36728B25" w:rsidR="00564BA0" w:rsidRPr="007D6C46" w:rsidRDefault="00564BA0" w:rsidP="00564BA0">
      <w:pPr>
        <w:tabs>
          <w:tab w:val="right" w:leader="dot" w:pos="7654"/>
          <w:tab w:val="right" w:pos="8929"/>
          <w:tab w:val="right" w:pos="9638"/>
        </w:tabs>
        <w:spacing w:after="120"/>
        <w:ind w:left="1559" w:hanging="425"/>
        <w:rPr>
          <w:bCs/>
        </w:rPr>
      </w:pPr>
      <w:r w:rsidRPr="007D6C46">
        <w:rPr>
          <w:bCs/>
        </w:rPr>
        <w:t>H</w:t>
      </w:r>
      <w:r w:rsidR="008B77B5" w:rsidRPr="008B77B5">
        <w:rPr>
          <w:bCs/>
        </w:rPr>
        <w:t>.</w:t>
      </w:r>
      <w:r w:rsidRPr="007D6C46">
        <w:rPr>
          <w:bCs/>
        </w:rPr>
        <w:tab/>
      </w:r>
      <w:r w:rsidR="00CE614F" w:rsidRPr="007D6C46">
        <w:rPr>
          <w:bCs/>
        </w:rPr>
        <w:t xml:space="preserve">Examen des </w:t>
      </w:r>
      <w:r w:rsidR="00CE614F" w:rsidRPr="007D6C46">
        <w:t>prescriptions</w:t>
      </w:r>
      <w:r w:rsidR="00CE614F" w:rsidRPr="007D6C46">
        <w:rPr>
          <w:bCs/>
        </w:rPr>
        <w:t xml:space="preserve"> en </w:t>
      </w:r>
      <w:r w:rsidR="00CE614F" w:rsidRPr="007D6C46">
        <w:t>matière</w:t>
      </w:r>
      <w:r w:rsidR="00CE614F" w:rsidRPr="007D6C46">
        <w:rPr>
          <w:bCs/>
        </w:rPr>
        <w:t xml:space="preserve"> d’emballage et de transport </w:t>
      </w:r>
      <w:r w:rsidR="00CE614F">
        <w:rPr>
          <w:bCs/>
        </w:rPr>
        <w:br/>
      </w:r>
      <w:r w:rsidR="00CE614F" w:rsidRPr="007D6C46">
        <w:rPr>
          <w:bCs/>
        </w:rPr>
        <w:t>pour les émulsions de nitrate d’ammonium</w:t>
      </w:r>
      <w:r w:rsidRPr="007D6C46">
        <w:rPr>
          <w:bCs/>
        </w:rPr>
        <w:tab/>
      </w:r>
      <w:r w:rsidRPr="007D6C46">
        <w:rPr>
          <w:bCs/>
        </w:rPr>
        <w:tab/>
        <w:t>2</w:t>
      </w:r>
      <w:r w:rsidR="00F878B0" w:rsidRPr="007D6C46">
        <w:rPr>
          <w:bCs/>
        </w:rPr>
        <w:t>8</w:t>
      </w:r>
      <w:r w:rsidRPr="007D6C46">
        <w:rPr>
          <w:bCs/>
        </w:rPr>
        <w:tab/>
      </w:r>
      <w:r w:rsidR="00CE614F">
        <w:rPr>
          <w:bCs/>
        </w:rPr>
        <w:t>9</w:t>
      </w:r>
    </w:p>
    <w:p w14:paraId="33980BA4" w14:textId="2F1F092D" w:rsidR="00564BA0" w:rsidRPr="007D6C46" w:rsidRDefault="00564BA0" w:rsidP="00F878B0">
      <w:pPr>
        <w:keepNext/>
        <w:tabs>
          <w:tab w:val="right" w:leader="dot" w:pos="7654"/>
          <w:tab w:val="right" w:pos="8929"/>
          <w:tab w:val="right" w:pos="9638"/>
        </w:tabs>
        <w:spacing w:after="120"/>
        <w:ind w:left="1559" w:hanging="425"/>
      </w:pPr>
      <w:r w:rsidRPr="007D6C46">
        <w:lastRenderedPageBreak/>
        <w:t>I</w:t>
      </w:r>
      <w:r w:rsidR="008B77B5" w:rsidRPr="008B77B5">
        <w:t>.</w:t>
      </w:r>
      <w:r w:rsidRPr="007D6C46">
        <w:tab/>
      </w:r>
      <w:r w:rsidRPr="007D6C46">
        <w:rPr>
          <w:bCs/>
        </w:rPr>
        <w:t>Autres questions</w:t>
      </w:r>
      <w:r w:rsidRPr="007D6C46">
        <w:tab/>
      </w:r>
      <w:r w:rsidRPr="007D6C46">
        <w:tab/>
        <w:t>2</w:t>
      </w:r>
      <w:r w:rsidR="00F878B0" w:rsidRPr="007D6C46">
        <w:t>9</w:t>
      </w:r>
      <w:r w:rsidRPr="007D6C46">
        <w:t>−</w:t>
      </w:r>
      <w:r w:rsidR="00F878B0" w:rsidRPr="007D6C46">
        <w:t>35</w:t>
      </w:r>
      <w:r w:rsidRPr="007D6C46">
        <w:tab/>
      </w:r>
      <w:r w:rsidR="00CE614F">
        <w:t>9</w:t>
      </w:r>
    </w:p>
    <w:p w14:paraId="6B0351AA" w14:textId="7A048943" w:rsidR="00564BA0" w:rsidRPr="007D6C46" w:rsidRDefault="00564BA0" w:rsidP="00564BA0">
      <w:pPr>
        <w:tabs>
          <w:tab w:val="right" w:leader="dot" w:pos="7654"/>
          <w:tab w:val="right" w:pos="8929"/>
          <w:tab w:val="right" w:pos="9638"/>
        </w:tabs>
        <w:spacing w:after="120"/>
        <w:ind w:left="1984" w:hanging="425"/>
      </w:pPr>
      <w:r w:rsidRPr="007D6C46">
        <w:t>1</w:t>
      </w:r>
      <w:r w:rsidR="008B77B5" w:rsidRPr="008B77B5">
        <w:t>.</w:t>
      </w:r>
      <w:r w:rsidRPr="007D6C46">
        <w:tab/>
      </w:r>
      <w:r w:rsidR="00CE614F" w:rsidRPr="00CE614F">
        <w:rPr>
          <w:bCs/>
        </w:rPr>
        <w:t xml:space="preserve">Ajout d’une nouvelle rubrique pour le 5-trifluorométhyltétrazole, </w:t>
      </w:r>
      <w:r w:rsidR="00CE614F">
        <w:rPr>
          <w:bCs/>
        </w:rPr>
        <w:br/>
      </w:r>
      <w:r w:rsidR="00CE614F" w:rsidRPr="00CE614F">
        <w:rPr>
          <w:bCs/>
        </w:rPr>
        <w:t xml:space="preserve">sel de sodium (TFMT-Na) dans l’acétone, comme matière </w:t>
      </w:r>
      <w:r w:rsidR="00CE614F">
        <w:rPr>
          <w:bCs/>
        </w:rPr>
        <w:br/>
      </w:r>
      <w:r w:rsidR="00CE614F" w:rsidRPr="00CE614F">
        <w:rPr>
          <w:bCs/>
        </w:rPr>
        <w:t xml:space="preserve">explosible désensibilisée, dans la liste des marchandises </w:t>
      </w:r>
      <w:r w:rsidR="00CE614F">
        <w:rPr>
          <w:bCs/>
        </w:rPr>
        <w:br/>
      </w:r>
      <w:r w:rsidR="00CE614F" w:rsidRPr="00CE614F">
        <w:rPr>
          <w:bCs/>
        </w:rPr>
        <w:t>dangereuses du Règlement type</w:t>
      </w:r>
      <w:r w:rsidRPr="007D6C46">
        <w:tab/>
      </w:r>
      <w:r w:rsidRPr="007D6C46">
        <w:tab/>
      </w:r>
      <w:r w:rsidR="00F878B0" w:rsidRPr="007D6C46">
        <w:t>29−30</w:t>
      </w:r>
      <w:r w:rsidRPr="007D6C46">
        <w:tab/>
      </w:r>
      <w:r w:rsidR="00CE614F">
        <w:t>9</w:t>
      </w:r>
    </w:p>
    <w:p w14:paraId="7960E4B6" w14:textId="3988F213" w:rsidR="00564BA0" w:rsidRPr="007D6C46" w:rsidRDefault="00564BA0" w:rsidP="00564BA0">
      <w:pPr>
        <w:tabs>
          <w:tab w:val="right" w:leader="dot" w:pos="7654"/>
          <w:tab w:val="right" w:pos="8929"/>
          <w:tab w:val="right" w:pos="9638"/>
        </w:tabs>
        <w:spacing w:after="120"/>
        <w:ind w:left="1984" w:hanging="425"/>
      </w:pPr>
      <w:r w:rsidRPr="007D6C46">
        <w:t>2</w:t>
      </w:r>
      <w:r w:rsidR="008B77B5" w:rsidRPr="008B77B5">
        <w:t>.</w:t>
      </w:r>
      <w:r w:rsidRPr="007D6C46">
        <w:tab/>
      </w:r>
      <w:r w:rsidR="00CE614F" w:rsidRPr="00CE614F">
        <w:rPr>
          <w:bCs/>
        </w:rPr>
        <w:t xml:space="preserve">Classement des membranes filtrantes en nitrocellulose servant </w:t>
      </w:r>
      <w:r w:rsidR="00CE614F">
        <w:rPr>
          <w:bCs/>
        </w:rPr>
        <w:br/>
      </w:r>
      <w:r w:rsidR="00CE614F" w:rsidRPr="00CE614F">
        <w:rPr>
          <w:bCs/>
          <w:spacing w:val="-2"/>
        </w:rPr>
        <w:t>à des fins de diagnostic et d’autres applications en sciences de la vie</w:t>
      </w:r>
      <w:r w:rsidRPr="00CE614F">
        <w:rPr>
          <w:spacing w:val="-2"/>
        </w:rPr>
        <w:tab/>
      </w:r>
      <w:r w:rsidRPr="007D6C46">
        <w:tab/>
      </w:r>
      <w:r w:rsidR="00F878B0" w:rsidRPr="007D6C46">
        <w:t>31−32</w:t>
      </w:r>
      <w:r w:rsidRPr="007D6C46">
        <w:tab/>
      </w:r>
      <w:r w:rsidR="00CE614F">
        <w:t>10</w:t>
      </w:r>
    </w:p>
    <w:p w14:paraId="153300FF" w14:textId="184B2447" w:rsidR="00564BA0" w:rsidRPr="007D6C46" w:rsidRDefault="00564BA0" w:rsidP="00564BA0">
      <w:pPr>
        <w:tabs>
          <w:tab w:val="right" w:leader="dot" w:pos="7654"/>
          <w:tab w:val="right" w:pos="8929"/>
          <w:tab w:val="right" w:pos="9638"/>
        </w:tabs>
        <w:spacing w:after="120"/>
        <w:ind w:left="1984" w:hanging="425"/>
      </w:pPr>
      <w:r w:rsidRPr="007D6C46">
        <w:t>3</w:t>
      </w:r>
      <w:r w:rsidR="008B77B5" w:rsidRPr="008B77B5">
        <w:t>.</w:t>
      </w:r>
      <w:r w:rsidRPr="007D6C46">
        <w:tab/>
      </w:r>
      <w:r w:rsidR="00CE614F" w:rsidRPr="00CE614F">
        <w:rPr>
          <w:rFonts w:eastAsia="SimSun"/>
          <w:bCs/>
          <w:lang w:eastAsia="zh-CN"/>
        </w:rPr>
        <w:t xml:space="preserve">Nouvelles dispositions spéciales et dispositions spéciales </w:t>
      </w:r>
      <w:r w:rsidR="00CE614F">
        <w:rPr>
          <w:rFonts w:eastAsia="SimSun"/>
          <w:bCs/>
          <w:lang w:eastAsia="zh-CN"/>
        </w:rPr>
        <w:br/>
      </w:r>
      <w:r w:rsidR="00CE614F" w:rsidRPr="00CE614F">
        <w:rPr>
          <w:rFonts w:eastAsia="SimSun"/>
          <w:bCs/>
          <w:lang w:eastAsia="zh-CN"/>
        </w:rPr>
        <w:t>d’emballage applicables au No ONU 2029</w:t>
      </w:r>
      <w:r w:rsidRPr="007D6C46">
        <w:tab/>
      </w:r>
      <w:r w:rsidRPr="007D6C46">
        <w:tab/>
      </w:r>
      <w:r w:rsidR="00F878B0" w:rsidRPr="007D6C46">
        <w:t>33</w:t>
      </w:r>
      <w:r w:rsidRPr="007D6C46">
        <w:tab/>
      </w:r>
      <w:r w:rsidR="00CE614F">
        <w:t>10</w:t>
      </w:r>
    </w:p>
    <w:p w14:paraId="60B9F93F" w14:textId="5398D605" w:rsidR="00564BA0" w:rsidRPr="007D6C46" w:rsidRDefault="00564BA0" w:rsidP="00564BA0">
      <w:pPr>
        <w:tabs>
          <w:tab w:val="right" w:leader="dot" w:pos="7654"/>
          <w:tab w:val="right" w:pos="8929"/>
          <w:tab w:val="right" w:pos="9638"/>
        </w:tabs>
        <w:spacing w:after="120"/>
        <w:ind w:left="1984" w:hanging="425"/>
      </w:pPr>
      <w:r w:rsidRPr="007D6C46">
        <w:t>4</w:t>
      </w:r>
      <w:r w:rsidR="008B77B5" w:rsidRPr="008B77B5">
        <w:t>.</w:t>
      </w:r>
      <w:r w:rsidRPr="007D6C46">
        <w:tab/>
      </w:r>
      <w:bookmarkStart w:id="4" w:name="_Hlk114947059"/>
      <w:r w:rsidRPr="007D6C46">
        <w:t>Ajout d’une nouvelle rubrique pour la N-nitro-</w:t>
      </w:r>
      <w:proofErr w:type="spellStart"/>
      <w:r w:rsidRPr="007D6C46">
        <w:t>imino</w:t>
      </w:r>
      <w:proofErr w:type="spellEnd"/>
      <w:r w:rsidRPr="007D6C46">
        <w:t>-</w:t>
      </w:r>
      <w:proofErr w:type="spellStart"/>
      <w:r w:rsidRPr="007D6C46">
        <w:t>imidazolidine</w:t>
      </w:r>
      <w:bookmarkEnd w:id="4"/>
      <w:proofErr w:type="spellEnd"/>
      <w:r w:rsidRPr="007D6C46">
        <w:tab/>
      </w:r>
      <w:r w:rsidRPr="007D6C46">
        <w:tab/>
      </w:r>
      <w:r w:rsidR="00F878B0" w:rsidRPr="007D6C46">
        <w:t>34</w:t>
      </w:r>
      <w:r w:rsidRPr="007D6C46">
        <w:tab/>
      </w:r>
      <w:r w:rsidR="00CE614F">
        <w:t>10</w:t>
      </w:r>
    </w:p>
    <w:p w14:paraId="599BD215" w14:textId="185A27BB" w:rsidR="00564BA0" w:rsidRPr="007D6C46" w:rsidRDefault="00564BA0" w:rsidP="00564BA0">
      <w:pPr>
        <w:tabs>
          <w:tab w:val="right" w:leader="dot" w:pos="7654"/>
          <w:tab w:val="right" w:pos="8929"/>
          <w:tab w:val="right" w:pos="9638"/>
        </w:tabs>
        <w:spacing w:after="120"/>
        <w:ind w:left="1984" w:hanging="425"/>
      </w:pPr>
      <w:r w:rsidRPr="007D6C46">
        <w:t>5</w:t>
      </w:r>
      <w:r w:rsidR="008B77B5" w:rsidRPr="008B77B5">
        <w:t>.</w:t>
      </w:r>
      <w:r w:rsidRPr="007D6C46">
        <w:tab/>
      </w:r>
      <w:bookmarkStart w:id="5" w:name="_Hlk114947120"/>
      <w:r w:rsidRPr="007D6C46">
        <w:t>Classification des artifices de divertissement</w:t>
      </w:r>
      <w:bookmarkEnd w:id="5"/>
      <w:r w:rsidRPr="007D6C46">
        <w:tab/>
      </w:r>
      <w:r w:rsidRPr="007D6C46">
        <w:tab/>
      </w:r>
      <w:r w:rsidR="00F878B0" w:rsidRPr="007D6C46">
        <w:t>35</w:t>
      </w:r>
      <w:r w:rsidRPr="007D6C46">
        <w:tab/>
      </w:r>
      <w:r w:rsidR="00CE614F">
        <w:t>10</w:t>
      </w:r>
    </w:p>
    <w:p w14:paraId="49D7548F" w14:textId="4B44BE11" w:rsidR="00564BA0" w:rsidRPr="007D6C46" w:rsidRDefault="00564BA0" w:rsidP="00564BA0">
      <w:pPr>
        <w:tabs>
          <w:tab w:val="right" w:pos="850"/>
          <w:tab w:val="right" w:leader="dot" w:pos="7654"/>
          <w:tab w:val="right" w:pos="8929"/>
          <w:tab w:val="right" w:pos="9638"/>
        </w:tabs>
        <w:spacing w:after="120"/>
        <w:ind w:left="1134" w:hanging="1134"/>
      </w:pPr>
      <w:r w:rsidRPr="007D6C46">
        <w:tab/>
        <w:t>V</w:t>
      </w:r>
      <w:r w:rsidR="008B77B5" w:rsidRPr="008B77B5">
        <w:t>.</w:t>
      </w:r>
      <w:r w:rsidRPr="007D6C46">
        <w:tab/>
        <w:t>Inscription, classement et emballage (point 3 de l’ordre du jour)</w:t>
      </w:r>
      <w:r w:rsidRPr="007D6C46">
        <w:tab/>
      </w:r>
      <w:r w:rsidRPr="007D6C46">
        <w:tab/>
      </w:r>
      <w:r w:rsidR="00F878B0" w:rsidRPr="007D6C46">
        <w:t>36</w:t>
      </w:r>
      <w:r w:rsidRPr="007D6C46">
        <w:t>−</w:t>
      </w:r>
      <w:r w:rsidR="00F878B0" w:rsidRPr="007D6C46">
        <w:t>52</w:t>
      </w:r>
      <w:r w:rsidRPr="007D6C46">
        <w:tab/>
      </w:r>
      <w:r w:rsidR="00CE614F">
        <w:t>11</w:t>
      </w:r>
    </w:p>
    <w:p w14:paraId="64D3BF20" w14:textId="534DCF88" w:rsidR="00564BA0" w:rsidRPr="007D6C46" w:rsidRDefault="00564BA0" w:rsidP="00564BA0">
      <w:pPr>
        <w:tabs>
          <w:tab w:val="right" w:leader="dot" w:pos="7654"/>
          <w:tab w:val="right" w:pos="8929"/>
          <w:tab w:val="right" w:pos="9638"/>
        </w:tabs>
        <w:spacing w:after="120"/>
        <w:ind w:left="1559" w:hanging="425"/>
      </w:pPr>
      <w:r w:rsidRPr="007D6C46">
        <w:t>A</w:t>
      </w:r>
      <w:r w:rsidR="008B77B5" w:rsidRPr="008B77B5">
        <w:t>.</w:t>
      </w:r>
      <w:r w:rsidRPr="007D6C46">
        <w:tab/>
        <w:t xml:space="preserve">Corrections mineures aux désignations officielles de transport </w:t>
      </w:r>
      <w:r w:rsidRPr="007D6C46">
        <w:br/>
        <w:t>pour les Nos ONU 0511, 0512 et 0513</w:t>
      </w:r>
      <w:r w:rsidRPr="007D6C46">
        <w:tab/>
      </w:r>
      <w:r w:rsidRPr="007D6C46">
        <w:tab/>
      </w:r>
      <w:r w:rsidR="00F878B0" w:rsidRPr="007D6C46">
        <w:t>36</w:t>
      </w:r>
      <w:r w:rsidRPr="007D6C46">
        <w:tab/>
      </w:r>
      <w:r w:rsidR="00CE614F">
        <w:t>11</w:t>
      </w:r>
    </w:p>
    <w:p w14:paraId="2A580BEA" w14:textId="2FAA1A80" w:rsidR="00564BA0" w:rsidRPr="007D6C46" w:rsidRDefault="00564BA0" w:rsidP="00564BA0">
      <w:pPr>
        <w:tabs>
          <w:tab w:val="right" w:leader="dot" w:pos="7654"/>
          <w:tab w:val="right" w:pos="8929"/>
          <w:tab w:val="right" w:pos="9638"/>
        </w:tabs>
        <w:spacing w:after="120"/>
        <w:ind w:left="1559" w:hanging="425"/>
      </w:pPr>
      <w:r w:rsidRPr="007D6C46">
        <w:t>B</w:t>
      </w:r>
      <w:r w:rsidR="008B77B5" w:rsidRPr="008B77B5">
        <w:t>.</w:t>
      </w:r>
      <w:r w:rsidRPr="007D6C46">
        <w:tab/>
        <w:t xml:space="preserve">Harmonisation de la traduction de « base </w:t>
      </w:r>
      <w:proofErr w:type="spellStart"/>
      <w:r w:rsidRPr="007D6C46">
        <w:t>material</w:t>
      </w:r>
      <w:proofErr w:type="spellEnd"/>
      <w:r w:rsidRPr="007D6C46">
        <w:t xml:space="preserve"> » dans la version </w:t>
      </w:r>
      <w:r w:rsidRPr="007D6C46">
        <w:br/>
      </w:r>
      <w:bookmarkStart w:id="6" w:name="_Hlk115034898"/>
      <w:r w:rsidRPr="007D6C46">
        <w:t xml:space="preserve">en langue </w:t>
      </w:r>
      <w:bookmarkEnd w:id="6"/>
      <w:r w:rsidRPr="007D6C46">
        <w:t>espagnole</w:t>
      </w:r>
      <w:r w:rsidRPr="007D6C46">
        <w:tab/>
      </w:r>
      <w:r w:rsidRPr="007D6C46">
        <w:tab/>
      </w:r>
      <w:r w:rsidR="00F878B0" w:rsidRPr="007D6C46">
        <w:t>37</w:t>
      </w:r>
      <w:r w:rsidRPr="007D6C46">
        <w:tab/>
      </w:r>
      <w:r w:rsidR="00CE614F">
        <w:t>11</w:t>
      </w:r>
    </w:p>
    <w:p w14:paraId="0ECDC8F5" w14:textId="1C62C7AA" w:rsidR="00564BA0" w:rsidRPr="007D6C46" w:rsidRDefault="00564BA0" w:rsidP="00564BA0">
      <w:pPr>
        <w:tabs>
          <w:tab w:val="right" w:leader="dot" w:pos="7654"/>
          <w:tab w:val="right" w:pos="8929"/>
          <w:tab w:val="right" w:pos="9638"/>
        </w:tabs>
        <w:spacing w:after="120"/>
        <w:ind w:left="1559" w:hanging="425"/>
      </w:pPr>
      <w:r w:rsidRPr="007D6C46">
        <w:t>C</w:t>
      </w:r>
      <w:r w:rsidR="008B77B5" w:rsidRPr="008B77B5">
        <w:t>.</w:t>
      </w:r>
      <w:r w:rsidRPr="007D6C46">
        <w:tab/>
        <w:t>Activité spécifique et activité massique</w:t>
      </w:r>
      <w:r w:rsidRPr="007D6C46">
        <w:tab/>
      </w:r>
      <w:r w:rsidRPr="007D6C46">
        <w:tab/>
        <w:t>3</w:t>
      </w:r>
      <w:r w:rsidR="00F878B0" w:rsidRPr="007D6C46">
        <w:t>8</w:t>
      </w:r>
      <w:r w:rsidRPr="007D6C46">
        <w:tab/>
      </w:r>
      <w:r w:rsidR="00CE614F">
        <w:t>11</w:t>
      </w:r>
    </w:p>
    <w:p w14:paraId="07A31448" w14:textId="518BADEF" w:rsidR="00564BA0" w:rsidRPr="007D6C46" w:rsidRDefault="00564BA0" w:rsidP="00564BA0">
      <w:pPr>
        <w:tabs>
          <w:tab w:val="right" w:leader="dot" w:pos="7654"/>
          <w:tab w:val="right" w:pos="8929"/>
          <w:tab w:val="right" w:pos="9638"/>
        </w:tabs>
        <w:spacing w:after="120"/>
        <w:ind w:left="1559" w:hanging="425"/>
      </w:pPr>
      <w:r w:rsidRPr="007D6C46">
        <w:t>D</w:t>
      </w:r>
      <w:r w:rsidR="008B77B5" w:rsidRPr="008B77B5">
        <w:t>.</w:t>
      </w:r>
      <w:r w:rsidRPr="007D6C46">
        <w:tab/>
        <w:t>Affectation des objets aux groupes d’emballage</w:t>
      </w:r>
      <w:r w:rsidRPr="007D6C46">
        <w:tab/>
      </w:r>
      <w:r w:rsidRPr="007D6C46">
        <w:tab/>
        <w:t>3</w:t>
      </w:r>
      <w:r w:rsidR="00F878B0" w:rsidRPr="007D6C46">
        <w:t>9</w:t>
      </w:r>
      <w:r w:rsidRPr="007D6C46">
        <w:tab/>
      </w:r>
      <w:r w:rsidR="00CE614F">
        <w:t>11</w:t>
      </w:r>
    </w:p>
    <w:p w14:paraId="164DC741" w14:textId="6F84CAA2" w:rsidR="00564BA0" w:rsidRPr="007D6C46" w:rsidRDefault="00564BA0" w:rsidP="00564BA0">
      <w:pPr>
        <w:tabs>
          <w:tab w:val="right" w:leader="dot" w:pos="7654"/>
          <w:tab w:val="right" w:pos="8929"/>
          <w:tab w:val="right" w:pos="9638"/>
        </w:tabs>
        <w:spacing w:after="120"/>
        <w:ind w:left="1559" w:hanging="425"/>
      </w:pPr>
      <w:r w:rsidRPr="007D6C46">
        <w:t>E</w:t>
      </w:r>
      <w:r w:rsidR="008B77B5" w:rsidRPr="008B77B5">
        <w:t>.</w:t>
      </w:r>
      <w:r w:rsidRPr="007D6C46">
        <w:tab/>
        <w:t xml:space="preserve">Proposition d’ajout d’un numéro ONU pour le </w:t>
      </w:r>
      <w:proofErr w:type="spellStart"/>
      <w:r w:rsidRPr="007D6C46">
        <w:t>disilane</w:t>
      </w:r>
      <w:proofErr w:type="spellEnd"/>
      <w:r w:rsidRPr="007D6C46">
        <w:tab/>
      </w:r>
      <w:r w:rsidRPr="007D6C46">
        <w:tab/>
      </w:r>
      <w:r w:rsidR="00F878B0" w:rsidRPr="007D6C46">
        <w:t>40−41</w:t>
      </w:r>
      <w:r w:rsidRPr="007D6C46">
        <w:tab/>
      </w:r>
      <w:r w:rsidR="00CE614F">
        <w:t>11</w:t>
      </w:r>
    </w:p>
    <w:p w14:paraId="40E1CBD3" w14:textId="4A16030C" w:rsidR="00564BA0" w:rsidRPr="007D6C46" w:rsidRDefault="00564BA0" w:rsidP="00564BA0">
      <w:pPr>
        <w:tabs>
          <w:tab w:val="right" w:leader="dot" w:pos="7654"/>
          <w:tab w:val="right" w:pos="8929"/>
          <w:tab w:val="right" w:pos="9638"/>
        </w:tabs>
        <w:spacing w:after="120"/>
        <w:ind w:left="1559" w:hanging="425"/>
      </w:pPr>
      <w:r w:rsidRPr="007D6C46">
        <w:t>F</w:t>
      </w:r>
      <w:r w:rsidR="008B77B5" w:rsidRPr="008B77B5">
        <w:t>.</w:t>
      </w:r>
      <w:r w:rsidRPr="007D6C46">
        <w:tab/>
        <w:t xml:space="preserve">Révision du classement de l’hydroxyde de </w:t>
      </w:r>
      <w:proofErr w:type="spellStart"/>
      <w:r w:rsidRPr="007D6C46">
        <w:t>tétraméthylammonium</w:t>
      </w:r>
      <w:proofErr w:type="spellEnd"/>
      <w:r w:rsidRPr="007D6C46">
        <w:tab/>
      </w:r>
      <w:r w:rsidRPr="007D6C46">
        <w:tab/>
      </w:r>
      <w:r w:rsidR="00F878B0" w:rsidRPr="007D6C46">
        <w:t>4</w:t>
      </w:r>
      <w:r w:rsidRPr="007D6C46">
        <w:t>2</w:t>
      </w:r>
      <w:r w:rsidR="00F878B0" w:rsidRPr="007D6C46">
        <w:t>−43</w:t>
      </w:r>
      <w:r w:rsidRPr="007D6C46">
        <w:tab/>
      </w:r>
      <w:r w:rsidR="00CE614F">
        <w:t>12</w:t>
      </w:r>
    </w:p>
    <w:p w14:paraId="315534DF" w14:textId="42DDD278" w:rsidR="00564BA0" w:rsidRPr="007D6C46" w:rsidRDefault="00564BA0" w:rsidP="00564BA0">
      <w:pPr>
        <w:tabs>
          <w:tab w:val="right" w:leader="dot" w:pos="7654"/>
          <w:tab w:val="right" w:pos="8929"/>
          <w:tab w:val="right" w:pos="9638"/>
        </w:tabs>
        <w:spacing w:after="120"/>
        <w:ind w:left="1559" w:hanging="425"/>
        <w:rPr>
          <w:bCs/>
        </w:rPr>
      </w:pPr>
      <w:r w:rsidRPr="007D6C46">
        <w:t>G</w:t>
      </w:r>
      <w:r w:rsidR="008B77B5" w:rsidRPr="008B77B5">
        <w:t>.</w:t>
      </w:r>
      <w:r w:rsidRPr="007D6C46">
        <w:tab/>
      </w:r>
      <w:r w:rsidRPr="007D6C46">
        <w:rPr>
          <w:bCs/>
        </w:rPr>
        <w:t xml:space="preserve">Dispositions relatives au transport de petites quantités de peintures </w:t>
      </w:r>
      <w:r w:rsidRPr="007D6C46">
        <w:rPr>
          <w:bCs/>
        </w:rPr>
        <w:br/>
        <w:t xml:space="preserve">et d’encres d’imprimerie dangereuses pour l’environnement </w:t>
      </w:r>
      <w:r w:rsidRPr="007D6C46">
        <w:rPr>
          <w:bCs/>
        </w:rPr>
        <w:br/>
        <w:t>(et matières apparentées)</w:t>
      </w:r>
      <w:r w:rsidRPr="007D6C46">
        <w:rPr>
          <w:bCs/>
        </w:rPr>
        <w:tab/>
      </w:r>
      <w:r w:rsidRPr="007D6C46">
        <w:rPr>
          <w:bCs/>
        </w:rPr>
        <w:tab/>
      </w:r>
      <w:r w:rsidR="00F878B0" w:rsidRPr="007D6C46">
        <w:rPr>
          <w:bCs/>
        </w:rPr>
        <w:t>4</w:t>
      </w:r>
      <w:r w:rsidRPr="007D6C46">
        <w:rPr>
          <w:bCs/>
        </w:rPr>
        <w:t>4</w:t>
      </w:r>
      <w:r w:rsidRPr="007D6C46">
        <w:rPr>
          <w:bCs/>
        </w:rPr>
        <w:tab/>
      </w:r>
      <w:r w:rsidR="00CE614F">
        <w:rPr>
          <w:bCs/>
        </w:rPr>
        <w:t>12</w:t>
      </w:r>
    </w:p>
    <w:p w14:paraId="2CDA12F9" w14:textId="3DBA9DD4" w:rsidR="00564BA0" w:rsidRPr="007D6C46" w:rsidRDefault="00564BA0" w:rsidP="00564BA0">
      <w:pPr>
        <w:tabs>
          <w:tab w:val="right" w:leader="dot" w:pos="7654"/>
          <w:tab w:val="right" w:pos="8929"/>
          <w:tab w:val="right" w:pos="9638"/>
        </w:tabs>
        <w:spacing w:after="120"/>
        <w:ind w:left="1559" w:hanging="425"/>
      </w:pPr>
      <w:r w:rsidRPr="007D6C46">
        <w:rPr>
          <w:bCs/>
        </w:rPr>
        <w:t>H</w:t>
      </w:r>
      <w:r w:rsidR="008B77B5" w:rsidRPr="008B77B5">
        <w:rPr>
          <w:bCs/>
        </w:rPr>
        <w:t>.</w:t>
      </w:r>
      <w:r w:rsidRPr="007D6C46">
        <w:rPr>
          <w:bCs/>
        </w:rPr>
        <w:tab/>
      </w:r>
      <w:bookmarkStart w:id="7" w:name="_Hlk114997275"/>
      <w:r w:rsidRPr="007D6C46">
        <w:t>Révision de l’emplacement de la marque des caractéristiques ONU</w:t>
      </w:r>
      <w:r w:rsidRPr="007D6C46">
        <w:br/>
        <w:t>– </w:t>
      </w:r>
      <w:bookmarkEnd w:id="7"/>
      <w:r w:rsidRPr="007D6C46">
        <w:t>proposition additionnelle pour le document</w:t>
      </w:r>
      <w:r w:rsidRPr="007D6C46">
        <w:br/>
        <w:t>ST/SG/AC</w:t>
      </w:r>
      <w:r w:rsidR="008B77B5" w:rsidRPr="008B77B5">
        <w:t>.</w:t>
      </w:r>
      <w:r w:rsidRPr="007D6C46">
        <w:t>10/C</w:t>
      </w:r>
      <w:r w:rsidR="008B77B5" w:rsidRPr="008B77B5">
        <w:t>.</w:t>
      </w:r>
      <w:r w:rsidRPr="007D6C46">
        <w:t>3/2021/52</w:t>
      </w:r>
      <w:r w:rsidRPr="007D6C46">
        <w:tab/>
      </w:r>
      <w:r w:rsidRPr="007D6C46">
        <w:tab/>
      </w:r>
      <w:r w:rsidR="00F878B0" w:rsidRPr="007D6C46">
        <w:t>4</w:t>
      </w:r>
      <w:r w:rsidRPr="007D6C46">
        <w:t>5</w:t>
      </w:r>
      <w:r w:rsidRPr="007D6C46">
        <w:tab/>
      </w:r>
      <w:r w:rsidR="00CE614F">
        <w:t>12</w:t>
      </w:r>
    </w:p>
    <w:p w14:paraId="4516AAA1" w14:textId="00396FD7" w:rsidR="00564BA0" w:rsidRPr="007D6C46" w:rsidRDefault="00564BA0" w:rsidP="00564BA0">
      <w:pPr>
        <w:tabs>
          <w:tab w:val="right" w:leader="dot" w:pos="7654"/>
          <w:tab w:val="right" w:pos="8929"/>
          <w:tab w:val="right" w:pos="9638"/>
        </w:tabs>
        <w:spacing w:after="120"/>
        <w:ind w:left="1559" w:hanging="425"/>
      </w:pPr>
      <w:r w:rsidRPr="007D6C46">
        <w:t>I</w:t>
      </w:r>
      <w:r w:rsidR="008B77B5" w:rsidRPr="008B77B5">
        <w:t>.</w:t>
      </w:r>
      <w:r w:rsidRPr="007D6C46">
        <w:tab/>
        <w:t xml:space="preserve">Proposition d’exemption pour les objets manufacturés contenant </w:t>
      </w:r>
      <w:r w:rsidRPr="007D6C46">
        <w:br/>
        <w:t xml:space="preserve">de petites quantités de gallium (version actualisée du document </w:t>
      </w:r>
      <w:r w:rsidRPr="007D6C46">
        <w:br/>
        <w:t>ST/SG/AC</w:t>
      </w:r>
      <w:r w:rsidR="008B77B5" w:rsidRPr="008B77B5">
        <w:t>.</w:t>
      </w:r>
      <w:r w:rsidRPr="007D6C46">
        <w:t>10/C</w:t>
      </w:r>
      <w:r w:rsidR="008B77B5" w:rsidRPr="008B77B5">
        <w:t>.</w:t>
      </w:r>
      <w:r w:rsidRPr="007D6C46">
        <w:t>3/2021/53)</w:t>
      </w:r>
      <w:r w:rsidRPr="007D6C46">
        <w:tab/>
      </w:r>
      <w:r w:rsidRPr="007D6C46">
        <w:tab/>
      </w:r>
      <w:r w:rsidR="00F878B0" w:rsidRPr="007D6C46">
        <w:t>46</w:t>
      </w:r>
      <w:r w:rsidRPr="007D6C46">
        <w:tab/>
      </w:r>
      <w:r w:rsidR="00CE614F">
        <w:t>12</w:t>
      </w:r>
    </w:p>
    <w:p w14:paraId="119CC9F8" w14:textId="086AA270" w:rsidR="00564BA0" w:rsidRPr="007D6C46" w:rsidRDefault="00564BA0" w:rsidP="00564BA0">
      <w:pPr>
        <w:tabs>
          <w:tab w:val="right" w:leader="dot" w:pos="7654"/>
          <w:tab w:val="right" w:pos="8929"/>
          <w:tab w:val="right" w:pos="9638"/>
        </w:tabs>
        <w:spacing w:after="120"/>
        <w:ind w:left="1559" w:hanging="425"/>
      </w:pPr>
      <w:r w:rsidRPr="007D6C46">
        <w:t>J</w:t>
      </w:r>
      <w:r w:rsidR="008B77B5" w:rsidRPr="008B77B5">
        <w:t>.</w:t>
      </w:r>
      <w:r w:rsidRPr="007D6C46">
        <w:tab/>
        <w:t xml:space="preserve">Ajout d’une rubrique pour les mélanges de butylènes dans l’index </w:t>
      </w:r>
      <w:r w:rsidRPr="007D6C46">
        <w:br/>
        <w:t>alphabétique des matières et objets</w:t>
      </w:r>
      <w:r w:rsidRPr="007D6C46">
        <w:tab/>
      </w:r>
      <w:r w:rsidRPr="007D6C46">
        <w:tab/>
      </w:r>
      <w:r w:rsidR="00F878B0" w:rsidRPr="007D6C46">
        <w:t>47</w:t>
      </w:r>
      <w:r w:rsidRPr="007D6C46">
        <w:tab/>
      </w:r>
      <w:r w:rsidR="00CE614F">
        <w:t>13</w:t>
      </w:r>
    </w:p>
    <w:p w14:paraId="46FCDCA6" w14:textId="0972F033" w:rsidR="00564BA0" w:rsidRPr="007D6C46" w:rsidRDefault="00564BA0" w:rsidP="00564BA0">
      <w:pPr>
        <w:tabs>
          <w:tab w:val="right" w:leader="dot" w:pos="7654"/>
          <w:tab w:val="right" w:pos="8929"/>
          <w:tab w:val="right" w:pos="9638"/>
        </w:tabs>
        <w:spacing w:after="120"/>
        <w:ind w:left="1559" w:hanging="425"/>
      </w:pPr>
      <w:r w:rsidRPr="007D6C46">
        <w:t>K</w:t>
      </w:r>
      <w:r w:rsidR="008B77B5" w:rsidRPr="008B77B5">
        <w:t>.</w:t>
      </w:r>
      <w:r w:rsidRPr="007D6C46">
        <w:tab/>
        <w:t>Classification de l’</w:t>
      </w:r>
      <w:proofErr w:type="spellStart"/>
      <w:r w:rsidRPr="007D6C46">
        <w:t>orthopoxvirus</w:t>
      </w:r>
      <w:proofErr w:type="spellEnd"/>
      <w:r w:rsidRPr="007D6C46">
        <w:t xml:space="preserve"> simien</w:t>
      </w:r>
      <w:r w:rsidRPr="007D6C46">
        <w:tab/>
      </w:r>
      <w:r w:rsidRPr="007D6C46">
        <w:tab/>
      </w:r>
      <w:r w:rsidR="00F878B0" w:rsidRPr="007D6C46">
        <w:t>48−50</w:t>
      </w:r>
      <w:r w:rsidRPr="007D6C46">
        <w:tab/>
      </w:r>
      <w:r w:rsidR="00CE614F">
        <w:t>13</w:t>
      </w:r>
    </w:p>
    <w:p w14:paraId="6DA9B6ED" w14:textId="4D5C9B1F" w:rsidR="00564BA0" w:rsidRPr="007D6C46" w:rsidRDefault="00564BA0" w:rsidP="00564BA0">
      <w:pPr>
        <w:tabs>
          <w:tab w:val="right" w:leader="dot" w:pos="7654"/>
          <w:tab w:val="right" w:pos="8929"/>
          <w:tab w:val="right" w:pos="9638"/>
        </w:tabs>
        <w:spacing w:after="120"/>
        <w:ind w:left="1559" w:hanging="425"/>
      </w:pPr>
      <w:r w:rsidRPr="007D6C46">
        <w:t>L</w:t>
      </w:r>
      <w:r w:rsidR="008B77B5" w:rsidRPr="008B77B5">
        <w:t>.</w:t>
      </w:r>
      <w:r w:rsidRPr="007D6C46">
        <w:tab/>
        <w:t xml:space="preserve">Ajout de la classe 8 en tant que danger subsidiaire pour le </w:t>
      </w:r>
      <w:r w:rsidR="00CE614F">
        <w:t>No</w:t>
      </w:r>
      <w:r w:rsidRPr="007D6C46">
        <w:t xml:space="preserve"> ONU </w:t>
      </w:r>
      <w:r w:rsidRPr="007D6C46">
        <w:br/>
        <w:t>1040 OXYDE D’ÉTHYLÈNE</w:t>
      </w:r>
      <w:r w:rsidR="00CE614F">
        <w:t>,</w:t>
      </w:r>
      <w:r w:rsidRPr="007D6C46">
        <w:t xml:space="preserve"> ou OXYDE D’ÉTHYLÈNE AVEC </w:t>
      </w:r>
      <w:r w:rsidRPr="007D6C46">
        <w:br/>
        <w:t>DE L’AZOTE jusqu’à une pression totale de 1 MPa (10 bars) à 50 °C</w:t>
      </w:r>
      <w:r w:rsidRPr="007D6C46">
        <w:tab/>
      </w:r>
      <w:r w:rsidRPr="007D6C46">
        <w:tab/>
      </w:r>
      <w:r w:rsidR="00F878B0" w:rsidRPr="007D6C46">
        <w:t>51</w:t>
      </w:r>
      <w:r w:rsidRPr="007D6C46">
        <w:tab/>
      </w:r>
      <w:r w:rsidR="00CE614F">
        <w:t>13</w:t>
      </w:r>
    </w:p>
    <w:p w14:paraId="22DB8E25" w14:textId="49E09353" w:rsidR="00564BA0" w:rsidRPr="007D6C46" w:rsidRDefault="00564BA0" w:rsidP="00564BA0">
      <w:pPr>
        <w:tabs>
          <w:tab w:val="right" w:leader="dot" w:pos="7654"/>
          <w:tab w:val="right" w:pos="8929"/>
          <w:tab w:val="right" w:pos="9638"/>
        </w:tabs>
        <w:spacing w:after="120"/>
        <w:ind w:left="1559" w:hanging="425"/>
      </w:pPr>
      <w:r w:rsidRPr="007D6C46">
        <w:t>M</w:t>
      </w:r>
      <w:r w:rsidR="008B77B5" w:rsidRPr="008B77B5">
        <w:t>.</w:t>
      </w:r>
      <w:r w:rsidRPr="007D6C46">
        <w:tab/>
        <w:t>Dispositifs d’extinction du feu contenant une matière pyrotechnique</w:t>
      </w:r>
      <w:r w:rsidRPr="007D6C46">
        <w:tab/>
      </w:r>
      <w:r w:rsidRPr="007D6C46">
        <w:tab/>
      </w:r>
      <w:r w:rsidR="00F878B0" w:rsidRPr="007D6C46">
        <w:t>52−53</w:t>
      </w:r>
      <w:r w:rsidRPr="007D6C46">
        <w:tab/>
      </w:r>
      <w:r w:rsidR="00CE614F">
        <w:t>13</w:t>
      </w:r>
    </w:p>
    <w:p w14:paraId="5BE8F895" w14:textId="2FED481E" w:rsidR="00564BA0" w:rsidRPr="007D6C46" w:rsidRDefault="00564BA0" w:rsidP="00564BA0">
      <w:pPr>
        <w:tabs>
          <w:tab w:val="right" w:pos="850"/>
          <w:tab w:val="right" w:leader="dot" w:pos="7654"/>
          <w:tab w:val="right" w:pos="8929"/>
          <w:tab w:val="right" w:pos="9638"/>
        </w:tabs>
        <w:spacing w:after="120"/>
        <w:ind w:left="1134" w:hanging="1134"/>
      </w:pPr>
      <w:r w:rsidRPr="007D6C46">
        <w:tab/>
        <w:t>VI</w:t>
      </w:r>
      <w:r w:rsidR="008B77B5" w:rsidRPr="008B77B5">
        <w:t>.</w:t>
      </w:r>
      <w:r w:rsidRPr="007D6C46">
        <w:tab/>
        <w:t>Systèmes de stockage de l’électricité (point 4 de l’ordre du jour)</w:t>
      </w:r>
      <w:r w:rsidRPr="007D6C46">
        <w:tab/>
      </w:r>
      <w:r w:rsidRPr="007D6C46">
        <w:tab/>
      </w:r>
      <w:r w:rsidR="00F878B0" w:rsidRPr="007D6C46">
        <w:t>54</w:t>
      </w:r>
      <w:r w:rsidRPr="007D6C46">
        <w:t>−</w:t>
      </w:r>
      <w:r w:rsidR="00F878B0" w:rsidRPr="007D6C46">
        <w:t>6</w:t>
      </w:r>
      <w:r w:rsidRPr="007D6C46">
        <w:t>8</w:t>
      </w:r>
      <w:r w:rsidRPr="007D6C46">
        <w:tab/>
      </w:r>
      <w:r w:rsidR="00CE614F">
        <w:t>14</w:t>
      </w:r>
    </w:p>
    <w:p w14:paraId="13954F7D" w14:textId="09F8EFFA" w:rsidR="00564BA0" w:rsidRPr="007D6C46" w:rsidRDefault="00564BA0" w:rsidP="00564BA0">
      <w:pPr>
        <w:tabs>
          <w:tab w:val="right" w:leader="dot" w:pos="7654"/>
          <w:tab w:val="right" w:pos="8929"/>
          <w:tab w:val="right" w:pos="9638"/>
        </w:tabs>
        <w:spacing w:after="120"/>
        <w:ind w:left="1559" w:hanging="425"/>
      </w:pPr>
      <w:r w:rsidRPr="007D6C46">
        <w:t>A</w:t>
      </w:r>
      <w:r w:rsidR="008B77B5" w:rsidRPr="008B77B5">
        <w:t>.</w:t>
      </w:r>
      <w:r w:rsidRPr="007D6C46">
        <w:tab/>
        <w:t>Épreuves pour les batteries au lithium</w:t>
      </w:r>
      <w:r w:rsidRPr="007D6C46">
        <w:tab/>
      </w:r>
      <w:r w:rsidRPr="007D6C46">
        <w:tab/>
      </w:r>
      <w:r w:rsidR="00F878B0" w:rsidRPr="007D6C46">
        <w:t>54</w:t>
      </w:r>
      <w:r w:rsidRPr="007D6C46">
        <w:tab/>
      </w:r>
      <w:r w:rsidR="00CE614F">
        <w:t>14</w:t>
      </w:r>
    </w:p>
    <w:p w14:paraId="62171C57" w14:textId="5A7A350B" w:rsidR="00564BA0" w:rsidRPr="007D6C46" w:rsidRDefault="00564BA0" w:rsidP="00564BA0">
      <w:pPr>
        <w:tabs>
          <w:tab w:val="right" w:leader="dot" w:pos="7654"/>
          <w:tab w:val="right" w:pos="8929"/>
          <w:tab w:val="right" w:pos="9638"/>
        </w:tabs>
        <w:spacing w:after="120"/>
        <w:ind w:left="1559" w:hanging="425"/>
      </w:pPr>
      <w:r w:rsidRPr="007D6C46">
        <w:t>B</w:t>
      </w:r>
      <w:r w:rsidR="008B77B5" w:rsidRPr="008B77B5">
        <w:t>.</w:t>
      </w:r>
      <w:r w:rsidRPr="007D6C46">
        <w:tab/>
        <w:t>Système de classification des batteries au lithium en fonction du danger</w:t>
      </w:r>
      <w:r w:rsidRPr="007D6C46">
        <w:tab/>
      </w:r>
      <w:r w:rsidRPr="007D6C46">
        <w:tab/>
      </w:r>
      <w:r w:rsidR="00EA2862" w:rsidRPr="007D6C46">
        <w:t>55</w:t>
      </w:r>
      <w:r w:rsidRPr="007D6C46">
        <w:tab/>
      </w:r>
      <w:r w:rsidR="00CE614F">
        <w:t>14</w:t>
      </w:r>
    </w:p>
    <w:p w14:paraId="2BA71CB5" w14:textId="63C46A65" w:rsidR="00564BA0" w:rsidRPr="007D6C46" w:rsidRDefault="00564BA0" w:rsidP="00564BA0">
      <w:pPr>
        <w:tabs>
          <w:tab w:val="right" w:leader="dot" w:pos="7654"/>
          <w:tab w:val="right" w:pos="8929"/>
          <w:tab w:val="right" w:pos="9638"/>
        </w:tabs>
        <w:spacing w:after="120"/>
        <w:ind w:left="1559" w:hanging="425"/>
      </w:pPr>
      <w:r w:rsidRPr="007D6C46">
        <w:t>C</w:t>
      </w:r>
      <w:r w:rsidR="008B77B5" w:rsidRPr="008B77B5">
        <w:t>.</w:t>
      </w:r>
      <w:r w:rsidRPr="007D6C46">
        <w:tab/>
        <w:t>Dispositions relatives au transport</w:t>
      </w:r>
      <w:r w:rsidRPr="007D6C46">
        <w:tab/>
      </w:r>
      <w:r w:rsidRPr="007D6C46">
        <w:tab/>
      </w:r>
      <w:r w:rsidR="00EA2862" w:rsidRPr="007D6C46">
        <w:t>56</w:t>
      </w:r>
      <w:r w:rsidRPr="007D6C46">
        <w:t>−</w:t>
      </w:r>
      <w:r w:rsidR="00EA2862" w:rsidRPr="007D6C46">
        <w:t>64</w:t>
      </w:r>
      <w:r w:rsidRPr="007D6C46">
        <w:tab/>
      </w:r>
      <w:r w:rsidR="00CE614F">
        <w:t>14</w:t>
      </w:r>
    </w:p>
    <w:p w14:paraId="45052332" w14:textId="0DB644D5" w:rsidR="00564BA0" w:rsidRPr="007D6C46" w:rsidRDefault="00564BA0" w:rsidP="00564BA0">
      <w:pPr>
        <w:tabs>
          <w:tab w:val="right" w:leader="dot" w:pos="7654"/>
          <w:tab w:val="right" w:pos="8929"/>
          <w:tab w:val="right" w:pos="9638"/>
        </w:tabs>
        <w:spacing w:after="120"/>
        <w:ind w:left="1984" w:hanging="425"/>
      </w:pPr>
      <w:r w:rsidRPr="007D6C46">
        <w:t>1</w:t>
      </w:r>
      <w:r w:rsidR="008B77B5" w:rsidRPr="008B77B5">
        <w:t>.</w:t>
      </w:r>
      <w:r w:rsidRPr="007D6C46">
        <w:tab/>
      </w:r>
      <w:r w:rsidR="00CE614F" w:rsidRPr="007D6C46">
        <w:rPr>
          <w:bCs/>
        </w:rPr>
        <w:t>Résumé du procès-verbal d’essai pour les piles au lithium</w:t>
      </w:r>
      <w:r w:rsidRPr="007D6C46">
        <w:tab/>
      </w:r>
      <w:r w:rsidRPr="007D6C46">
        <w:tab/>
      </w:r>
      <w:r w:rsidR="00EA2862" w:rsidRPr="007D6C46">
        <w:t>56</w:t>
      </w:r>
      <w:r w:rsidRPr="007D6C46">
        <w:tab/>
      </w:r>
      <w:r w:rsidR="00CE614F">
        <w:t>14</w:t>
      </w:r>
    </w:p>
    <w:p w14:paraId="71240E07" w14:textId="2D8A91AD" w:rsidR="00564BA0" w:rsidRPr="007D6C46" w:rsidRDefault="00564BA0" w:rsidP="00564BA0">
      <w:pPr>
        <w:tabs>
          <w:tab w:val="right" w:leader="dot" w:pos="7654"/>
          <w:tab w:val="right" w:pos="8929"/>
          <w:tab w:val="right" w:pos="9638"/>
        </w:tabs>
        <w:spacing w:after="120"/>
        <w:ind w:left="1984" w:hanging="425"/>
      </w:pPr>
      <w:r w:rsidRPr="007D6C46">
        <w:t>2</w:t>
      </w:r>
      <w:r w:rsidR="008B77B5" w:rsidRPr="008B77B5">
        <w:t>.</w:t>
      </w:r>
      <w:r w:rsidRPr="007D6C46">
        <w:tab/>
        <w:t>Amendements à l’alinéa 2) de l’instruction d’emballage P903</w:t>
      </w:r>
      <w:r w:rsidRPr="007D6C46">
        <w:tab/>
      </w:r>
      <w:r w:rsidRPr="007D6C46">
        <w:tab/>
      </w:r>
      <w:r w:rsidR="00EA2862" w:rsidRPr="007D6C46">
        <w:t>57</w:t>
      </w:r>
      <w:r w:rsidRPr="007D6C46">
        <w:tab/>
      </w:r>
      <w:r w:rsidR="00CE614F">
        <w:t>14</w:t>
      </w:r>
    </w:p>
    <w:p w14:paraId="0F3B0CB8" w14:textId="024D1EB5" w:rsidR="00564BA0" w:rsidRPr="007D6C46" w:rsidRDefault="00564BA0" w:rsidP="00564BA0">
      <w:pPr>
        <w:tabs>
          <w:tab w:val="right" w:leader="dot" w:pos="7654"/>
          <w:tab w:val="right" w:pos="8929"/>
          <w:tab w:val="right" w:pos="9638"/>
        </w:tabs>
        <w:spacing w:after="120"/>
        <w:ind w:left="1984" w:hanging="425"/>
      </w:pPr>
      <w:r w:rsidRPr="007D6C46">
        <w:t>3</w:t>
      </w:r>
      <w:r w:rsidR="008B77B5" w:rsidRPr="008B77B5">
        <w:t>.</w:t>
      </w:r>
      <w:r w:rsidRPr="007D6C46">
        <w:tab/>
      </w:r>
      <w:r w:rsidR="00CE614F" w:rsidRPr="007D6C46">
        <w:t xml:space="preserve">Réutilisation, réparation et reconversion des piles et batteries </w:t>
      </w:r>
      <w:r w:rsidR="00CE614F">
        <w:br/>
      </w:r>
      <w:r w:rsidR="00CE614F" w:rsidRPr="007D6C46">
        <w:t>au lithium ionique</w:t>
      </w:r>
      <w:r w:rsidR="00CE614F">
        <w:t xml:space="preserve"> </w:t>
      </w:r>
      <w:r w:rsidR="00CE614F" w:rsidRPr="007D6C46">
        <w:t xml:space="preserve">et incidences sur les dispositions relatives </w:t>
      </w:r>
      <w:r w:rsidR="00CE614F">
        <w:br/>
      </w:r>
      <w:r w:rsidR="00CE614F" w:rsidRPr="007D6C46">
        <w:t>à la sécurité et aux épreuves de la section 38</w:t>
      </w:r>
      <w:r w:rsidR="008B77B5" w:rsidRPr="008B77B5">
        <w:t>.</w:t>
      </w:r>
      <w:r w:rsidR="00CE614F" w:rsidRPr="007D6C46">
        <w:t xml:space="preserve">3 du Manuel </w:t>
      </w:r>
      <w:r w:rsidR="00CE614F">
        <w:br/>
      </w:r>
      <w:r w:rsidR="00CE614F" w:rsidRPr="007D6C46">
        <w:t>d’épreuves et de critères</w:t>
      </w:r>
      <w:r w:rsidRPr="007D6C46">
        <w:tab/>
      </w:r>
      <w:r w:rsidRPr="007D6C46">
        <w:tab/>
      </w:r>
      <w:r w:rsidR="00EA2862" w:rsidRPr="007D6C46">
        <w:t>58</w:t>
      </w:r>
      <w:r w:rsidRPr="007D6C46">
        <w:t>−</w:t>
      </w:r>
      <w:r w:rsidR="00EA2862" w:rsidRPr="007D6C46">
        <w:t>59</w:t>
      </w:r>
      <w:r w:rsidRPr="007D6C46">
        <w:tab/>
      </w:r>
      <w:r w:rsidR="00CE614F">
        <w:t>14</w:t>
      </w:r>
    </w:p>
    <w:p w14:paraId="6763B127" w14:textId="7EE89CC1" w:rsidR="00564BA0" w:rsidRPr="007D6C46" w:rsidRDefault="00564BA0" w:rsidP="00564BA0">
      <w:pPr>
        <w:tabs>
          <w:tab w:val="right" w:leader="dot" w:pos="7654"/>
          <w:tab w:val="right" w:pos="8929"/>
          <w:tab w:val="right" w:pos="9638"/>
        </w:tabs>
        <w:spacing w:after="120"/>
        <w:ind w:left="1984" w:hanging="425"/>
      </w:pPr>
      <w:r w:rsidRPr="007D6C46">
        <w:lastRenderedPageBreak/>
        <w:t>4</w:t>
      </w:r>
      <w:r w:rsidR="008B77B5" w:rsidRPr="008B77B5">
        <w:t>.</w:t>
      </w:r>
      <w:r w:rsidRPr="007D6C46">
        <w:tab/>
      </w:r>
      <w:r w:rsidRPr="007D6C46">
        <w:rPr>
          <w:bCs/>
        </w:rPr>
        <w:t xml:space="preserve">Mise à l’essai des batteries au lithium ionique − épreuve de protection </w:t>
      </w:r>
      <w:r w:rsidRPr="007D6C46">
        <w:rPr>
          <w:bCs/>
        </w:rPr>
        <w:br/>
        <w:t>contre les courts-circuits</w:t>
      </w:r>
      <w:r w:rsidRPr="007D6C46">
        <w:tab/>
      </w:r>
      <w:r w:rsidRPr="007D6C46">
        <w:tab/>
      </w:r>
      <w:r w:rsidR="00EA2862" w:rsidRPr="007D6C46">
        <w:t>60</w:t>
      </w:r>
      <w:r w:rsidRPr="007D6C46">
        <w:tab/>
      </w:r>
      <w:r w:rsidR="008D22ED">
        <w:t>15</w:t>
      </w:r>
    </w:p>
    <w:p w14:paraId="76901BDA" w14:textId="766F2A11" w:rsidR="00564BA0" w:rsidRPr="007D6C46" w:rsidRDefault="00564BA0" w:rsidP="00564BA0">
      <w:pPr>
        <w:tabs>
          <w:tab w:val="right" w:leader="dot" w:pos="7654"/>
          <w:tab w:val="right" w:pos="8929"/>
          <w:tab w:val="right" w:pos="9638"/>
        </w:tabs>
        <w:spacing w:after="120"/>
        <w:ind w:left="1984" w:hanging="425"/>
      </w:pPr>
      <w:r w:rsidRPr="007D6C46">
        <w:t>5</w:t>
      </w:r>
      <w:r w:rsidR="008B77B5" w:rsidRPr="008B77B5">
        <w:t>.</w:t>
      </w:r>
      <w:r w:rsidRPr="007D6C46">
        <w:tab/>
        <w:t xml:space="preserve">Applicabilité de la </w:t>
      </w:r>
      <w:r w:rsidR="00CE614F">
        <w:t>« </w:t>
      </w:r>
      <w:r w:rsidRPr="007D6C46">
        <w:t>mise à disposition</w:t>
      </w:r>
      <w:r w:rsidR="00CE614F">
        <w:t> »</w:t>
      </w:r>
      <w:r w:rsidRPr="007D6C46">
        <w:t xml:space="preserve"> du procès-verbal d’essai</w:t>
      </w:r>
      <w:r w:rsidRPr="007D6C46">
        <w:br/>
        <w:t xml:space="preserve">des </w:t>
      </w:r>
      <w:bookmarkStart w:id="8" w:name="_Hlk115035419"/>
      <w:r w:rsidRPr="007D6C46">
        <w:t xml:space="preserve">batteries </w:t>
      </w:r>
      <w:bookmarkEnd w:id="8"/>
      <w:r w:rsidRPr="007D6C46">
        <w:t>au lithium</w:t>
      </w:r>
      <w:r w:rsidRPr="007D6C46">
        <w:tab/>
      </w:r>
      <w:r w:rsidRPr="007D6C46">
        <w:tab/>
      </w:r>
      <w:r w:rsidR="00EA2862" w:rsidRPr="007D6C46">
        <w:t>61−62</w:t>
      </w:r>
      <w:r w:rsidRPr="007D6C46">
        <w:tab/>
      </w:r>
      <w:r w:rsidR="008D22ED">
        <w:t>15</w:t>
      </w:r>
    </w:p>
    <w:p w14:paraId="11896F9C" w14:textId="217A6C17" w:rsidR="00564BA0" w:rsidRPr="007D6C46" w:rsidRDefault="00564BA0" w:rsidP="00564BA0">
      <w:pPr>
        <w:tabs>
          <w:tab w:val="right" w:leader="dot" w:pos="7654"/>
          <w:tab w:val="right" w:pos="8929"/>
          <w:tab w:val="right" w:pos="9638"/>
        </w:tabs>
        <w:spacing w:after="120"/>
        <w:ind w:left="1984" w:hanging="425"/>
      </w:pPr>
      <w:r w:rsidRPr="007D6C46">
        <w:t>6</w:t>
      </w:r>
      <w:r w:rsidR="008B77B5" w:rsidRPr="008B77B5">
        <w:t>.</w:t>
      </w:r>
      <w:r w:rsidRPr="007D6C46">
        <w:tab/>
        <w:t>Propositions d’amendements à l’instruction d’emballage LP903</w:t>
      </w:r>
      <w:r w:rsidRPr="007D6C46">
        <w:tab/>
      </w:r>
      <w:r w:rsidRPr="007D6C46">
        <w:tab/>
      </w:r>
      <w:r w:rsidR="00EA2862" w:rsidRPr="007D6C46">
        <w:t>63</w:t>
      </w:r>
      <w:r w:rsidRPr="007D6C46">
        <w:tab/>
      </w:r>
      <w:r w:rsidR="008D22ED">
        <w:t>15</w:t>
      </w:r>
    </w:p>
    <w:p w14:paraId="608B7F6C" w14:textId="2B0BADF3" w:rsidR="00564BA0" w:rsidRPr="007D6C46" w:rsidRDefault="00564BA0" w:rsidP="00564BA0">
      <w:pPr>
        <w:tabs>
          <w:tab w:val="right" w:leader="dot" w:pos="7654"/>
          <w:tab w:val="right" w:pos="8929"/>
          <w:tab w:val="right" w:pos="9638"/>
        </w:tabs>
        <w:spacing w:after="120"/>
        <w:ind w:left="1984" w:hanging="425"/>
      </w:pPr>
      <w:r w:rsidRPr="007D6C46">
        <w:t>7</w:t>
      </w:r>
      <w:r w:rsidR="008B77B5" w:rsidRPr="008B77B5">
        <w:t>.</w:t>
      </w:r>
      <w:r w:rsidRPr="007D6C46">
        <w:tab/>
        <w:t>Dispositions du 2</w:t>
      </w:r>
      <w:r w:rsidR="008B77B5" w:rsidRPr="008B77B5">
        <w:t>.</w:t>
      </w:r>
      <w:r w:rsidRPr="007D6C46">
        <w:t>9</w:t>
      </w:r>
      <w:r w:rsidR="008B77B5" w:rsidRPr="008B77B5">
        <w:t>.</w:t>
      </w:r>
      <w:r w:rsidRPr="007D6C46">
        <w:t xml:space="preserve">4 applicables aux piles au lithium transportées </w:t>
      </w:r>
      <w:r w:rsidRPr="007D6C46">
        <w:br/>
        <w:t>conformément à la disposition spéciale 310</w:t>
      </w:r>
      <w:r w:rsidRPr="007D6C46">
        <w:tab/>
      </w:r>
      <w:r w:rsidRPr="007D6C46">
        <w:tab/>
      </w:r>
      <w:r w:rsidR="00EA2862" w:rsidRPr="007D6C46">
        <w:t>64</w:t>
      </w:r>
      <w:r w:rsidRPr="007D6C46">
        <w:tab/>
      </w:r>
      <w:r w:rsidR="008D22ED">
        <w:t>15</w:t>
      </w:r>
    </w:p>
    <w:p w14:paraId="62A44493" w14:textId="451ED12E" w:rsidR="00564BA0" w:rsidRPr="007D6C46" w:rsidRDefault="00564BA0" w:rsidP="00564BA0">
      <w:pPr>
        <w:tabs>
          <w:tab w:val="right" w:leader="dot" w:pos="7654"/>
          <w:tab w:val="right" w:pos="8929"/>
          <w:tab w:val="right" w:pos="9638"/>
        </w:tabs>
        <w:spacing w:after="120"/>
        <w:ind w:left="1559" w:hanging="425"/>
      </w:pPr>
      <w:r w:rsidRPr="007D6C46">
        <w:t>D</w:t>
      </w:r>
      <w:r w:rsidR="008B77B5" w:rsidRPr="008B77B5">
        <w:t>.</w:t>
      </w:r>
      <w:r w:rsidRPr="007D6C46">
        <w:tab/>
        <w:t>Batteries au lithium endommagées ou défectueuses</w:t>
      </w:r>
      <w:r w:rsidRPr="007D6C46">
        <w:tab/>
      </w:r>
      <w:r w:rsidRPr="007D6C46">
        <w:tab/>
      </w:r>
      <w:r w:rsidR="00EA2862" w:rsidRPr="007D6C46">
        <w:t>65</w:t>
      </w:r>
      <w:r w:rsidRPr="007D6C46">
        <w:tab/>
      </w:r>
      <w:r w:rsidR="005E3B4E">
        <w:t>16</w:t>
      </w:r>
    </w:p>
    <w:p w14:paraId="52E79C49" w14:textId="550985FF" w:rsidR="00564BA0" w:rsidRPr="007D6C46" w:rsidRDefault="00564BA0" w:rsidP="00564BA0">
      <w:pPr>
        <w:tabs>
          <w:tab w:val="right" w:leader="dot" w:pos="7654"/>
          <w:tab w:val="right" w:pos="8929"/>
          <w:tab w:val="right" w:pos="9638"/>
        </w:tabs>
        <w:spacing w:after="120"/>
        <w:ind w:left="1559" w:hanging="425"/>
      </w:pPr>
      <w:r w:rsidRPr="007D6C46">
        <w:t>E</w:t>
      </w:r>
      <w:r w:rsidR="008B77B5" w:rsidRPr="008B77B5">
        <w:t>.</w:t>
      </w:r>
      <w:r w:rsidRPr="007D6C46">
        <w:tab/>
        <w:t>Batteries au sodium ionique</w:t>
      </w:r>
      <w:r w:rsidRPr="007D6C46">
        <w:tab/>
      </w:r>
      <w:r w:rsidRPr="007D6C46">
        <w:tab/>
      </w:r>
      <w:r w:rsidR="00EA2862" w:rsidRPr="007D6C46">
        <w:t>66</w:t>
      </w:r>
      <w:r w:rsidRPr="007D6C46">
        <w:tab/>
      </w:r>
      <w:r w:rsidR="005E3B4E">
        <w:t>16</w:t>
      </w:r>
    </w:p>
    <w:p w14:paraId="1A63710B" w14:textId="18519003" w:rsidR="00564BA0" w:rsidRPr="007D6C46" w:rsidRDefault="00564BA0" w:rsidP="00564BA0">
      <w:pPr>
        <w:tabs>
          <w:tab w:val="right" w:leader="dot" w:pos="7654"/>
          <w:tab w:val="right" w:pos="8929"/>
          <w:tab w:val="right" w:pos="9638"/>
        </w:tabs>
        <w:spacing w:after="120"/>
        <w:ind w:left="1559" w:hanging="425"/>
      </w:pPr>
      <w:r w:rsidRPr="007D6C46">
        <w:t>F</w:t>
      </w:r>
      <w:r w:rsidR="008B77B5" w:rsidRPr="008B77B5">
        <w:t>.</w:t>
      </w:r>
      <w:r w:rsidRPr="007D6C46">
        <w:tab/>
        <w:t>Autres questions</w:t>
      </w:r>
      <w:r w:rsidRPr="007D6C46">
        <w:tab/>
      </w:r>
      <w:r w:rsidRPr="007D6C46">
        <w:tab/>
      </w:r>
      <w:r w:rsidR="00EA2862" w:rsidRPr="007D6C46">
        <w:t>67</w:t>
      </w:r>
      <w:r w:rsidRPr="007D6C46">
        <w:t>−</w:t>
      </w:r>
      <w:r w:rsidR="00EA2862" w:rsidRPr="007D6C46">
        <w:t>6</w:t>
      </w:r>
      <w:r w:rsidRPr="007D6C46">
        <w:t>8</w:t>
      </w:r>
      <w:r w:rsidRPr="007D6C46">
        <w:tab/>
      </w:r>
      <w:r w:rsidR="005E3B4E">
        <w:t>16</w:t>
      </w:r>
    </w:p>
    <w:p w14:paraId="73F46246" w14:textId="2137E7E6" w:rsidR="00564BA0" w:rsidRPr="007D6C46" w:rsidRDefault="00564BA0" w:rsidP="00564BA0">
      <w:pPr>
        <w:tabs>
          <w:tab w:val="right" w:leader="dot" w:pos="7654"/>
          <w:tab w:val="right" w:pos="8929"/>
          <w:tab w:val="right" w:pos="9638"/>
        </w:tabs>
        <w:spacing w:after="120"/>
        <w:ind w:left="1984" w:hanging="425"/>
      </w:pPr>
      <w:r w:rsidRPr="007D6C46">
        <w:t>1</w:t>
      </w:r>
      <w:r w:rsidR="008B77B5" w:rsidRPr="008B77B5">
        <w:t>.</w:t>
      </w:r>
      <w:r w:rsidRPr="007D6C46">
        <w:tab/>
        <w:t xml:space="preserve">Introduction en Chine d’une épreuve d’aptitude pour les batteries </w:t>
      </w:r>
      <w:r w:rsidRPr="007D6C46">
        <w:br/>
        <w:t>au lithium, conformément à la sous-section 38</w:t>
      </w:r>
      <w:r w:rsidR="008B77B5" w:rsidRPr="008B77B5">
        <w:t>.</w:t>
      </w:r>
      <w:r w:rsidRPr="007D6C46">
        <w:t xml:space="preserve">3 du Manuel </w:t>
      </w:r>
      <w:r w:rsidRPr="007D6C46">
        <w:br/>
        <w:t>d’épreuves et de critères</w:t>
      </w:r>
      <w:r w:rsidRPr="007D6C46">
        <w:tab/>
      </w:r>
      <w:r w:rsidRPr="007D6C46">
        <w:tab/>
      </w:r>
      <w:r w:rsidR="00EA2862" w:rsidRPr="007D6C46">
        <w:t>6</w:t>
      </w:r>
      <w:r w:rsidRPr="007D6C46">
        <w:t>7</w:t>
      </w:r>
      <w:r w:rsidRPr="007D6C46">
        <w:tab/>
      </w:r>
      <w:r w:rsidR="005E3B4E">
        <w:t>16</w:t>
      </w:r>
    </w:p>
    <w:p w14:paraId="016B08E0" w14:textId="751D3EA8" w:rsidR="00564BA0" w:rsidRPr="007D6C46" w:rsidRDefault="00564BA0" w:rsidP="00564BA0">
      <w:pPr>
        <w:tabs>
          <w:tab w:val="right" w:leader="dot" w:pos="7654"/>
          <w:tab w:val="right" w:pos="8929"/>
          <w:tab w:val="right" w:pos="9638"/>
        </w:tabs>
        <w:spacing w:after="120"/>
        <w:ind w:left="1984" w:hanging="425"/>
      </w:pPr>
      <w:r w:rsidRPr="007D6C46">
        <w:t>2</w:t>
      </w:r>
      <w:r w:rsidR="008B77B5" w:rsidRPr="008B77B5">
        <w:t>.</w:t>
      </w:r>
      <w:r w:rsidRPr="007D6C46">
        <w:tab/>
        <w:t xml:space="preserve">Suggestions pour une étude plus approfondie des rubriques </w:t>
      </w:r>
      <w:r w:rsidRPr="007D6C46">
        <w:br/>
        <w:t>de l’épreuve dans la sous-section 38</w:t>
      </w:r>
      <w:r w:rsidR="008B77B5" w:rsidRPr="008B77B5">
        <w:t>.</w:t>
      </w:r>
      <w:r w:rsidRPr="007D6C46">
        <w:t xml:space="preserve">3 du Manuel d’épreuves </w:t>
      </w:r>
      <w:r w:rsidRPr="007D6C46">
        <w:br/>
        <w:t>et de critères</w:t>
      </w:r>
      <w:r w:rsidRPr="007D6C46">
        <w:tab/>
      </w:r>
      <w:r w:rsidRPr="007D6C46">
        <w:tab/>
      </w:r>
      <w:r w:rsidR="00EA2862" w:rsidRPr="007D6C46">
        <w:t>6</w:t>
      </w:r>
      <w:r w:rsidRPr="007D6C46">
        <w:t>8</w:t>
      </w:r>
      <w:r w:rsidRPr="007D6C46">
        <w:tab/>
      </w:r>
      <w:r w:rsidR="005E3B4E">
        <w:t>16</w:t>
      </w:r>
    </w:p>
    <w:p w14:paraId="02402D28" w14:textId="6E949F98" w:rsidR="00564BA0" w:rsidRPr="007D6C46" w:rsidRDefault="00564BA0" w:rsidP="00564BA0">
      <w:pPr>
        <w:tabs>
          <w:tab w:val="right" w:pos="850"/>
          <w:tab w:val="right" w:leader="dot" w:pos="7654"/>
          <w:tab w:val="right" w:pos="8929"/>
          <w:tab w:val="right" w:pos="9638"/>
        </w:tabs>
        <w:spacing w:after="120"/>
        <w:ind w:left="1134" w:hanging="1134"/>
      </w:pPr>
      <w:r w:rsidRPr="007D6C46">
        <w:tab/>
        <w:t>VII</w:t>
      </w:r>
      <w:r w:rsidR="008B77B5" w:rsidRPr="008B77B5">
        <w:t>.</w:t>
      </w:r>
      <w:r w:rsidRPr="007D6C46">
        <w:tab/>
        <w:t>Transport de gaz (point 5 de l’ordre du jour)</w:t>
      </w:r>
      <w:r w:rsidRPr="007D6C46">
        <w:tab/>
      </w:r>
      <w:r w:rsidRPr="007D6C46">
        <w:tab/>
      </w:r>
      <w:r w:rsidR="00EA2862" w:rsidRPr="007D6C46">
        <w:t>6</w:t>
      </w:r>
      <w:r w:rsidRPr="007D6C46">
        <w:t>9−</w:t>
      </w:r>
      <w:r w:rsidR="00EA2862" w:rsidRPr="007D6C46">
        <w:t>73</w:t>
      </w:r>
      <w:r w:rsidRPr="007D6C46">
        <w:tab/>
      </w:r>
      <w:r w:rsidR="005E3B4E">
        <w:t>17</w:t>
      </w:r>
    </w:p>
    <w:p w14:paraId="7310F859" w14:textId="71F3F769" w:rsidR="00564BA0" w:rsidRPr="007D6C46" w:rsidRDefault="00564BA0" w:rsidP="00564BA0">
      <w:pPr>
        <w:tabs>
          <w:tab w:val="right" w:leader="dot" w:pos="7654"/>
          <w:tab w:val="right" w:pos="8929"/>
          <w:tab w:val="right" w:pos="9638"/>
        </w:tabs>
        <w:spacing w:after="120"/>
        <w:ind w:left="1559" w:hanging="425"/>
      </w:pPr>
      <w:r w:rsidRPr="007D6C46">
        <w:t>A</w:t>
      </w:r>
      <w:r w:rsidR="008B77B5" w:rsidRPr="008B77B5">
        <w:t>.</w:t>
      </w:r>
      <w:r w:rsidRPr="007D6C46">
        <w:tab/>
        <w:t>Reconnaissance universelle des récipients à pression ONU et non ONU</w:t>
      </w:r>
      <w:r w:rsidRPr="007D6C46">
        <w:tab/>
      </w:r>
      <w:r w:rsidRPr="007D6C46">
        <w:tab/>
      </w:r>
      <w:r w:rsidR="00EA2862" w:rsidRPr="007D6C46">
        <w:t>6</w:t>
      </w:r>
      <w:r w:rsidRPr="007D6C46">
        <w:t>9</w:t>
      </w:r>
      <w:r w:rsidRPr="007D6C46">
        <w:tab/>
      </w:r>
      <w:r w:rsidR="005E3B4E">
        <w:t>17</w:t>
      </w:r>
    </w:p>
    <w:p w14:paraId="6D146919" w14:textId="3B8DF724" w:rsidR="00564BA0" w:rsidRPr="007D6C46" w:rsidRDefault="00564BA0" w:rsidP="00564BA0">
      <w:pPr>
        <w:tabs>
          <w:tab w:val="right" w:leader="dot" w:pos="7654"/>
          <w:tab w:val="right" w:pos="8929"/>
          <w:tab w:val="right" w:pos="9638"/>
        </w:tabs>
        <w:spacing w:after="120"/>
        <w:ind w:left="1559" w:hanging="425"/>
      </w:pPr>
      <w:r w:rsidRPr="007D6C46">
        <w:t>B</w:t>
      </w:r>
      <w:r w:rsidR="008B77B5" w:rsidRPr="008B77B5">
        <w:t>.</w:t>
      </w:r>
      <w:r w:rsidRPr="007D6C46">
        <w:tab/>
        <w:t>Gaz de la division 2</w:t>
      </w:r>
      <w:r w:rsidR="008B77B5" w:rsidRPr="008B77B5">
        <w:t>.</w:t>
      </w:r>
      <w:r w:rsidRPr="007D6C46">
        <w:t>2 transportés en quantités limitées</w:t>
      </w:r>
      <w:r w:rsidRPr="007D6C46">
        <w:tab/>
      </w:r>
      <w:r w:rsidRPr="007D6C46">
        <w:tab/>
      </w:r>
      <w:r w:rsidR="00EA2862" w:rsidRPr="007D6C46">
        <w:t>7</w:t>
      </w:r>
      <w:r w:rsidRPr="007D6C46">
        <w:t>0</w:t>
      </w:r>
      <w:r w:rsidRPr="007D6C46">
        <w:tab/>
      </w:r>
      <w:r w:rsidR="005E3B4E">
        <w:t>17</w:t>
      </w:r>
    </w:p>
    <w:p w14:paraId="4310D1DA" w14:textId="0074C272" w:rsidR="00564BA0" w:rsidRPr="007D6C46" w:rsidRDefault="00564BA0" w:rsidP="00564BA0">
      <w:pPr>
        <w:tabs>
          <w:tab w:val="right" w:leader="dot" w:pos="7654"/>
          <w:tab w:val="right" w:pos="8929"/>
          <w:tab w:val="right" w:pos="9638"/>
        </w:tabs>
        <w:spacing w:after="120"/>
        <w:ind w:left="1559" w:hanging="425"/>
      </w:pPr>
      <w:r w:rsidRPr="007D6C46">
        <w:t>C</w:t>
      </w:r>
      <w:r w:rsidR="008B77B5" w:rsidRPr="008B77B5">
        <w:t>.</w:t>
      </w:r>
      <w:r w:rsidRPr="007D6C46">
        <w:tab/>
        <w:t>Autres questions</w:t>
      </w:r>
      <w:r w:rsidRPr="007D6C46">
        <w:tab/>
      </w:r>
      <w:r w:rsidRPr="007D6C46">
        <w:tab/>
      </w:r>
      <w:r w:rsidR="00EA2862" w:rsidRPr="007D6C46">
        <w:t>7</w:t>
      </w:r>
      <w:r w:rsidRPr="007D6C46">
        <w:t>1−</w:t>
      </w:r>
      <w:r w:rsidR="00EA2862" w:rsidRPr="007D6C46">
        <w:t>73</w:t>
      </w:r>
      <w:r w:rsidRPr="007D6C46">
        <w:tab/>
      </w:r>
      <w:r w:rsidR="005E3B4E">
        <w:t>17</w:t>
      </w:r>
    </w:p>
    <w:p w14:paraId="774F7614" w14:textId="2B860E4C" w:rsidR="00564BA0" w:rsidRPr="007D6C46" w:rsidRDefault="00564BA0" w:rsidP="00564BA0">
      <w:pPr>
        <w:tabs>
          <w:tab w:val="right" w:leader="dot" w:pos="7654"/>
          <w:tab w:val="right" w:pos="8929"/>
          <w:tab w:val="right" w:pos="9638"/>
        </w:tabs>
        <w:spacing w:after="120"/>
        <w:ind w:left="1984" w:hanging="425"/>
      </w:pPr>
      <w:r w:rsidRPr="007D6C46">
        <w:t>1</w:t>
      </w:r>
      <w:r w:rsidR="008B77B5" w:rsidRPr="008B77B5">
        <w:t>.</w:t>
      </w:r>
      <w:r w:rsidRPr="007D6C46">
        <w:tab/>
        <w:t>Normes ISO mises à jour dans la classe 2</w:t>
      </w:r>
      <w:r w:rsidRPr="007D6C46">
        <w:tab/>
      </w:r>
      <w:r w:rsidRPr="007D6C46">
        <w:tab/>
      </w:r>
      <w:r w:rsidR="00EA2862" w:rsidRPr="007D6C46">
        <w:t>7</w:t>
      </w:r>
      <w:r w:rsidRPr="007D6C46">
        <w:t>1</w:t>
      </w:r>
      <w:r w:rsidRPr="007D6C46">
        <w:tab/>
      </w:r>
      <w:r w:rsidR="005E3B4E">
        <w:t>17</w:t>
      </w:r>
    </w:p>
    <w:p w14:paraId="3E71CDF5" w14:textId="22E040E5" w:rsidR="00564BA0" w:rsidRPr="007D6C46" w:rsidRDefault="00564BA0" w:rsidP="00564BA0">
      <w:pPr>
        <w:tabs>
          <w:tab w:val="right" w:leader="dot" w:pos="7654"/>
          <w:tab w:val="right" w:pos="8929"/>
          <w:tab w:val="right" w:pos="9638"/>
        </w:tabs>
        <w:spacing w:after="120"/>
        <w:ind w:left="1984" w:hanging="425"/>
      </w:pPr>
      <w:r w:rsidRPr="007D6C46">
        <w:t>2</w:t>
      </w:r>
      <w:r w:rsidR="008B77B5" w:rsidRPr="008B77B5">
        <w:t>.</w:t>
      </w:r>
      <w:r w:rsidRPr="007D6C46">
        <w:tab/>
        <w:t>Renvois à des normes obsolètes</w:t>
      </w:r>
      <w:r w:rsidRPr="007D6C46">
        <w:tab/>
      </w:r>
      <w:r w:rsidRPr="007D6C46">
        <w:tab/>
      </w:r>
      <w:r w:rsidR="00EA2862" w:rsidRPr="007D6C46">
        <w:t>7</w:t>
      </w:r>
      <w:r w:rsidRPr="007D6C46">
        <w:t>2</w:t>
      </w:r>
      <w:r w:rsidRPr="007D6C46">
        <w:tab/>
      </w:r>
      <w:r w:rsidR="005E3B4E">
        <w:t>17</w:t>
      </w:r>
    </w:p>
    <w:p w14:paraId="2EF7110A" w14:textId="2A35E27D" w:rsidR="00564BA0" w:rsidRPr="007D6C46" w:rsidRDefault="00564BA0" w:rsidP="00564BA0">
      <w:pPr>
        <w:tabs>
          <w:tab w:val="right" w:leader="dot" w:pos="7654"/>
          <w:tab w:val="right" w:pos="8929"/>
          <w:tab w:val="right" w:pos="9638"/>
        </w:tabs>
        <w:spacing w:after="120"/>
        <w:ind w:left="1984" w:hanging="425"/>
      </w:pPr>
      <w:r w:rsidRPr="007D6C46">
        <w:t>3</w:t>
      </w:r>
      <w:r w:rsidR="008B77B5" w:rsidRPr="008B77B5">
        <w:t>.</w:t>
      </w:r>
      <w:r w:rsidRPr="007D6C46">
        <w:tab/>
      </w:r>
      <w:r w:rsidR="005E3B4E" w:rsidRPr="005E3B4E">
        <w:rPr>
          <w:spacing w:val="-2"/>
        </w:rPr>
        <w:t xml:space="preserve">Rapport du groupe de travail intersessions de la limite du produit </w:t>
      </w:r>
      <w:proofErr w:type="spellStart"/>
      <w:r w:rsidR="005E3B4E" w:rsidRPr="005E3B4E">
        <w:rPr>
          <w:spacing w:val="-2"/>
        </w:rPr>
        <w:t>pV</w:t>
      </w:r>
      <w:proofErr w:type="spellEnd"/>
      <w:r w:rsidR="005E3B4E" w:rsidRPr="007D6C46">
        <w:t xml:space="preserve"> </w:t>
      </w:r>
      <w:r w:rsidR="005E3B4E">
        <w:br/>
      </w:r>
      <w:r w:rsidR="005E3B4E" w:rsidRPr="007D6C46">
        <w:t>pour les récipients à pression</w:t>
      </w:r>
      <w:r w:rsidRPr="007D6C46">
        <w:tab/>
      </w:r>
      <w:r w:rsidRPr="007D6C46">
        <w:tab/>
      </w:r>
      <w:r w:rsidR="00EA2862" w:rsidRPr="007D6C46">
        <w:t>7</w:t>
      </w:r>
      <w:r w:rsidRPr="007D6C46">
        <w:t>3</w:t>
      </w:r>
      <w:r w:rsidRPr="007D6C46">
        <w:tab/>
      </w:r>
      <w:r w:rsidR="005E3B4E">
        <w:t>17</w:t>
      </w:r>
    </w:p>
    <w:p w14:paraId="575568B9" w14:textId="2DE4B24C" w:rsidR="00564BA0" w:rsidRPr="007D6C46" w:rsidRDefault="00564BA0" w:rsidP="00564BA0">
      <w:pPr>
        <w:tabs>
          <w:tab w:val="right" w:pos="850"/>
          <w:tab w:val="right" w:leader="dot" w:pos="7654"/>
          <w:tab w:val="right" w:pos="8929"/>
          <w:tab w:val="right" w:pos="9638"/>
        </w:tabs>
        <w:spacing w:after="120"/>
        <w:ind w:left="1134" w:hanging="1134"/>
      </w:pPr>
      <w:r w:rsidRPr="007D6C46">
        <w:tab/>
        <w:t>VIII</w:t>
      </w:r>
      <w:r w:rsidR="008B77B5" w:rsidRPr="008B77B5">
        <w:t>.</w:t>
      </w:r>
      <w:r w:rsidRPr="007D6C46">
        <w:tab/>
        <w:t xml:space="preserve">Propositions diverses d’amendements au Règlement type pour le transport </w:t>
      </w:r>
      <w:r w:rsidRPr="007D6C46">
        <w:br/>
        <w:t>des marchandises dangereuses (point 6 de l’ordre du jour)</w:t>
      </w:r>
      <w:r w:rsidRPr="007D6C46">
        <w:tab/>
      </w:r>
      <w:r w:rsidRPr="007D6C46">
        <w:tab/>
      </w:r>
      <w:r w:rsidR="00EA2862" w:rsidRPr="007D6C46">
        <w:t>74</w:t>
      </w:r>
      <w:r w:rsidRPr="007D6C46">
        <w:t>−</w:t>
      </w:r>
      <w:r w:rsidR="00EA2862" w:rsidRPr="007D6C46">
        <w:t>89</w:t>
      </w:r>
      <w:r w:rsidRPr="007D6C46">
        <w:tab/>
      </w:r>
      <w:r w:rsidR="005E3B4E">
        <w:t>18</w:t>
      </w:r>
    </w:p>
    <w:p w14:paraId="029F74FA" w14:textId="378154A5" w:rsidR="00564BA0" w:rsidRPr="007D6C46" w:rsidRDefault="00564BA0" w:rsidP="00564BA0">
      <w:pPr>
        <w:tabs>
          <w:tab w:val="right" w:leader="dot" w:pos="7654"/>
          <w:tab w:val="right" w:pos="8929"/>
          <w:tab w:val="right" w:pos="9638"/>
        </w:tabs>
        <w:spacing w:after="120"/>
        <w:ind w:left="1559" w:hanging="425"/>
      </w:pPr>
      <w:r w:rsidRPr="007D6C46">
        <w:t>A</w:t>
      </w:r>
      <w:r w:rsidR="008B77B5" w:rsidRPr="008B77B5">
        <w:t>.</w:t>
      </w:r>
      <w:r w:rsidRPr="007D6C46">
        <w:tab/>
        <w:t>Marquage et étiquetage</w:t>
      </w:r>
      <w:r w:rsidRPr="007D6C46">
        <w:tab/>
      </w:r>
      <w:r w:rsidRPr="007D6C46">
        <w:tab/>
      </w:r>
      <w:r w:rsidR="00EA2862" w:rsidRPr="007D6C46">
        <w:t>74</w:t>
      </w:r>
      <w:r w:rsidRPr="007D6C46">
        <w:tab/>
      </w:r>
      <w:r w:rsidR="005E3B4E">
        <w:t>18</w:t>
      </w:r>
    </w:p>
    <w:p w14:paraId="3A574049" w14:textId="046B9F8B" w:rsidR="00564BA0" w:rsidRPr="007D6C46" w:rsidRDefault="00564BA0" w:rsidP="00564BA0">
      <w:pPr>
        <w:tabs>
          <w:tab w:val="right" w:leader="dot" w:pos="7654"/>
          <w:tab w:val="right" w:pos="8929"/>
          <w:tab w:val="right" w:pos="9638"/>
        </w:tabs>
        <w:spacing w:after="120"/>
        <w:ind w:left="1559" w:firstLine="1"/>
      </w:pPr>
      <w:r w:rsidRPr="007D6C46">
        <w:t>Utilisation de l’étiquette de danger de la classe 9 (modèle n</w:t>
      </w:r>
      <w:r w:rsidRPr="007D6C46">
        <w:rPr>
          <w:vertAlign w:val="superscript"/>
        </w:rPr>
        <w:t>o</w:t>
      </w:r>
      <w:r w:rsidRPr="007D6C46">
        <w:t xml:space="preserve"> 9A) </w:t>
      </w:r>
      <w:r w:rsidRPr="007D6C46">
        <w:br/>
        <w:t>pour les piles au lithium sur les véhicules alimentés par des piles au lithium</w:t>
      </w:r>
      <w:r w:rsidRPr="007D6C46">
        <w:tab/>
      </w:r>
      <w:r w:rsidRPr="007D6C46">
        <w:tab/>
      </w:r>
      <w:r w:rsidR="00EA2862" w:rsidRPr="007D6C46">
        <w:t>74</w:t>
      </w:r>
      <w:r w:rsidRPr="007D6C46">
        <w:tab/>
      </w:r>
      <w:r w:rsidR="005E3B4E">
        <w:t>18</w:t>
      </w:r>
    </w:p>
    <w:p w14:paraId="404A0378" w14:textId="43C84CA5" w:rsidR="00564BA0" w:rsidRPr="007D6C46" w:rsidRDefault="00564BA0" w:rsidP="00564BA0">
      <w:pPr>
        <w:tabs>
          <w:tab w:val="right" w:leader="dot" w:pos="7654"/>
          <w:tab w:val="right" w:pos="8929"/>
          <w:tab w:val="right" w:pos="9638"/>
        </w:tabs>
        <w:spacing w:after="120"/>
        <w:ind w:left="1559" w:hanging="425"/>
      </w:pPr>
      <w:r w:rsidRPr="007D6C46">
        <w:t>B</w:t>
      </w:r>
      <w:r w:rsidR="008B77B5" w:rsidRPr="008B77B5">
        <w:t>.</w:t>
      </w:r>
      <w:r w:rsidRPr="007D6C46">
        <w:tab/>
        <w:t>Emballages, y compris l’utilisation des matières plastiques recyclées</w:t>
      </w:r>
      <w:r w:rsidRPr="007D6C46">
        <w:tab/>
      </w:r>
      <w:r w:rsidRPr="007D6C46">
        <w:tab/>
      </w:r>
      <w:r w:rsidR="00EA2862" w:rsidRPr="007D6C46">
        <w:t>75</w:t>
      </w:r>
      <w:r w:rsidRPr="007D6C46">
        <w:t>−</w:t>
      </w:r>
      <w:r w:rsidR="00EA2862" w:rsidRPr="007D6C46">
        <w:t>82</w:t>
      </w:r>
      <w:r w:rsidRPr="007D6C46">
        <w:tab/>
      </w:r>
      <w:r w:rsidR="005E3B4E">
        <w:t>18</w:t>
      </w:r>
    </w:p>
    <w:p w14:paraId="7273DFFE" w14:textId="55FD749B" w:rsidR="00564BA0" w:rsidRPr="007D6C46" w:rsidRDefault="00564BA0" w:rsidP="00564BA0">
      <w:pPr>
        <w:tabs>
          <w:tab w:val="right" w:leader="dot" w:pos="7654"/>
          <w:tab w:val="right" w:pos="8929"/>
          <w:tab w:val="right" w:pos="9638"/>
        </w:tabs>
        <w:spacing w:after="120"/>
        <w:ind w:left="1984" w:hanging="425"/>
      </w:pPr>
      <w:r w:rsidRPr="007D6C46">
        <w:t>1</w:t>
      </w:r>
      <w:r w:rsidR="008B77B5" w:rsidRPr="008B77B5">
        <w:t>.</w:t>
      </w:r>
      <w:r w:rsidRPr="007D6C46">
        <w:tab/>
        <w:t xml:space="preserve">Correction à apporter à l’instruction d’emballage P200 </w:t>
      </w:r>
      <w:r w:rsidRPr="007D6C46">
        <w:br/>
        <w:t>pour les Nos ONU 1001 et 3374</w:t>
      </w:r>
      <w:r w:rsidRPr="007D6C46">
        <w:tab/>
      </w:r>
      <w:r w:rsidRPr="007D6C46">
        <w:tab/>
      </w:r>
      <w:r w:rsidR="00EA2862" w:rsidRPr="007D6C46">
        <w:t>75</w:t>
      </w:r>
      <w:r w:rsidRPr="007D6C46">
        <w:tab/>
      </w:r>
      <w:r w:rsidR="005E3B4E">
        <w:t>18</w:t>
      </w:r>
    </w:p>
    <w:p w14:paraId="62650576" w14:textId="20B322D0" w:rsidR="00564BA0" w:rsidRPr="007D6C46" w:rsidRDefault="00564BA0" w:rsidP="00564BA0">
      <w:pPr>
        <w:tabs>
          <w:tab w:val="right" w:leader="dot" w:pos="7654"/>
          <w:tab w:val="right" w:pos="8929"/>
          <w:tab w:val="right" w:pos="9638"/>
        </w:tabs>
        <w:spacing w:after="120"/>
        <w:ind w:left="1984" w:hanging="425"/>
      </w:pPr>
      <w:r w:rsidRPr="007D6C46">
        <w:t>2</w:t>
      </w:r>
      <w:r w:rsidR="008B77B5" w:rsidRPr="008B77B5">
        <w:t>.</w:t>
      </w:r>
      <w:r w:rsidRPr="007D6C46">
        <w:tab/>
        <w:t>Révision des instructions d’emballage figurant aux 5</w:t>
      </w:r>
      <w:r w:rsidR="008B77B5" w:rsidRPr="008B77B5">
        <w:t>.</w:t>
      </w:r>
      <w:r w:rsidRPr="007D6C46">
        <w:t>5</w:t>
      </w:r>
      <w:r w:rsidR="008B77B5" w:rsidRPr="008B77B5">
        <w:t>.</w:t>
      </w:r>
      <w:r w:rsidRPr="007D6C46">
        <w:t>3</w:t>
      </w:r>
      <w:r w:rsidR="008B77B5" w:rsidRPr="008B77B5">
        <w:t>.</w:t>
      </w:r>
      <w:r w:rsidRPr="007D6C46">
        <w:t>3</w:t>
      </w:r>
      <w:r w:rsidR="008B77B5" w:rsidRPr="008B77B5">
        <w:t>.</w:t>
      </w:r>
      <w:r w:rsidRPr="007D6C46">
        <w:t xml:space="preserve">1 </w:t>
      </w:r>
      <w:r w:rsidRPr="007D6C46">
        <w:br/>
        <w:t>et 5</w:t>
      </w:r>
      <w:r w:rsidR="008B77B5" w:rsidRPr="008B77B5">
        <w:t>.</w:t>
      </w:r>
      <w:r w:rsidRPr="007D6C46">
        <w:t>5</w:t>
      </w:r>
      <w:r w:rsidR="008B77B5" w:rsidRPr="008B77B5">
        <w:t>.</w:t>
      </w:r>
      <w:r w:rsidRPr="007D6C46">
        <w:t>3</w:t>
      </w:r>
      <w:r w:rsidR="008B77B5" w:rsidRPr="008B77B5">
        <w:t>.</w:t>
      </w:r>
      <w:r w:rsidRPr="007D6C46">
        <w:t>3</w:t>
      </w:r>
      <w:r w:rsidR="008B77B5" w:rsidRPr="008B77B5">
        <w:t>.</w:t>
      </w:r>
      <w:r w:rsidRPr="007D6C46">
        <w:t>2</w:t>
      </w:r>
      <w:r w:rsidRPr="007D6C46">
        <w:tab/>
      </w:r>
      <w:r w:rsidRPr="007D6C46">
        <w:tab/>
      </w:r>
      <w:r w:rsidR="00EA2862" w:rsidRPr="007D6C46">
        <w:t>76</w:t>
      </w:r>
      <w:r w:rsidRPr="007D6C46">
        <w:tab/>
      </w:r>
      <w:r w:rsidR="005E3B4E">
        <w:t>18</w:t>
      </w:r>
    </w:p>
    <w:p w14:paraId="588F792D" w14:textId="49DD6F07" w:rsidR="00564BA0" w:rsidRPr="007D6C46" w:rsidRDefault="00564BA0" w:rsidP="00564BA0">
      <w:pPr>
        <w:tabs>
          <w:tab w:val="right" w:leader="dot" w:pos="7654"/>
          <w:tab w:val="right" w:pos="8929"/>
          <w:tab w:val="right" w:pos="9638"/>
        </w:tabs>
        <w:spacing w:after="120"/>
        <w:ind w:left="1984" w:hanging="425"/>
      </w:pPr>
      <w:r w:rsidRPr="007D6C46">
        <w:t>3</w:t>
      </w:r>
      <w:r w:rsidR="008B77B5" w:rsidRPr="008B77B5">
        <w:t>.</w:t>
      </w:r>
      <w:r w:rsidRPr="007D6C46">
        <w:tab/>
      </w:r>
      <w:r w:rsidRPr="007D6C46">
        <w:rPr>
          <w:color w:val="000000" w:themeColor="text1"/>
        </w:rPr>
        <w:t xml:space="preserve">Modification à apporter à la disposition spéciale d’emballage B11 </w:t>
      </w:r>
      <w:r w:rsidRPr="007D6C46">
        <w:rPr>
          <w:color w:val="000000" w:themeColor="text1"/>
        </w:rPr>
        <w:br/>
        <w:t>de l’instruction d’emballage IBC03</w:t>
      </w:r>
      <w:r w:rsidRPr="007D6C46">
        <w:tab/>
      </w:r>
      <w:r w:rsidRPr="007D6C46">
        <w:tab/>
      </w:r>
      <w:r w:rsidR="00EA2862" w:rsidRPr="007D6C46">
        <w:t>77</w:t>
      </w:r>
      <w:r w:rsidRPr="007D6C46">
        <w:tab/>
      </w:r>
      <w:r w:rsidR="005E3B4E">
        <w:t>18</w:t>
      </w:r>
    </w:p>
    <w:p w14:paraId="1328901D" w14:textId="2387A3EF" w:rsidR="00564BA0" w:rsidRPr="007D6C46" w:rsidRDefault="00564BA0" w:rsidP="00564BA0">
      <w:pPr>
        <w:tabs>
          <w:tab w:val="right" w:leader="dot" w:pos="7654"/>
          <w:tab w:val="right" w:pos="8929"/>
          <w:tab w:val="right" w:pos="9638"/>
        </w:tabs>
        <w:spacing w:after="120"/>
        <w:ind w:left="1984" w:hanging="425"/>
        <w:rPr>
          <w:color w:val="000000" w:themeColor="text1"/>
        </w:rPr>
      </w:pPr>
      <w:r w:rsidRPr="007D6C46">
        <w:t>4</w:t>
      </w:r>
      <w:r w:rsidR="008B77B5" w:rsidRPr="008B77B5">
        <w:t>.</w:t>
      </w:r>
      <w:r w:rsidRPr="007D6C46">
        <w:tab/>
      </w:r>
      <w:r w:rsidRPr="007D6C46">
        <w:rPr>
          <w:color w:val="000000" w:themeColor="text1"/>
        </w:rPr>
        <w:t>Proposition d’amendement au paragraphe 6</w:t>
      </w:r>
      <w:r w:rsidR="008B77B5" w:rsidRPr="008B77B5">
        <w:rPr>
          <w:color w:val="000000" w:themeColor="text1"/>
        </w:rPr>
        <w:t>.</w:t>
      </w:r>
      <w:r w:rsidRPr="007D6C46">
        <w:rPr>
          <w:color w:val="000000" w:themeColor="text1"/>
        </w:rPr>
        <w:t>1</w:t>
      </w:r>
      <w:r w:rsidR="008B77B5" w:rsidRPr="008B77B5">
        <w:rPr>
          <w:color w:val="000000" w:themeColor="text1"/>
        </w:rPr>
        <w:t>.</w:t>
      </w:r>
      <w:r w:rsidRPr="007D6C46">
        <w:rPr>
          <w:color w:val="000000" w:themeColor="text1"/>
        </w:rPr>
        <w:t>5</w:t>
      </w:r>
      <w:r w:rsidR="008B77B5" w:rsidRPr="008B77B5">
        <w:rPr>
          <w:color w:val="000000" w:themeColor="text1"/>
        </w:rPr>
        <w:t>.</w:t>
      </w:r>
      <w:r w:rsidRPr="007D6C46">
        <w:rPr>
          <w:color w:val="000000" w:themeColor="text1"/>
        </w:rPr>
        <w:t>2</w:t>
      </w:r>
      <w:r w:rsidR="008B77B5" w:rsidRPr="008B77B5">
        <w:rPr>
          <w:color w:val="000000" w:themeColor="text1"/>
        </w:rPr>
        <w:t>.</w:t>
      </w:r>
      <w:r w:rsidRPr="007D6C46">
        <w:rPr>
          <w:color w:val="000000" w:themeColor="text1"/>
        </w:rPr>
        <w:t>4 du chapitre 6</w:t>
      </w:r>
      <w:r w:rsidR="008B77B5" w:rsidRPr="008B77B5">
        <w:rPr>
          <w:color w:val="000000" w:themeColor="text1"/>
        </w:rPr>
        <w:t>.</w:t>
      </w:r>
      <w:r w:rsidRPr="007D6C46">
        <w:rPr>
          <w:color w:val="000000" w:themeColor="text1"/>
        </w:rPr>
        <w:t xml:space="preserve">1 </w:t>
      </w:r>
      <w:r w:rsidRPr="007D6C46">
        <w:rPr>
          <w:color w:val="000000" w:themeColor="text1"/>
        </w:rPr>
        <w:br/>
        <w:t xml:space="preserve">du Règlement type concernant l’épreuve préliminaire des emballages </w:t>
      </w:r>
      <w:r w:rsidRPr="007D6C46">
        <w:rPr>
          <w:color w:val="000000" w:themeColor="text1"/>
        </w:rPr>
        <w:br/>
        <w:t xml:space="preserve">en </w:t>
      </w:r>
      <w:r w:rsidRPr="007D6C46">
        <w:t xml:space="preserve">matière </w:t>
      </w:r>
      <w:r w:rsidRPr="007D6C46">
        <w:rPr>
          <w:color w:val="000000" w:themeColor="text1"/>
        </w:rPr>
        <w:t>plastique</w:t>
      </w:r>
      <w:r w:rsidRPr="007D6C46">
        <w:rPr>
          <w:color w:val="000000" w:themeColor="text1"/>
        </w:rPr>
        <w:tab/>
      </w:r>
      <w:r w:rsidRPr="007D6C46">
        <w:rPr>
          <w:color w:val="000000" w:themeColor="text1"/>
        </w:rPr>
        <w:tab/>
      </w:r>
      <w:r w:rsidR="00EA2862" w:rsidRPr="007D6C46">
        <w:rPr>
          <w:color w:val="000000" w:themeColor="text1"/>
        </w:rPr>
        <w:t>78</w:t>
      </w:r>
      <w:r w:rsidRPr="007D6C46">
        <w:rPr>
          <w:color w:val="000000" w:themeColor="text1"/>
        </w:rPr>
        <w:tab/>
      </w:r>
      <w:r w:rsidR="005E3B4E">
        <w:rPr>
          <w:color w:val="000000" w:themeColor="text1"/>
        </w:rPr>
        <w:t>18</w:t>
      </w:r>
    </w:p>
    <w:p w14:paraId="162D5712" w14:textId="580349AA" w:rsidR="00564BA0" w:rsidRPr="007D6C46" w:rsidRDefault="00564BA0" w:rsidP="00564BA0">
      <w:pPr>
        <w:tabs>
          <w:tab w:val="right" w:leader="dot" w:pos="7654"/>
          <w:tab w:val="right" w:pos="8929"/>
          <w:tab w:val="right" w:pos="9638"/>
        </w:tabs>
        <w:spacing w:after="120"/>
        <w:ind w:left="1984" w:hanging="425"/>
      </w:pPr>
      <w:r w:rsidRPr="007D6C46">
        <w:t>5</w:t>
      </w:r>
      <w:r w:rsidR="008B77B5" w:rsidRPr="008B77B5">
        <w:t>.</w:t>
      </w:r>
      <w:r w:rsidRPr="007D6C46">
        <w:tab/>
        <w:t xml:space="preserve">Difficultés liées à la mise en œuvre pratique de l’instruction </w:t>
      </w:r>
      <w:r w:rsidRPr="007D6C46">
        <w:br/>
        <w:t>d’emballage P650</w:t>
      </w:r>
      <w:r w:rsidRPr="007D6C46">
        <w:tab/>
      </w:r>
      <w:r w:rsidRPr="007D6C46">
        <w:tab/>
      </w:r>
      <w:r w:rsidR="00EA2862" w:rsidRPr="007D6C46">
        <w:t>79</w:t>
      </w:r>
      <w:r w:rsidRPr="007D6C46">
        <w:tab/>
      </w:r>
      <w:r w:rsidR="005E3B4E">
        <w:t>19</w:t>
      </w:r>
    </w:p>
    <w:p w14:paraId="6471F94C" w14:textId="2A47EFD0" w:rsidR="00564BA0" w:rsidRPr="007D6C46" w:rsidRDefault="00564BA0" w:rsidP="00564BA0">
      <w:pPr>
        <w:tabs>
          <w:tab w:val="right" w:leader="dot" w:pos="7654"/>
          <w:tab w:val="right" w:pos="8929"/>
          <w:tab w:val="right" w:pos="9638"/>
        </w:tabs>
        <w:spacing w:after="120"/>
        <w:ind w:left="1984" w:hanging="425"/>
      </w:pPr>
      <w:r w:rsidRPr="007D6C46">
        <w:t>6</w:t>
      </w:r>
      <w:r w:rsidR="008B77B5" w:rsidRPr="008B77B5">
        <w:t>.</w:t>
      </w:r>
      <w:r w:rsidRPr="007D6C46">
        <w:tab/>
      </w:r>
      <w:r w:rsidRPr="007D6C46">
        <w:rPr>
          <w:color w:val="000000" w:themeColor="text1"/>
        </w:rPr>
        <w:t>Utilisation de matières plastiques recyclées</w:t>
      </w:r>
      <w:r w:rsidRPr="007D6C46">
        <w:tab/>
      </w:r>
      <w:r w:rsidRPr="007D6C46">
        <w:tab/>
      </w:r>
      <w:r w:rsidR="00EA2862" w:rsidRPr="007D6C46">
        <w:t>80−81</w:t>
      </w:r>
      <w:r w:rsidRPr="007D6C46">
        <w:tab/>
      </w:r>
      <w:r w:rsidR="005E3B4E">
        <w:t>19</w:t>
      </w:r>
    </w:p>
    <w:p w14:paraId="0375B573" w14:textId="1D508C6F" w:rsidR="00564BA0" w:rsidRPr="007D6C46" w:rsidRDefault="00564BA0" w:rsidP="00564BA0">
      <w:pPr>
        <w:tabs>
          <w:tab w:val="right" w:leader="dot" w:pos="7654"/>
          <w:tab w:val="right" w:pos="8929"/>
          <w:tab w:val="right" w:pos="9638"/>
        </w:tabs>
        <w:spacing w:after="120"/>
        <w:ind w:left="1984" w:hanging="425"/>
      </w:pPr>
      <w:r w:rsidRPr="007D6C46">
        <w:t>7</w:t>
      </w:r>
      <w:r w:rsidR="008B77B5" w:rsidRPr="008B77B5">
        <w:t>.</w:t>
      </w:r>
      <w:r w:rsidRPr="007D6C46">
        <w:tab/>
        <w:t xml:space="preserve">Observations sur les dispositions du Programme 2030 des Nations </w:t>
      </w:r>
      <w:r w:rsidRPr="007D6C46">
        <w:br/>
        <w:t xml:space="preserve">Unies ayant une incidence sur l’utilisation d’emballages plastiques </w:t>
      </w:r>
      <w:r w:rsidRPr="007D6C46">
        <w:br/>
        <w:t>pour des matières dangereuses</w:t>
      </w:r>
      <w:r w:rsidRPr="007D6C46">
        <w:tab/>
      </w:r>
      <w:r w:rsidRPr="007D6C46">
        <w:tab/>
      </w:r>
      <w:r w:rsidR="00EA2862" w:rsidRPr="007D6C46">
        <w:t>82</w:t>
      </w:r>
      <w:r w:rsidRPr="007D6C46">
        <w:tab/>
      </w:r>
      <w:r w:rsidR="005E3B4E">
        <w:t>19</w:t>
      </w:r>
    </w:p>
    <w:p w14:paraId="55BEB246" w14:textId="42B18D1D" w:rsidR="00564BA0" w:rsidRPr="007D6C46" w:rsidRDefault="00564BA0" w:rsidP="00EA2862">
      <w:pPr>
        <w:keepNext/>
        <w:tabs>
          <w:tab w:val="right" w:leader="dot" w:pos="7654"/>
          <w:tab w:val="right" w:pos="8929"/>
          <w:tab w:val="right" w:pos="9638"/>
        </w:tabs>
        <w:spacing w:after="120"/>
        <w:ind w:left="1559" w:hanging="425"/>
      </w:pPr>
      <w:r w:rsidRPr="007D6C46">
        <w:lastRenderedPageBreak/>
        <w:t>C</w:t>
      </w:r>
      <w:r w:rsidR="008B77B5" w:rsidRPr="008B77B5">
        <w:t>.</w:t>
      </w:r>
      <w:r w:rsidRPr="007D6C46">
        <w:tab/>
      </w:r>
      <w:r w:rsidRPr="007D6C46">
        <w:rPr>
          <w:color w:val="000000" w:themeColor="text1"/>
        </w:rPr>
        <w:t xml:space="preserve">Citernes </w:t>
      </w:r>
      <w:r w:rsidRPr="007D6C46">
        <w:t>mobiles</w:t>
      </w:r>
      <w:r w:rsidRPr="007D6C46">
        <w:tab/>
      </w:r>
      <w:r w:rsidRPr="007D6C46">
        <w:tab/>
      </w:r>
      <w:r w:rsidR="00EA2862" w:rsidRPr="007D6C46">
        <w:t>83</w:t>
      </w:r>
      <w:r w:rsidRPr="007D6C46">
        <w:t>−</w:t>
      </w:r>
      <w:r w:rsidR="00EA2862" w:rsidRPr="007D6C46">
        <w:t>84</w:t>
      </w:r>
      <w:r w:rsidRPr="007D6C46">
        <w:tab/>
      </w:r>
      <w:r w:rsidR="005E3B4E">
        <w:t>20</w:t>
      </w:r>
    </w:p>
    <w:p w14:paraId="0FCA1BCC" w14:textId="23B72E81" w:rsidR="00564BA0" w:rsidRPr="007D6C46" w:rsidRDefault="00564BA0" w:rsidP="00564BA0">
      <w:pPr>
        <w:tabs>
          <w:tab w:val="right" w:leader="dot" w:pos="7654"/>
          <w:tab w:val="right" w:pos="8929"/>
          <w:tab w:val="right" w:pos="9638"/>
        </w:tabs>
        <w:spacing w:after="120"/>
        <w:ind w:left="1984" w:hanging="425"/>
      </w:pPr>
      <w:r w:rsidRPr="007D6C46">
        <w:t>1</w:t>
      </w:r>
      <w:r w:rsidR="008B77B5" w:rsidRPr="008B77B5">
        <w:t>.</w:t>
      </w:r>
      <w:r w:rsidRPr="007D6C46">
        <w:tab/>
        <w:t xml:space="preserve">Transport dans des citernes mobiles de certaines DISPERSIONS </w:t>
      </w:r>
      <w:r w:rsidRPr="007D6C46">
        <w:br/>
        <w:t xml:space="preserve">DE MÉTAUX ALCALINS (No ONU 1391) et DISPERSIONS </w:t>
      </w:r>
      <w:r w:rsidRPr="007D6C46">
        <w:br/>
        <w:t>DE MÉTAUX ALCALINS INFLAMMABLES (No ONU 3482)</w:t>
      </w:r>
      <w:r w:rsidRPr="007D6C46">
        <w:tab/>
      </w:r>
      <w:r w:rsidRPr="007D6C46">
        <w:tab/>
      </w:r>
      <w:r w:rsidR="00EA2862" w:rsidRPr="007D6C46">
        <w:t>83</w:t>
      </w:r>
      <w:r w:rsidRPr="007D6C46">
        <w:tab/>
      </w:r>
      <w:r w:rsidR="005E3B4E">
        <w:t>20</w:t>
      </w:r>
    </w:p>
    <w:p w14:paraId="579917F5" w14:textId="554D8C62" w:rsidR="00564BA0" w:rsidRPr="007D6C46" w:rsidRDefault="00564BA0" w:rsidP="00564BA0">
      <w:pPr>
        <w:tabs>
          <w:tab w:val="right" w:leader="dot" w:pos="7654"/>
          <w:tab w:val="right" w:pos="8929"/>
          <w:tab w:val="right" w:pos="9638"/>
        </w:tabs>
        <w:spacing w:after="120"/>
        <w:ind w:left="1984" w:hanging="425"/>
        <w:rPr>
          <w:color w:val="000000" w:themeColor="text1"/>
        </w:rPr>
      </w:pPr>
      <w:r w:rsidRPr="007D6C46">
        <w:t>2</w:t>
      </w:r>
      <w:r w:rsidR="008B77B5" w:rsidRPr="008B77B5">
        <w:t>.</w:t>
      </w:r>
      <w:r w:rsidRPr="007D6C46">
        <w:tab/>
      </w:r>
      <w:r w:rsidRPr="007D6C46">
        <w:rPr>
          <w:color w:val="000000" w:themeColor="text1"/>
        </w:rPr>
        <w:t>Rapport du groupe de travail informel des équipements de service</w:t>
      </w:r>
      <w:r w:rsidRPr="007D6C46">
        <w:rPr>
          <w:color w:val="000000" w:themeColor="text1"/>
        </w:rPr>
        <w:br/>
        <w:t>en matière plastique renforcée de fibres pour les citernes mobiles</w:t>
      </w:r>
      <w:r w:rsidRPr="007D6C46">
        <w:rPr>
          <w:color w:val="000000" w:themeColor="text1"/>
        </w:rPr>
        <w:tab/>
      </w:r>
      <w:r w:rsidRPr="007D6C46">
        <w:rPr>
          <w:color w:val="000000" w:themeColor="text1"/>
        </w:rPr>
        <w:tab/>
      </w:r>
      <w:r w:rsidR="00EA2862" w:rsidRPr="007D6C46">
        <w:rPr>
          <w:color w:val="000000" w:themeColor="text1"/>
        </w:rPr>
        <w:t>84</w:t>
      </w:r>
      <w:r w:rsidRPr="007D6C46">
        <w:rPr>
          <w:color w:val="000000" w:themeColor="text1"/>
        </w:rPr>
        <w:tab/>
      </w:r>
      <w:r w:rsidR="005E3B4E">
        <w:rPr>
          <w:color w:val="000000" w:themeColor="text1"/>
        </w:rPr>
        <w:t>20</w:t>
      </w:r>
    </w:p>
    <w:p w14:paraId="2738EA59" w14:textId="39010E3B" w:rsidR="00564BA0" w:rsidRPr="007D6C46" w:rsidRDefault="00564BA0" w:rsidP="00564BA0">
      <w:pPr>
        <w:tabs>
          <w:tab w:val="right" w:leader="dot" w:pos="7654"/>
          <w:tab w:val="right" w:pos="8929"/>
          <w:tab w:val="right" w:pos="9638"/>
        </w:tabs>
        <w:spacing w:after="120"/>
        <w:ind w:left="1559" w:hanging="425"/>
      </w:pPr>
      <w:r w:rsidRPr="007D6C46">
        <w:t>D</w:t>
      </w:r>
      <w:r w:rsidR="008B77B5" w:rsidRPr="008B77B5">
        <w:t>.</w:t>
      </w:r>
      <w:r w:rsidRPr="007D6C46">
        <w:tab/>
      </w:r>
      <w:r w:rsidRPr="007D6C46">
        <w:rPr>
          <w:color w:val="000000" w:themeColor="text1"/>
        </w:rPr>
        <w:t xml:space="preserve">Autres propositions </w:t>
      </w:r>
      <w:r w:rsidRPr="007D6C46">
        <w:t>diverses</w:t>
      </w:r>
      <w:r w:rsidRPr="007D6C46">
        <w:tab/>
      </w:r>
      <w:r w:rsidRPr="007D6C46">
        <w:tab/>
      </w:r>
      <w:r w:rsidR="00EA2862" w:rsidRPr="007D6C46">
        <w:t>85</w:t>
      </w:r>
      <w:r w:rsidRPr="007D6C46">
        <w:t>−</w:t>
      </w:r>
      <w:r w:rsidR="00EA2862" w:rsidRPr="007D6C46">
        <w:t>89</w:t>
      </w:r>
      <w:r w:rsidRPr="007D6C46">
        <w:tab/>
      </w:r>
      <w:r w:rsidR="005E3B4E">
        <w:t>20</w:t>
      </w:r>
    </w:p>
    <w:p w14:paraId="4D8311BA" w14:textId="25E9F449" w:rsidR="00564BA0" w:rsidRPr="007D6C46" w:rsidRDefault="00564BA0" w:rsidP="00564BA0">
      <w:pPr>
        <w:tabs>
          <w:tab w:val="right" w:leader="dot" w:pos="7654"/>
          <w:tab w:val="right" w:pos="8929"/>
          <w:tab w:val="right" w:pos="9638"/>
        </w:tabs>
        <w:spacing w:after="120"/>
        <w:ind w:left="1984" w:hanging="425"/>
        <w:rPr>
          <w:color w:val="000000" w:themeColor="text1"/>
        </w:rPr>
      </w:pPr>
      <w:r w:rsidRPr="007D6C46">
        <w:t>1</w:t>
      </w:r>
      <w:r w:rsidR="008B77B5" w:rsidRPr="008B77B5">
        <w:t>.</w:t>
      </w:r>
      <w:r w:rsidRPr="007D6C46">
        <w:tab/>
      </w:r>
      <w:r w:rsidRPr="007D6C46">
        <w:rPr>
          <w:color w:val="000000" w:themeColor="text1"/>
        </w:rPr>
        <w:t>Nouvelles mesures transitoires pour les récipients à pression</w:t>
      </w:r>
      <w:r w:rsidRPr="007D6C46">
        <w:rPr>
          <w:color w:val="000000" w:themeColor="text1"/>
        </w:rPr>
        <w:tab/>
      </w:r>
      <w:r w:rsidRPr="007D6C46">
        <w:rPr>
          <w:color w:val="000000" w:themeColor="text1"/>
        </w:rPr>
        <w:tab/>
      </w:r>
      <w:r w:rsidR="00EA2862" w:rsidRPr="007D6C46">
        <w:rPr>
          <w:color w:val="000000" w:themeColor="text1"/>
        </w:rPr>
        <w:t>85</w:t>
      </w:r>
      <w:r w:rsidRPr="007D6C46">
        <w:rPr>
          <w:color w:val="000000" w:themeColor="text1"/>
        </w:rPr>
        <w:tab/>
      </w:r>
      <w:r w:rsidR="005E3B4E">
        <w:rPr>
          <w:color w:val="000000" w:themeColor="text1"/>
        </w:rPr>
        <w:t>20</w:t>
      </w:r>
    </w:p>
    <w:p w14:paraId="384BEBA8" w14:textId="45D1F7BE" w:rsidR="00564BA0" w:rsidRPr="007D6C46" w:rsidRDefault="00564BA0" w:rsidP="00564BA0">
      <w:pPr>
        <w:tabs>
          <w:tab w:val="right" w:leader="dot" w:pos="7654"/>
          <w:tab w:val="right" w:pos="8929"/>
          <w:tab w:val="right" w:pos="9638"/>
        </w:tabs>
        <w:spacing w:after="120"/>
        <w:ind w:left="1984" w:hanging="425"/>
      </w:pPr>
      <w:r w:rsidRPr="007D6C46">
        <w:rPr>
          <w:color w:val="000000" w:themeColor="text1"/>
        </w:rPr>
        <w:t>2</w:t>
      </w:r>
      <w:r w:rsidR="008B77B5" w:rsidRPr="008B77B5">
        <w:rPr>
          <w:color w:val="000000" w:themeColor="text1"/>
        </w:rPr>
        <w:t>.</w:t>
      </w:r>
      <w:r w:rsidRPr="007D6C46">
        <w:rPr>
          <w:color w:val="000000" w:themeColor="text1"/>
        </w:rPr>
        <w:tab/>
      </w:r>
      <w:r w:rsidRPr="007D6C46">
        <w:t>Correction d’un renvoi dans le 6</w:t>
      </w:r>
      <w:r w:rsidR="008B77B5" w:rsidRPr="008B77B5">
        <w:t>.</w:t>
      </w:r>
      <w:r w:rsidRPr="007D6C46">
        <w:t>4</w:t>
      </w:r>
      <w:r w:rsidR="008B77B5" w:rsidRPr="008B77B5">
        <w:t>.</w:t>
      </w:r>
      <w:r w:rsidRPr="007D6C46">
        <w:t>23</w:t>
      </w:r>
      <w:r w:rsidR="008B77B5" w:rsidRPr="008B77B5">
        <w:t>.</w:t>
      </w:r>
      <w:r w:rsidRPr="007D6C46">
        <w:t>2 c)</w:t>
      </w:r>
      <w:r w:rsidRPr="007D6C46">
        <w:tab/>
      </w:r>
      <w:r w:rsidRPr="007D6C46">
        <w:tab/>
      </w:r>
      <w:r w:rsidR="00EA2862" w:rsidRPr="007D6C46">
        <w:t>86</w:t>
      </w:r>
      <w:r w:rsidRPr="007D6C46">
        <w:tab/>
      </w:r>
      <w:r w:rsidR="005E3B4E">
        <w:t>20</w:t>
      </w:r>
    </w:p>
    <w:p w14:paraId="539C52C3" w14:textId="3BF9CD48" w:rsidR="00564BA0" w:rsidRPr="007D6C46" w:rsidRDefault="00564BA0" w:rsidP="00564BA0">
      <w:pPr>
        <w:tabs>
          <w:tab w:val="right" w:leader="dot" w:pos="7654"/>
          <w:tab w:val="right" w:pos="8929"/>
          <w:tab w:val="right" w:pos="9638"/>
        </w:tabs>
        <w:spacing w:after="120"/>
        <w:ind w:left="1984" w:hanging="425"/>
      </w:pPr>
      <w:r w:rsidRPr="007D6C46">
        <w:t>3</w:t>
      </w:r>
      <w:r w:rsidR="008B77B5" w:rsidRPr="008B77B5">
        <w:t>.</w:t>
      </w:r>
      <w:r w:rsidRPr="007D6C46">
        <w:tab/>
        <w:t>Taux de remplissage et degré de remplissage</w:t>
      </w:r>
      <w:r w:rsidRPr="007D6C46">
        <w:tab/>
      </w:r>
      <w:r w:rsidRPr="007D6C46">
        <w:tab/>
      </w:r>
      <w:r w:rsidR="00EA2862" w:rsidRPr="007D6C46">
        <w:t>87</w:t>
      </w:r>
      <w:r w:rsidRPr="007D6C46">
        <w:tab/>
      </w:r>
      <w:r w:rsidR="005E3B4E">
        <w:t>20</w:t>
      </w:r>
    </w:p>
    <w:p w14:paraId="2F1FEEAA" w14:textId="0E7B9C82" w:rsidR="00564BA0" w:rsidRPr="007D6C46" w:rsidRDefault="00564BA0" w:rsidP="00564BA0">
      <w:pPr>
        <w:tabs>
          <w:tab w:val="right" w:leader="dot" w:pos="7654"/>
          <w:tab w:val="right" w:pos="8929"/>
          <w:tab w:val="right" w:pos="9638"/>
        </w:tabs>
        <w:spacing w:after="120"/>
        <w:ind w:left="1984" w:hanging="425"/>
      </w:pPr>
      <w:r w:rsidRPr="007D6C46">
        <w:t>4</w:t>
      </w:r>
      <w:r w:rsidR="008B77B5" w:rsidRPr="008B77B5">
        <w:t>.</w:t>
      </w:r>
      <w:r w:rsidRPr="007D6C46">
        <w:tab/>
        <w:t>Amendement au 2</w:t>
      </w:r>
      <w:r w:rsidR="008B77B5" w:rsidRPr="008B77B5">
        <w:t>.</w:t>
      </w:r>
      <w:r w:rsidRPr="007D6C46">
        <w:t>0</w:t>
      </w:r>
      <w:r w:rsidR="008B77B5" w:rsidRPr="008B77B5">
        <w:t>.</w:t>
      </w:r>
      <w:r w:rsidRPr="007D6C46">
        <w:t>5</w:t>
      </w:r>
      <w:r w:rsidR="008B77B5" w:rsidRPr="008B77B5">
        <w:t>.</w:t>
      </w:r>
      <w:r w:rsidRPr="007D6C46">
        <w:t>2</w:t>
      </w:r>
      <w:r w:rsidRPr="007D6C46">
        <w:tab/>
      </w:r>
      <w:r w:rsidRPr="007D6C46">
        <w:tab/>
      </w:r>
      <w:r w:rsidR="00EA2862" w:rsidRPr="007D6C46">
        <w:t>88−89</w:t>
      </w:r>
      <w:r w:rsidRPr="007D6C46">
        <w:tab/>
      </w:r>
      <w:r w:rsidR="005E3B4E">
        <w:t>21</w:t>
      </w:r>
    </w:p>
    <w:p w14:paraId="7713B1D7" w14:textId="447E0D8E" w:rsidR="00564BA0" w:rsidRPr="007D6C46" w:rsidRDefault="00564BA0" w:rsidP="00564BA0">
      <w:pPr>
        <w:tabs>
          <w:tab w:val="right" w:pos="850"/>
          <w:tab w:val="right" w:leader="dot" w:pos="7654"/>
          <w:tab w:val="right" w:pos="8929"/>
          <w:tab w:val="right" w:pos="9638"/>
        </w:tabs>
        <w:spacing w:after="120"/>
        <w:ind w:left="1134" w:hanging="1134"/>
      </w:pPr>
      <w:r w:rsidRPr="007D6C46">
        <w:tab/>
        <w:t>IX</w:t>
      </w:r>
      <w:r w:rsidR="008B77B5" w:rsidRPr="008B77B5">
        <w:t>.</w:t>
      </w:r>
      <w:r w:rsidRPr="007D6C46">
        <w:tab/>
        <w:t xml:space="preserve">Harmonisation générale des règlements relatifs au transport des marchandises </w:t>
      </w:r>
      <w:r w:rsidRPr="007D6C46">
        <w:br/>
        <w:t>dangereuses avec le Règlement type (point 7 de l’ordre du jour)</w:t>
      </w:r>
      <w:r w:rsidRPr="007D6C46">
        <w:tab/>
      </w:r>
      <w:r w:rsidRPr="007D6C46">
        <w:tab/>
      </w:r>
      <w:r w:rsidR="00EA2862" w:rsidRPr="007D6C46">
        <w:t>90−91</w:t>
      </w:r>
      <w:r w:rsidRPr="007D6C46">
        <w:tab/>
      </w:r>
      <w:r w:rsidR="005E3B4E">
        <w:t>21</w:t>
      </w:r>
    </w:p>
    <w:p w14:paraId="499A8D40" w14:textId="12700876" w:rsidR="00564BA0" w:rsidRPr="007D6C46" w:rsidRDefault="00564BA0" w:rsidP="00564BA0">
      <w:pPr>
        <w:tabs>
          <w:tab w:val="right" w:leader="dot" w:pos="7654"/>
          <w:tab w:val="right" w:pos="8929"/>
          <w:tab w:val="right" w:pos="9638"/>
        </w:tabs>
        <w:spacing w:after="120"/>
        <w:ind w:left="1984" w:hanging="425"/>
      </w:pPr>
      <w:r w:rsidRPr="007D6C46">
        <w:t>1</w:t>
      </w:r>
      <w:r w:rsidR="008B77B5" w:rsidRPr="008B77B5">
        <w:t>.</w:t>
      </w:r>
      <w:r w:rsidRPr="007D6C46">
        <w:tab/>
        <w:t xml:space="preserve">Propositions d’amendements découlant de la trente-cinquième </w:t>
      </w:r>
      <w:r w:rsidR="005E3B4E">
        <w:br/>
      </w:r>
      <w:r w:rsidRPr="007D6C46">
        <w:t>session du Groupe des questions techniques et éditoriales</w:t>
      </w:r>
      <w:r w:rsidRPr="007D6C46">
        <w:tab/>
      </w:r>
      <w:r w:rsidRPr="007D6C46">
        <w:tab/>
      </w:r>
      <w:r w:rsidR="00EA2862" w:rsidRPr="007D6C46">
        <w:t>90</w:t>
      </w:r>
      <w:r w:rsidRPr="007D6C46">
        <w:tab/>
      </w:r>
      <w:r w:rsidR="005E3B4E">
        <w:t>21</w:t>
      </w:r>
    </w:p>
    <w:p w14:paraId="4929ABBD" w14:textId="5F5A2BC1" w:rsidR="00564BA0" w:rsidRPr="007D6C46" w:rsidRDefault="00564BA0" w:rsidP="00564BA0">
      <w:pPr>
        <w:tabs>
          <w:tab w:val="right" w:leader="dot" w:pos="7654"/>
          <w:tab w:val="right" w:pos="8929"/>
          <w:tab w:val="right" w:pos="9638"/>
        </w:tabs>
        <w:spacing w:after="120"/>
        <w:ind w:left="1984" w:hanging="425"/>
      </w:pPr>
      <w:r w:rsidRPr="007D6C46">
        <w:t>2</w:t>
      </w:r>
      <w:r w:rsidR="008B77B5" w:rsidRPr="008B77B5">
        <w:t>.</w:t>
      </w:r>
      <w:r w:rsidRPr="007D6C46">
        <w:tab/>
        <w:t>Proposition d’un libellé de substitution pour le paragraphe 2</w:t>
      </w:r>
      <w:r w:rsidR="008B77B5" w:rsidRPr="008B77B5">
        <w:t>.</w:t>
      </w:r>
      <w:r w:rsidRPr="007D6C46">
        <w:t>9</w:t>
      </w:r>
      <w:r w:rsidR="008B77B5" w:rsidRPr="008B77B5">
        <w:t>.</w:t>
      </w:r>
      <w:r w:rsidRPr="007D6C46">
        <w:t xml:space="preserve">2 </w:t>
      </w:r>
      <w:r w:rsidR="005E3B4E">
        <w:br/>
      </w:r>
      <w:r w:rsidRPr="005E3B4E">
        <w:rPr>
          <w:spacing w:val="-4"/>
        </w:rPr>
        <w:t>à propos des organismes et micro-organismes génétiquement modifiés</w:t>
      </w:r>
      <w:r w:rsidRPr="005E3B4E">
        <w:rPr>
          <w:spacing w:val="-4"/>
        </w:rPr>
        <w:tab/>
      </w:r>
      <w:r w:rsidRPr="007D6C46">
        <w:tab/>
      </w:r>
      <w:r w:rsidR="00EA2862" w:rsidRPr="007D6C46">
        <w:t>91</w:t>
      </w:r>
      <w:r w:rsidRPr="007D6C46">
        <w:tab/>
      </w:r>
      <w:r w:rsidR="005E3B4E">
        <w:t>21</w:t>
      </w:r>
    </w:p>
    <w:p w14:paraId="5EAE432E" w14:textId="34850F84" w:rsidR="00564BA0" w:rsidRPr="007D6C46" w:rsidRDefault="00564BA0" w:rsidP="00564BA0">
      <w:pPr>
        <w:tabs>
          <w:tab w:val="right" w:pos="850"/>
          <w:tab w:val="right" w:leader="dot" w:pos="7654"/>
          <w:tab w:val="right" w:pos="8929"/>
          <w:tab w:val="right" w:pos="9638"/>
        </w:tabs>
        <w:spacing w:after="120"/>
        <w:ind w:left="1134" w:hanging="1134"/>
      </w:pPr>
      <w:r w:rsidRPr="007D6C46">
        <w:tab/>
        <w:t>X</w:t>
      </w:r>
      <w:r w:rsidR="008B77B5" w:rsidRPr="008B77B5">
        <w:t>.</w:t>
      </w:r>
      <w:r w:rsidRPr="007D6C46">
        <w:tab/>
        <w:t xml:space="preserve">Coopération avec l’Agence internationale de l’énergie atomique </w:t>
      </w:r>
      <w:r w:rsidRPr="007D6C46">
        <w:br/>
        <w:t>(point 8 de l’ordre du jour)</w:t>
      </w:r>
      <w:r w:rsidRPr="007D6C46">
        <w:tab/>
      </w:r>
      <w:r w:rsidRPr="007D6C46">
        <w:tab/>
      </w:r>
      <w:r w:rsidR="00EA2862" w:rsidRPr="007D6C46">
        <w:t>92</w:t>
      </w:r>
      <w:r w:rsidR="005E3B4E">
        <w:tab/>
        <w:t>21</w:t>
      </w:r>
    </w:p>
    <w:p w14:paraId="5E542D87" w14:textId="7618D131" w:rsidR="00564BA0" w:rsidRPr="007D6C46" w:rsidRDefault="00564BA0" w:rsidP="00564BA0">
      <w:pPr>
        <w:tabs>
          <w:tab w:val="right" w:pos="850"/>
          <w:tab w:val="right" w:leader="dot" w:pos="7654"/>
          <w:tab w:val="right" w:pos="8929"/>
          <w:tab w:val="right" w:pos="9638"/>
        </w:tabs>
        <w:spacing w:after="120"/>
        <w:ind w:left="1134" w:hanging="1134"/>
      </w:pPr>
      <w:r w:rsidRPr="007D6C46">
        <w:tab/>
        <w:t>XI</w:t>
      </w:r>
      <w:r w:rsidR="008B77B5" w:rsidRPr="008B77B5">
        <w:t>.</w:t>
      </w:r>
      <w:r w:rsidRPr="007D6C46">
        <w:tab/>
        <w:t>Principes directeurs du Règlement type (point 9 de l’ordre du jour)</w:t>
      </w:r>
      <w:r w:rsidRPr="007D6C46">
        <w:tab/>
      </w:r>
      <w:r w:rsidRPr="007D6C46">
        <w:tab/>
      </w:r>
      <w:r w:rsidR="00EA2862" w:rsidRPr="007D6C46">
        <w:t>93−95</w:t>
      </w:r>
      <w:r w:rsidRPr="007D6C46">
        <w:tab/>
      </w:r>
      <w:r w:rsidR="005E3B4E">
        <w:t>21</w:t>
      </w:r>
    </w:p>
    <w:p w14:paraId="5E636A82" w14:textId="71D402E6" w:rsidR="00564BA0" w:rsidRPr="007D6C46" w:rsidRDefault="00564BA0" w:rsidP="00564BA0">
      <w:pPr>
        <w:pStyle w:val="ListParagraph"/>
        <w:tabs>
          <w:tab w:val="right" w:leader="dot" w:pos="7654"/>
          <w:tab w:val="right" w:pos="8929"/>
          <w:tab w:val="right" w:pos="9638"/>
        </w:tabs>
        <w:spacing w:after="120"/>
        <w:ind w:left="1984" w:hanging="425"/>
        <w:contextualSpacing w:val="0"/>
      </w:pPr>
      <w:bookmarkStart w:id="9" w:name="_Hlk115010967"/>
      <w:bookmarkStart w:id="10" w:name="_Hlk114675913"/>
      <w:r w:rsidRPr="007D6C46">
        <w:t>1</w:t>
      </w:r>
      <w:r w:rsidR="008B77B5" w:rsidRPr="008B77B5">
        <w:t>.</w:t>
      </w:r>
      <w:r w:rsidRPr="007D6C46">
        <w:tab/>
        <w:t xml:space="preserve">Affectation de l’instruction d’emballage au No ONU 3550 </w:t>
      </w:r>
      <w:r w:rsidRPr="007D6C46">
        <w:br/>
        <w:t xml:space="preserve">(dihydroxyde de cobalt en poudre) pour le transport en grands </w:t>
      </w:r>
      <w:r w:rsidRPr="007D6C46">
        <w:br/>
        <w:t>récipients pour vrac souples</w:t>
      </w:r>
      <w:bookmarkEnd w:id="9"/>
      <w:r w:rsidRPr="007D6C46">
        <w:tab/>
      </w:r>
      <w:r w:rsidRPr="007D6C46">
        <w:tab/>
      </w:r>
      <w:r w:rsidR="00EA2862" w:rsidRPr="007D6C46">
        <w:t>93</w:t>
      </w:r>
      <w:r w:rsidRPr="007D6C46">
        <w:tab/>
      </w:r>
      <w:r w:rsidR="005E3B4E">
        <w:t>21</w:t>
      </w:r>
    </w:p>
    <w:p w14:paraId="26F9EE98" w14:textId="6A15D064" w:rsidR="00564BA0" w:rsidRPr="007D6C46" w:rsidRDefault="00564BA0" w:rsidP="00564BA0">
      <w:pPr>
        <w:pStyle w:val="ListParagraph"/>
        <w:tabs>
          <w:tab w:val="right" w:leader="dot" w:pos="7654"/>
          <w:tab w:val="right" w:pos="8929"/>
          <w:tab w:val="right" w:pos="9638"/>
        </w:tabs>
        <w:spacing w:after="120"/>
        <w:ind w:left="1980" w:hanging="420"/>
        <w:contextualSpacing w:val="0"/>
      </w:pPr>
      <w:r w:rsidRPr="007D6C46">
        <w:t>2</w:t>
      </w:r>
      <w:r w:rsidR="008B77B5" w:rsidRPr="008B77B5">
        <w:t>.</w:t>
      </w:r>
      <w:r w:rsidRPr="007D6C46">
        <w:tab/>
        <w:t xml:space="preserve">Questions diverses relatives aux instructions de transport en citernes </w:t>
      </w:r>
      <w:r w:rsidRPr="007D6C46">
        <w:br/>
        <w:t xml:space="preserve">mobiles et aux dispositions spéciales applicables au transport </w:t>
      </w:r>
      <w:r w:rsidRPr="007D6C46">
        <w:br/>
        <w:t>en citernes mobiles</w:t>
      </w:r>
      <w:r w:rsidRPr="007D6C46">
        <w:tab/>
      </w:r>
      <w:r w:rsidRPr="007D6C46">
        <w:tab/>
      </w:r>
      <w:r w:rsidR="00EA2862" w:rsidRPr="007D6C46">
        <w:t>94−95</w:t>
      </w:r>
      <w:r w:rsidRPr="007D6C46">
        <w:tab/>
      </w:r>
      <w:r w:rsidR="005E3B4E">
        <w:t>22</w:t>
      </w:r>
    </w:p>
    <w:bookmarkEnd w:id="10"/>
    <w:p w14:paraId="5D43103D" w14:textId="2F19A976" w:rsidR="00564BA0" w:rsidRPr="007D6C46" w:rsidRDefault="00564BA0" w:rsidP="00564BA0">
      <w:pPr>
        <w:tabs>
          <w:tab w:val="right" w:pos="850"/>
          <w:tab w:val="right" w:leader="dot" w:pos="7654"/>
          <w:tab w:val="right" w:pos="8929"/>
          <w:tab w:val="right" w:pos="9638"/>
        </w:tabs>
        <w:spacing w:after="120"/>
        <w:ind w:left="1134" w:hanging="1134"/>
      </w:pPr>
      <w:r w:rsidRPr="007D6C46">
        <w:tab/>
        <w:t>XII</w:t>
      </w:r>
      <w:r w:rsidR="008B77B5" w:rsidRPr="008B77B5">
        <w:t>.</w:t>
      </w:r>
      <w:r w:rsidRPr="007D6C46">
        <w:tab/>
        <w:t xml:space="preserve">Questions relatives au Système général harmonisé de classification </w:t>
      </w:r>
      <w:r w:rsidRPr="007D6C46">
        <w:br/>
        <w:t>et d’étiquetage des produits chimiques (point 10 de l’ordre du jour)</w:t>
      </w:r>
      <w:r w:rsidRPr="007D6C46">
        <w:tab/>
      </w:r>
      <w:r w:rsidRPr="007D6C46">
        <w:tab/>
      </w:r>
      <w:r w:rsidR="00EA2862" w:rsidRPr="007D6C46">
        <w:t>96</w:t>
      </w:r>
      <w:r w:rsidRPr="007D6C46">
        <w:t>−</w:t>
      </w:r>
      <w:r w:rsidR="00EA2862" w:rsidRPr="007D6C46">
        <w:t>100</w:t>
      </w:r>
      <w:r w:rsidRPr="007D6C46">
        <w:tab/>
      </w:r>
      <w:r w:rsidR="005E3B4E">
        <w:t>22</w:t>
      </w:r>
    </w:p>
    <w:p w14:paraId="70D2D7E3" w14:textId="00CA50E5" w:rsidR="00564BA0" w:rsidRPr="007D6C46" w:rsidRDefault="00564BA0" w:rsidP="00564BA0">
      <w:pPr>
        <w:tabs>
          <w:tab w:val="right" w:leader="dot" w:pos="7654"/>
          <w:tab w:val="right" w:pos="8929"/>
          <w:tab w:val="right" w:pos="9638"/>
        </w:tabs>
        <w:spacing w:after="120"/>
        <w:ind w:left="1559" w:hanging="425"/>
      </w:pPr>
      <w:r w:rsidRPr="007D6C46">
        <w:t>A</w:t>
      </w:r>
      <w:r w:rsidR="008B77B5" w:rsidRPr="008B77B5">
        <w:t>.</w:t>
      </w:r>
      <w:r w:rsidRPr="007D6C46">
        <w:tab/>
        <w:t>Épreuves relatives aux matières comburantes</w:t>
      </w:r>
      <w:r w:rsidRPr="007D6C46">
        <w:tab/>
      </w:r>
      <w:r w:rsidRPr="007D6C46">
        <w:tab/>
      </w:r>
      <w:r w:rsidR="00EA2862" w:rsidRPr="007D6C46">
        <w:t>96</w:t>
      </w:r>
      <w:r w:rsidRPr="007D6C46">
        <w:tab/>
      </w:r>
      <w:r w:rsidR="005E3B4E">
        <w:t>22</w:t>
      </w:r>
    </w:p>
    <w:p w14:paraId="63B11699" w14:textId="23CC9E00" w:rsidR="00564BA0" w:rsidRPr="007D6C46" w:rsidRDefault="00564BA0" w:rsidP="00564BA0">
      <w:pPr>
        <w:tabs>
          <w:tab w:val="right" w:leader="dot" w:pos="7654"/>
          <w:tab w:val="right" w:pos="8929"/>
          <w:tab w:val="right" w:pos="9638"/>
        </w:tabs>
        <w:spacing w:after="120"/>
        <w:ind w:left="1559" w:hanging="425"/>
      </w:pPr>
      <w:r w:rsidRPr="007D6C46">
        <w:t>B</w:t>
      </w:r>
      <w:r w:rsidR="008B77B5" w:rsidRPr="008B77B5">
        <w:t>.</w:t>
      </w:r>
      <w:r w:rsidRPr="007D6C46">
        <w:tab/>
        <w:t xml:space="preserve">Affectation à plusieurs classes de danger physique et hiérarchisation </w:t>
      </w:r>
      <w:r w:rsidRPr="007D6C46">
        <w:br/>
        <w:t>des dangers</w:t>
      </w:r>
      <w:r w:rsidRPr="007D6C46">
        <w:tab/>
      </w:r>
      <w:r w:rsidRPr="007D6C46">
        <w:tab/>
      </w:r>
      <w:r w:rsidR="00EA2862" w:rsidRPr="007D6C46">
        <w:t>97</w:t>
      </w:r>
      <w:r w:rsidRPr="007D6C46">
        <w:tab/>
      </w:r>
      <w:r w:rsidR="005E3B4E">
        <w:t>22</w:t>
      </w:r>
    </w:p>
    <w:p w14:paraId="1BBCE498" w14:textId="629E8C55" w:rsidR="00564BA0" w:rsidRPr="007D6C46" w:rsidRDefault="00564BA0" w:rsidP="00564BA0">
      <w:pPr>
        <w:tabs>
          <w:tab w:val="right" w:leader="dot" w:pos="7654"/>
          <w:tab w:val="right" w:pos="8929"/>
          <w:tab w:val="right" w:pos="9638"/>
        </w:tabs>
        <w:spacing w:after="120"/>
        <w:ind w:left="1559" w:hanging="425"/>
      </w:pPr>
      <w:r w:rsidRPr="007D6C46">
        <w:t>C</w:t>
      </w:r>
      <w:r w:rsidR="008B77B5" w:rsidRPr="008B77B5">
        <w:t>.</w:t>
      </w:r>
      <w:r w:rsidRPr="007D6C46">
        <w:tab/>
        <w:t>Autres questions</w:t>
      </w:r>
      <w:r w:rsidRPr="007D6C46">
        <w:tab/>
      </w:r>
      <w:r w:rsidRPr="007D6C46">
        <w:tab/>
      </w:r>
      <w:r w:rsidR="00EA2862" w:rsidRPr="007D6C46">
        <w:t>98−100</w:t>
      </w:r>
      <w:r w:rsidRPr="007D6C46">
        <w:tab/>
      </w:r>
      <w:r w:rsidR="005E3B4E">
        <w:t>22</w:t>
      </w:r>
    </w:p>
    <w:p w14:paraId="389A5C1C" w14:textId="30BAC111" w:rsidR="00564BA0" w:rsidRPr="007D6C46" w:rsidRDefault="00564BA0" w:rsidP="00564BA0">
      <w:pPr>
        <w:pStyle w:val="ListParagraph"/>
        <w:tabs>
          <w:tab w:val="right" w:leader="dot" w:pos="7654"/>
          <w:tab w:val="right" w:pos="8929"/>
          <w:tab w:val="right" w:pos="9638"/>
        </w:tabs>
        <w:spacing w:after="120"/>
        <w:ind w:left="1979" w:hanging="420"/>
        <w:contextualSpacing w:val="0"/>
      </w:pPr>
      <w:r w:rsidRPr="007D6C46">
        <w:t>1</w:t>
      </w:r>
      <w:r w:rsidR="008B77B5" w:rsidRPr="008B77B5">
        <w:t>.</w:t>
      </w:r>
      <w:r w:rsidRPr="007D6C46">
        <w:tab/>
        <w:t xml:space="preserve">Modification du Manuel d’épreuves et de critères visant à prendre </w:t>
      </w:r>
      <w:r w:rsidRPr="007D6C46">
        <w:br/>
        <w:t xml:space="preserve">en considération de manière appropriée le Système général harmonisé </w:t>
      </w:r>
      <w:r w:rsidRPr="007D6C46">
        <w:br/>
        <w:t>de classification et d’étiquetage des produits chimiques</w:t>
      </w:r>
      <w:r w:rsidRPr="007D6C46">
        <w:tab/>
      </w:r>
      <w:r w:rsidRPr="007D6C46">
        <w:tab/>
      </w:r>
      <w:r w:rsidR="00EA2862" w:rsidRPr="007D6C46">
        <w:t>98</w:t>
      </w:r>
      <w:r w:rsidRPr="007D6C46">
        <w:tab/>
      </w:r>
      <w:r w:rsidR="005E3B4E">
        <w:t>22</w:t>
      </w:r>
    </w:p>
    <w:p w14:paraId="14CC5D31" w14:textId="59DF8E06" w:rsidR="00564BA0" w:rsidRPr="007D6C46" w:rsidRDefault="00564BA0" w:rsidP="00564BA0">
      <w:pPr>
        <w:pStyle w:val="ListParagraph"/>
        <w:tabs>
          <w:tab w:val="right" w:leader="dot" w:pos="7654"/>
          <w:tab w:val="right" w:pos="8929"/>
          <w:tab w:val="right" w:pos="9638"/>
        </w:tabs>
        <w:spacing w:after="120"/>
        <w:ind w:left="1979" w:hanging="420"/>
        <w:contextualSpacing w:val="0"/>
      </w:pPr>
      <w:bookmarkStart w:id="11" w:name="_Hlk115012184"/>
      <w:r w:rsidRPr="007D6C46">
        <w:t>2</w:t>
      </w:r>
      <w:r w:rsidR="008B77B5" w:rsidRPr="008B77B5">
        <w:t>.</w:t>
      </w:r>
      <w:r w:rsidRPr="007D6C46">
        <w:tab/>
        <w:t xml:space="preserve">Proposition tendant à régler des questions inscrites au programme </w:t>
      </w:r>
      <w:r w:rsidRPr="007D6C46">
        <w:br/>
        <w:t xml:space="preserve">de travail du groupe de travail informel par correspondance chargé </w:t>
      </w:r>
      <w:r w:rsidRPr="007D6C46">
        <w:br/>
        <w:t>des questions pratiques de classification</w:t>
      </w:r>
      <w:bookmarkEnd w:id="11"/>
      <w:r w:rsidRPr="007D6C46">
        <w:tab/>
      </w:r>
      <w:r w:rsidRPr="007D6C46">
        <w:tab/>
      </w:r>
      <w:r w:rsidR="00EA2862" w:rsidRPr="007D6C46">
        <w:t>99</w:t>
      </w:r>
      <w:r w:rsidRPr="007D6C46">
        <w:tab/>
      </w:r>
      <w:r w:rsidR="005E3B4E">
        <w:t>22</w:t>
      </w:r>
    </w:p>
    <w:p w14:paraId="7F1FCB0F" w14:textId="538D2450" w:rsidR="00564BA0" w:rsidRPr="007D6C46" w:rsidRDefault="00564BA0" w:rsidP="00564BA0">
      <w:pPr>
        <w:pStyle w:val="ListParagraph"/>
        <w:tabs>
          <w:tab w:val="right" w:leader="dot" w:pos="7654"/>
          <w:tab w:val="right" w:pos="8929"/>
          <w:tab w:val="right" w:pos="9638"/>
        </w:tabs>
        <w:spacing w:after="120"/>
        <w:ind w:left="1980" w:hanging="420"/>
        <w:contextualSpacing w:val="0"/>
      </w:pPr>
      <w:r w:rsidRPr="007D6C46">
        <w:t>3</w:t>
      </w:r>
      <w:r w:rsidR="008B77B5" w:rsidRPr="008B77B5">
        <w:t>.</w:t>
      </w:r>
      <w:r w:rsidRPr="007D6C46">
        <w:tab/>
        <w:t>Modifications à apporter au chapitre 2</w:t>
      </w:r>
      <w:r w:rsidR="008B77B5" w:rsidRPr="008B77B5">
        <w:t>.</w:t>
      </w:r>
      <w:r w:rsidRPr="007D6C46">
        <w:t xml:space="preserve">17 du SGH « Matières </w:t>
      </w:r>
      <w:r w:rsidRPr="007D6C46">
        <w:br/>
        <w:t>explosibles désensibilisées »</w:t>
      </w:r>
      <w:r w:rsidRPr="007D6C46">
        <w:tab/>
      </w:r>
      <w:r w:rsidRPr="007D6C46">
        <w:tab/>
      </w:r>
      <w:r w:rsidR="00EA2862" w:rsidRPr="007D6C46">
        <w:t>100</w:t>
      </w:r>
      <w:r w:rsidRPr="007D6C46">
        <w:tab/>
      </w:r>
      <w:r w:rsidR="008B77B5">
        <w:t>23</w:t>
      </w:r>
    </w:p>
    <w:p w14:paraId="01BDE960" w14:textId="505803CF" w:rsidR="00564BA0" w:rsidRPr="007D6C46" w:rsidRDefault="00564BA0" w:rsidP="00564BA0">
      <w:pPr>
        <w:tabs>
          <w:tab w:val="right" w:pos="850"/>
          <w:tab w:val="right" w:leader="dot" w:pos="7654"/>
          <w:tab w:val="right" w:pos="8929"/>
          <w:tab w:val="right" w:pos="9638"/>
        </w:tabs>
        <w:spacing w:after="120"/>
        <w:ind w:left="1134" w:hanging="1134"/>
      </w:pPr>
      <w:r w:rsidRPr="007D6C46">
        <w:tab/>
        <w:t>XIII</w:t>
      </w:r>
      <w:r w:rsidR="008B77B5" w:rsidRPr="008B77B5">
        <w:t>.</w:t>
      </w:r>
      <w:r w:rsidRPr="007D6C46">
        <w:tab/>
        <w:t xml:space="preserve">Uniformisation des interprétations du Règlement type </w:t>
      </w:r>
      <w:r w:rsidR="008B77B5">
        <w:br/>
      </w:r>
      <w:r w:rsidRPr="007D6C46">
        <w:t>(point 11 de l’ordre du jour)</w:t>
      </w:r>
      <w:r w:rsidRPr="007D6C46">
        <w:tab/>
      </w:r>
      <w:r w:rsidRPr="007D6C46">
        <w:tab/>
      </w:r>
      <w:r w:rsidR="00EA2862" w:rsidRPr="007D6C46">
        <w:t>101</w:t>
      </w:r>
      <w:r w:rsidRPr="007D6C46">
        <w:t>−</w:t>
      </w:r>
      <w:r w:rsidR="00EA2862" w:rsidRPr="007D6C46">
        <w:t>106</w:t>
      </w:r>
      <w:r w:rsidRPr="007D6C46">
        <w:tab/>
      </w:r>
      <w:r w:rsidR="008B77B5">
        <w:t>23</w:t>
      </w:r>
    </w:p>
    <w:p w14:paraId="6DAEC324" w14:textId="493031E4" w:rsidR="00564BA0" w:rsidRPr="007D6C46" w:rsidRDefault="00564BA0" w:rsidP="00564BA0">
      <w:pPr>
        <w:tabs>
          <w:tab w:val="right" w:leader="dot" w:pos="7654"/>
          <w:tab w:val="right" w:pos="8929"/>
          <w:tab w:val="right" w:pos="9638"/>
        </w:tabs>
        <w:spacing w:after="120"/>
        <w:ind w:left="1984" w:hanging="425"/>
      </w:pPr>
      <w:r w:rsidRPr="007D6C46">
        <w:t>1</w:t>
      </w:r>
      <w:r w:rsidR="008B77B5" w:rsidRPr="008B77B5">
        <w:t>.</w:t>
      </w:r>
      <w:r w:rsidRPr="007D6C46">
        <w:tab/>
        <w:t xml:space="preserve">Livraison directe de marchandises dangereuses aux clients finaux </w:t>
      </w:r>
      <w:r w:rsidRPr="007D6C46">
        <w:br/>
        <w:t>(suremballages)</w:t>
      </w:r>
      <w:r w:rsidRPr="007D6C46">
        <w:tab/>
      </w:r>
      <w:r w:rsidRPr="007D6C46">
        <w:tab/>
      </w:r>
      <w:r w:rsidR="00EA2862" w:rsidRPr="007D6C46">
        <w:t>101−102</w:t>
      </w:r>
      <w:r w:rsidRPr="007D6C46">
        <w:tab/>
      </w:r>
      <w:r w:rsidR="008B77B5">
        <w:t>23</w:t>
      </w:r>
    </w:p>
    <w:p w14:paraId="64812FEB" w14:textId="109F95BE" w:rsidR="00564BA0" w:rsidRPr="007D6C46" w:rsidRDefault="00564BA0" w:rsidP="00564BA0">
      <w:pPr>
        <w:tabs>
          <w:tab w:val="right" w:leader="dot" w:pos="7654"/>
          <w:tab w:val="right" w:pos="8929"/>
          <w:tab w:val="right" w:pos="9638"/>
        </w:tabs>
        <w:spacing w:after="120"/>
        <w:ind w:left="1984" w:hanging="425"/>
      </w:pPr>
      <w:r w:rsidRPr="007D6C46">
        <w:t>2</w:t>
      </w:r>
      <w:r w:rsidR="008B77B5" w:rsidRPr="008B77B5">
        <w:t>.</w:t>
      </w:r>
      <w:r w:rsidRPr="007D6C46">
        <w:tab/>
      </w:r>
      <w:r w:rsidRPr="008B77B5">
        <w:rPr>
          <w:spacing w:val="-2"/>
        </w:rPr>
        <w:t>Services en ligne de livraison de produits de consommation courante</w:t>
      </w:r>
      <w:r w:rsidRPr="007D6C46">
        <w:tab/>
      </w:r>
      <w:r w:rsidRPr="007D6C46">
        <w:tab/>
      </w:r>
      <w:r w:rsidR="00EA2862" w:rsidRPr="007D6C46">
        <w:t>10</w:t>
      </w:r>
      <w:r w:rsidRPr="007D6C46">
        <w:t>3</w:t>
      </w:r>
      <w:r w:rsidRPr="007D6C46">
        <w:tab/>
      </w:r>
      <w:r w:rsidR="008B77B5">
        <w:t>23</w:t>
      </w:r>
    </w:p>
    <w:p w14:paraId="4B18343F" w14:textId="219BDA23" w:rsidR="00564BA0" w:rsidRPr="007D6C46" w:rsidRDefault="00564BA0" w:rsidP="00564BA0">
      <w:pPr>
        <w:tabs>
          <w:tab w:val="right" w:leader="dot" w:pos="7654"/>
          <w:tab w:val="right" w:pos="8929"/>
          <w:tab w:val="right" w:pos="9638"/>
        </w:tabs>
        <w:spacing w:after="120"/>
        <w:ind w:left="1984" w:hanging="425"/>
      </w:pPr>
      <w:r w:rsidRPr="007D6C46">
        <w:t>3</w:t>
      </w:r>
      <w:r w:rsidR="008B77B5" w:rsidRPr="008B77B5">
        <w:t>.</w:t>
      </w:r>
      <w:r w:rsidRPr="007D6C46">
        <w:tab/>
        <w:t>Interprétation du Règlement type</w:t>
      </w:r>
      <w:r w:rsidRPr="007D6C46">
        <w:tab/>
      </w:r>
      <w:r w:rsidRPr="007D6C46">
        <w:tab/>
      </w:r>
      <w:r w:rsidR="00EA2862" w:rsidRPr="007D6C46">
        <w:t>105−106</w:t>
      </w:r>
      <w:r w:rsidRPr="007D6C46">
        <w:tab/>
      </w:r>
      <w:r w:rsidR="008B77B5">
        <w:t>24</w:t>
      </w:r>
    </w:p>
    <w:p w14:paraId="7A99219C" w14:textId="3505EFC4" w:rsidR="00564BA0" w:rsidRPr="007D6C46" w:rsidRDefault="00564BA0" w:rsidP="00564BA0">
      <w:pPr>
        <w:tabs>
          <w:tab w:val="right" w:pos="850"/>
          <w:tab w:val="right" w:leader="dot" w:pos="7654"/>
          <w:tab w:val="right" w:pos="8929"/>
          <w:tab w:val="right" w:pos="9638"/>
        </w:tabs>
        <w:spacing w:after="120"/>
        <w:ind w:left="1134" w:hanging="1134"/>
      </w:pPr>
      <w:r w:rsidRPr="007D6C46">
        <w:tab/>
        <w:t>XIV</w:t>
      </w:r>
      <w:r w:rsidR="008B77B5" w:rsidRPr="008B77B5">
        <w:t>.</w:t>
      </w:r>
      <w:r w:rsidRPr="007D6C46">
        <w:tab/>
        <w:t>Application du Règlement type (point 12 de l’ordre du jour)</w:t>
      </w:r>
      <w:r w:rsidRPr="007D6C46">
        <w:tab/>
      </w:r>
      <w:r w:rsidRPr="007D6C46">
        <w:tab/>
      </w:r>
      <w:r w:rsidR="00EA2862" w:rsidRPr="007D6C46">
        <w:t>107</w:t>
      </w:r>
      <w:r w:rsidRPr="007D6C46">
        <w:tab/>
      </w:r>
      <w:r w:rsidR="008B77B5">
        <w:t>24</w:t>
      </w:r>
    </w:p>
    <w:p w14:paraId="5FAB5DDF" w14:textId="0FAC6E0E" w:rsidR="00564BA0" w:rsidRPr="007D6C46" w:rsidRDefault="00564BA0" w:rsidP="00564BA0">
      <w:pPr>
        <w:tabs>
          <w:tab w:val="right" w:pos="850"/>
          <w:tab w:val="right" w:leader="dot" w:pos="7654"/>
          <w:tab w:val="right" w:pos="8929"/>
          <w:tab w:val="right" w:pos="9638"/>
        </w:tabs>
        <w:spacing w:after="120"/>
        <w:ind w:left="1134" w:hanging="1134"/>
      </w:pPr>
      <w:r w:rsidRPr="007D6C46">
        <w:tab/>
        <w:t>XV</w:t>
      </w:r>
      <w:r w:rsidR="008B77B5" w:rsidRPr="008B77B5">
        <w:t>.</w:t>
      </w:r>
      <w:r w:rsidRPr="007D6C46">
        <w:tab/>
        <w:t xml:space="preserve">Formation à la sécurité et renforcement des capacités en ce qui concerne </w:t>
      </w:r>
      <w:r w:rsidRPr="007D6C46">
        <w:br/>
        <w:t>les marchandises dangereuses (point 13 de l’ordre du jour)</w:t>
      </w:r>
      <w:r w:rsidRPr="007D6C46">
        <w:tab/>
      </w:r>
      <w:r w:rsidRPr="007D6C46">
        <w:tab/>
      </w:r>
      <w:r w:rsidR="00EA2862" w:rsidRPr="007D6C46">
        <w:t>108</w:t>
      </w:r>
      <w:r w:rsidRPr="007D6C46">
        <w:tab/>
      </w:r>
      <w:r w:rsidR="008B77B5">
        <w:t>24</w:t>
      </w:r>
    </w:p>
    <w:p w14:paraId="4C3D2C1F" w14:textId="4ED32673" w:rsidR="00564BA0" w:rsidRPr="007D6C46" w:rsidRDefault="00564BA0" w:rsidP="00564BA0">
      <w:pPr>
        <w:tabs>
          <w:tab w:val="right" w:pos="850"/>
          <w:tab w:val="right" w:leader="dot" w:pos="7654"/>
          <w:tab w:val="right" w:pos="8929"/>
          <w:tab w:val="right" w:pos="9638"/>
        </w:tabs>
        <w:spacing w:after="120"/>
        <w:ind w:left="1134" w:hanging="1134"/>
      </w:pPr>
      <w:r w:rsidRPr="007D6C46">
        <w:tab/>
        <w:t>XVI</w:t>
      </w:r>
      <w:r w:rsidR="008B77B5" w:rsidRPr="008B77B5">
        <w:t>.</w:t>
      </w:r>
      <w:r w:rsidRPr="007D6C46">
        <w:tab/>
        <w:t>Questions diverses (point 14 de l’ordre du jour)</w:t>
      </w:r>
      <w:r w:rsidRPr="007D6C46">
        <w:tab/>
      </w:r>
      <w:r w:rsidRPr="007D6C46">
        <w:tab/>
      </w:r>
      <w:r w:rsidR="00EA2862" w:rsidRPr="007D6C46">
        <w:t>109</w:t>
      </w:r>
      <w:r w:rsidRPr="007D6C46">
        <w:t>−</w:t>
      </w:r>
      <w:r w:rsidR="00EA2862" w:rsidRPr="007D6C46">
        <w:t>126</w:t>
      </w:r>
      <w:r w:rsidRPr="007D6C46">
        <w:tab/>
      </w:r>
      <w:r w:rsidR="008B77B5">
        <w:t>24</w:t>
      </w:r>
    </w:p>
    <w:p w14:paraId="61D2819E" w14:textId="0F17DE47" w:rsidR="00564BA0" w:rsidRPr="007D6C46" w:rsidRDefault="00564BA0" w:rsidP="00564BA0">
      <w:pPr>
        <w:pStyle w:val="ListParagraph"/>
        <w:tabs>
          <w:tab w:val="right" w:leader="dot" w:pos="7654"/>
          <w:tab w:val="right" w:pos="8929"/>
          <w:tab w:val="right" w:pos="9638"/>
        </w:tabs>
        <w:spacing w:after="120"/>
        <w:ind w:left="1566" w:hanging="432"/>
      </w:pPr>
      <w:r w:rsidRPr="007D6C46">
        <w:t>1</w:t>
      </w:r>
      <w:r w:rsidR="008B77B5" w:rsidRPr="008B77B5">
        <w:t>.</w:t>
      </w:r>
      <w:r w:rsidRPr="007D6C46">
        <w:tab/>
      </w:r>
      <w:r w:rsidR="008B77B5" w:rsidRPr="007D6C46">
        <w:rPr>
          <w:rFonts w:eastAsia="SimSun"/>
          <w:lang w:eastAsia="zh-CN"/>
        </w:rPr>
        <w:t xml:space="preserve">Examen des travaux des organes subsidiaires du Conseil économique </w:t>
      </w:r>
      <w:r w:rsidR="008B77B5">
        <w:rPr>
          <w:rFonts w:eastAsia="SimSun"/>
          <w:lang w:eastAsia="zh-CN"/>
        </w:rPr>
        <w:br/>
      </w:r>
      <w:r w:rsidR="008B77B5" w:rsidRPr="007D6C46">
        <w:rPr>
          <w:rFonts w:eastAsia="SimSun"/>
          <w:lang w:eastAsia="zh-CN"/>
        </w:rPr>
        <w:t>et social : résumé des recommandations</w:t>
      </w:r>
      <w:r w:rsidRPr="007D6C46">
        <w:tab/>
      </w:r>
      <w:r w:rsidRPr="007D6C46">
        <w:tab/>
      </w:r>
      <w:r w:rsidR="00EA2862" w:rsidRPr="007D6C46">
        <w:t>109−110</w:t>
      </w:r>
      <w:r w:rsidRPr="007D6C46">
        <w:tab/>
      </w:r>
      <w:r w:rsidR="008B77B5">
        <w:t>24</w:t>
      </w:r>
    </w:p>
    <w:p w14:paraId="63C37ADD" w14:textId="0566C300" w:rsidR="00564BA0" w:rsidRPr="007D6C46" w:rsidRDefault="00564BA0" w:rsidP="00564BA0">
      <w:pPr>
        <w:tabs>
          <w:tab w:val="right" w:leader="dot" w:pos="7654"/>
          <w:tab w:val="right" w:pos="8929"/>
          <w:tab w:val="right" w:pos="9638"/>
        </w:tabs>
        <w:spacing w:after="120"/>
        <w:ind w:left="1559" w:hanging="425"/>
      </w:pPr>
      <w:r w:rsidRPr="007D6C46">
        <w:t>2</w:t>
      </w:r>
      <w:r w:rsidR="008B77B5" w:rsidRPr="008B77B5">
        <w:t>.</w:t>
      </w:r>
      <w:r w:rsidRPr="007D6C46">
        <w:tab/>
        <w:t>Déclassification de documents antérieurs</w:t>
      </w:r>
      <w:r w:rsidRPr="007D6C46">
        <w:tab/>
      </w:r>
      <w:r w:rsidRPr="007D6C46">
        <w:tab/>
      </w:r>
      <w:r w:rsidR="00EA2862" w:rsidRPr="007D6C46">
        <w:t>111−113</w:t>
      </w:r>
      <w:r w:rsidRPr="007D6C46">
        <w:tab/>
      </w:r>
      <w:r w:rsidR="008B77B5">
        <w:t>25</w:t>
      </w:r>
    </w:p>
    <w:p w14:paraId="5D4D62C6" w14:textId="6878CD10" w:rsidR="00564BA0" w:rsidRPr="007D6C46" w:rsidRDefault="00564BA0" w:rsidP="00564BA0">
      <w:pPr>
        <w:tabs>
          <w:tab w:val="right" w:leader="dot" w:pos="7654"/>
          <w:tab w:val="right" w:pos="8929"/>
          <w:tab w:val="right" w:pos="9638"/>
        </w:tabs>
        <w:spacing w:after="120"/>
        <w:ind w:left="1559" w:hanging="425"/>
      </w:pPr>
      <w:r w:rsidRPr="007D6C46">
        <w:t>3</w:t>
      </w:r>
      <w:r w:rsidR="008B77B5" w:rsidRPr="008B77B5">
        <w:t>.</w:t>
      </w:r>
      <w:r w:rsidRPr="007D6C46">
        <w:tab/>
        <w:t xml:space="preserve">Référence à la norme ISO </w:t>
      </w:r>
      <w:proofErr w:type="gramStart"/>
      <w:r w:rsidRPr="007D6C46">
        <w:t>2431:</w:t>
      </w:r>
      <w:proofErr w:type="gramEnd"/>
      <w:r w:rsidRPr="007D6C46">
        <w:t xml:space="preserve">1984 dans le Manuel d’épreuves </w:t>
      </w:r>
      <w:r w:rsidRPr="007D6C46">
        <w:br/>
        <w:t>et de critères</w:t>
      </w:r>
      <w:r w:rsidRPr="007D6C46">
        <w:tab/>
      </w:r>
      <w:r w:rsidRPr="007D6C46">
        <w:tab/>
      </w:r>
      <w:r w:rsidR="00EA2862" w:rsidRPr="007D6C46">
        <w:t>114</w:t>
      </w:r>
      <w:r w:rsidRPr="007D6C46">
        <w:tab/>
      </w:r>
      <w:r w:rsidR="008B77B5">
        <w:t>26</w:t>
      </w:r>
    </w:p>
    <w:p w14:paraId="7CD334BF" w14:textId="5D32E537" w:rsidR="00564BA0" w:rsidRPr="007D6C46" w:rsidRDefault="00564BA0" w:rsidP="00564BA0">
      <w:pPr>
        <w:tabs>
          <w:tab w:val="right" w:leader="dot" w:pos="7654"/>
          <w:tab w:val="right" w:pos="8929"/>
          <w:tab w:val="right" w:pos="9638"/>
        </w:tabs>
        <w:spacing w:after="120"/>
        <w:ind w:left="1559" w:hanging="425"/>
      </w:pPr>
      <w:r w:rsidRPr="007D6C46">
        <w:t>4</w:t>
      </w:r>
      <w:r w:rsidR="008B77B5" w:rsidRPr="008B77B5">
        <w:t>.</w:t>
      </w:r>
      <w:r w:rsidRPr="007D6C46">
        <w:tab/>
        <w:t xml:space="preserve">Séminaire ONU/OCDE sur le suivi de l’explosion survenue dans le port </w:t>
      </w:r>
      <w:r w:rsidRPr="007D6C46">
        <w:br/>
        <w:t>de Beyrouth en 2020</w:t>
      </w:r>
      <w:r w:rsidRPr="007D6C46">
        <w:tab/>
      </w:r>
      <w:r w:rsidRPr="007D6C46">
        <w:tab/>
      </w:r>
      <w:r w:rsidR="00EA2862" w:rsidRPr="007D6C46">
        <w:t>115−117</w:t>
      </w:r>
      <w:r w:rsidRPr="007D6C46">
        <w:tab/>
      </w:r>
      <w:r w:rsidR="008B77B5">
        <w:t>26</w:t>
      </w:r>
    </w:p>
    <w:p w14:paraId="4D9B7607" w14:textId="3296404D" w:rsidR="00564BA0" w:rsidRPr="007D6C46" w:rsidRDefault="00564BA0" w:rsidP="00564BA0">
      <w:pPr>
        <w:tabs>
          <w:tab w:val="right" w:leader="dot" w:pos="7654"/>
          <w:tab w:val="right" w:pos="8929"/>
          <w:tab w:val="right" w:pos="9638"/>
        </w:tabs>
        <w:spacing w:after="120"/>
        <w:ind w:left="1559" w:hanging="425"/>
      </w:pPr>
      <w:r w:rsidRPr="007D6C46">
        <w:t>5</w:t>
      </w:r>
      <w:r w:rsidR="008B77B5" w:rsidRPr="008B77B5">
        <w:t>.</w:t>
      </w:r>
      <w:r w:rsidRPr="007D6C46">
        <w:tab/>
        <w:t xml:space="preserve">Validation des épreuves de la série 8 : </w:t>
      </w:r>
      <w:r w:rsidR="008B77B5">
        <w:t>a</w:t>
      </w:r>
      <w:r w:rsidRPr="007D6C46">
        <w:t xml:space="preserve">pplicabilité des épreuves </w:t>
      </w:r>
      <w:r w:rsidRPr="007D6C46">
        <w:br/>
        <w:t>de la série 8 d)</w:t>
      </w:r>
      <w:r w:rsidRPr="007D6C46">
        <w:tab/>
      </w:r>
      <w:r w:rsidRPr="007D6C46">
        <w:tab/>
      </w:r>
      <w:r w:rsidR="00EA2862" w:rsidRPr="007D6C46">
        <w:t>118</w:t>
      </w:r>
      <w:r w:rsidRPr="007D6C46">
        <w:tab/>
      </w:r>
      <w:r w:rsidR="008B77B5">
        <w:t>26</w:t>
      </w:r>
    </w:p>
    <w:p w14:paraId="600BC115" w14:textId="75710590" w:rsidR="00564BA0" w:rsidRPr="007D6C46" w:rsidRDefault="00564BA0" w:rsidP="00564BA0">
      <w:pPr>
        <w:tabs>
          <w:tab w:val="right" w:leader="dot" w:pos="7654"/>
          <w:tab w:val="right" w:pos="8929"/>
          <w:tab w:val="right" w:pos="9638"/>
        </w:tabs>
        <w:spacing w:after="120"/>
        <w:ind w:left="1559" w:hanging="425"/>
      </w:pPr>
      <w:r w:rsidRPr="007D6C46">
        <w:t>6</w:t>
      </w:r>
      <w:r w:rsidR="008B77B5" w:rsidRPr="008B77B5">
        <w:t>.</w:t>
      </w:r>
      <w:r w:rsidRPr="007D6C46">
        <w:tab/>
        <w:t xml:space="preserve">Demande d’assistance pour les autorisations d’utilisation de citernes </w:t>
      </w:r>
      <w:r w:rsidRPr="007D6C46">
        <w:br/>
        <w:t>et de sacs réservoirs souples pour le transport de gazole</w:t>
      </w:r>
      <w:r w:rsidRPr="007D6C46">
        <w:tab/>
      </w:r>
      <w:r w:rsidRPr="007D6C46">
        <w:tab/>
      </w:r>
      <w:r w:rsidR="00EA2862" w:rsidRPr="007D6C46">
        <w:t>119−120</w:t>
      </w:r>
      <w:r w:rsidRPr="007D6C46">
        <w:tab/>
      </w:r>
      <w:r w:rsidR="008B77B5">
        <w:t>27</w:t>
      </w:r>
    </w:p>
    <w:p w14:paraId="3DFB3AF7" w14:textId="7689F390" w:rsidR="00564BA0" w:rsidRPr="007D6C46" w:rsidRDefault="00564BA0" w:rsidP="00564BA0">
      <w:pPr>
        <w:tabs>
          <w:tab w:val="right" w:leader="dot" w:pos="7654"/>
          <w:tab w:val="right" w:pos="8929"/>
          <w:tab w:val="right" w:pos="9638"/>
        </w:tabs>
        <w:spacing w:after="120"/>
        <w:ind w:left="1559" w:hanging="425"/>
      </w:pPr>
      <w:r w:rsidRPr="007D6C46">
        <w:t>7</w:t>
      </w:r>
      <w:r w:rsidR="008B77B5" w:rsidRPr="008B77B5">
        <w:t>.</w:t>
      </w:r>
      <w:r w:rsidRPr="007D6C46">
        <w:tab/>
        <w:t>Dates des réunions de la soixante et unième session</w:t>
      </w:r>
      <w:r w:rsidRPr="007D6C46">
        <w:tab/>
      </w:r>
      <w:r w:rsidRPr="007D6C46">
        <w:tab/>
      </w:r>
      <w:r w:rsidR="00EA2862" w:rsidRPr="007D6C46">
        <w:t>121−122</w:t>
      </w:r>
      <w:r w:rsidRPr="007D6C46">
        <w:tab/>
      </w:r>
      <w:r w:rsidR="008B77B5">
        <w:t>27</w:t>
      </w:r>
    </w:p>
    <w:p w14:paraId="6A11E4A1" w14:textId="5108C125" w:rsidR="00564BA0" w:rsidRPr="007D6C46" w:rsidRDefault="00564BA0" w:rsidP="00564BA0">
      <w:pPr>
        <w:tabs>
          <w:tab w:val="right" w:leader="dot" w:pos="7654"/>
          <w:tab w:val="right" w:pos="8929"/>
          <w:tab w:val="right" w:pos="9638"/>
        </w:tabs>
        <w:spacing w:after="120"/>
        <w:ind w:left="1559" w:hanging="425"/>
      </w:pPr>
      <w:r w:rsidRPr="007D6C46">
        <w:t>8</w:t>
      </w:r>
      <w:r w:rsidR="008B77B5" w:rsidRPr="008B77B5">
        <w:t>.</w:t>
      </w:r>
      <w:r w:rsidRPr="007D6C46">
        <w:tab/>
        <w:t>Hommages</w:t>
      </w:r>
      <w:r w:rsidRPr="007D6C46">
        <w:tab/>
      </w:r>
      <w:r w:rsidRPr="007D6C46">
        <w:tab/>
      </w:r>
      <w:r w:rsidR="00EA2862" w:rsidRPr="007D6C46">
        <w:t>123−125</w:t>
      </w:r>
      <w:r w:rsidRPr="007D6C46">
        <w:tab/>
      </w:r>
      <w:r w:rsidR="008B77B5">
        <w:t>27</w:t>
      </w:r>
    </w:p>
    <w:p w14:paraId="4B7CD898" w14:textId="4134F4EC" w:rsidR="00564BA0" w:rsidRPr="007D6C46" w:rsidRDefault="00564BA0" w:rsidP="00564BA0">
      <w:pPr>
        <w:tabs>
          <w:tab w:val="right" w:leader="dot" w:pos="7654"/>
          <w:tab w:val="right" w:pos="8929"/>
          <w:tab w:val="right" w:pos="9638"/>
        </w:tabs>
        <w:spacing w:after="120"/>
        <w:ind w:left="1559" w:hanging="425"/>
      </w:pPr>
      <w:r w:rsidRPr="007D6C46">
        <w:t>9</w:t>
      </w:r>
      <w:r w:rsidR="008B77B5" w:rsidRPr="008B77B5">
        <w:t>.</w:t>
      </w:r>
      <w:r w:rsidRPr="007D6C46">
        <w:tab/>
        <w:t>Condoléances</w:t>
      </w:r>
      <w:r w:rsidRPr="007D6C46">
        <w:tab/>
      </w:r>
      <w:r w:rsidRPr="007D6C46">
        <w:tab/>
      </w:r>
      <w:r w:rsidR="00EA2862" w:rsidRPr="007D6C46">
        <w:t>126</w:t>
      </w:r>
      <w:r w:rsidRPr="007D6C46">
        <w:tab/>
      </w:r>
      <w:r w:rsidR="008B77B5">
        <w:t>27</w:t>
      </w:r>
    </w:p>
    <w:p w14:paraId="0F8E0C79" w14:textId="7BE4386C" w:rsidR="00564BA0" w:rsidRPr="007D6C46" w:rsidRDefault="00564BA0" w:rsidP="00564BA0">
      <w:pPr>
        <w:tabs>
          <w:tab w:val="right" w:pos="850"/>
          <w:tab w:val="right" w:leader="dot" w:pos="7654"/>
          <w:tab w:val="right" w:pos="8929"/>
          <w:tab w:val="right" w:pos="9638"/>
        </w:tabs>
        <w:spacing w:after="120"/>
        <w:ind w:left="1134" w:hanging="1134"/>
      </w:pPr>
      <w:r w:rsidRPr="007D6C46">
        <w:tab/>
        <w:t>XVII</w:t>
      </w:r>
      <w:r w:rsidR="008B77B5" w:rsidRPr="008B77B5">
        <w:t>.</w:t>
      </w:r>
      <w:r w:rsidRPr="007D6C46">
        <w:tab/>
        <w:t>Adoption du rapport (point 15 de l’ordre du jour)</w:t>
      </w:r>
      <w:r w:rsidRPr="007D6C46">
        <w:tab/>
      </w:r>
      <w:r w:rsidRPr="007D6C46">
        <w:tab/>
      </w:r>
      <w:r w:rsidR="00EA2862" w:rsidRPr="007D6C46">
        <w:t>127</w:t>
      </w:r>
      <w:r w:rsidRPr="007D6C46">
        <w:tab/>
      </w:r>
      <w:r w:rsidR="008B77B5">
        <w:t>28</w:t>
      </w:r>
    </w:p>
    <w:p w14:paraId="13E1CF06" w14:textId="77777777" w:rsidR="00564BA0" w:rsidRPr="007D6C46" w:rsidRDefault="00564BA0" w:rsidP="00564BA0">
      <w:pPr>
        <w:tabs>
          <w:tab w:val="right" w:pos="850"/>
        </w:tabs>
        <w:spacing w:after="120"/>
      </w:pPr>
      <w:bookmarkStart w:id="12" w:name="_Hlk114933004"/>
      <w:r w:rsidRPr="007D6C46">
        <w:tab/>
        <w:t>Annexes</w:t>
      </w:r>
    </w:p>
    <w:p w14:paraId="58CFCED4" w14:textId="59B507D7" w:rsidR="00564BA0" w:rsidRPr="007D6C46" w:rsidRDefault="00564BA0" w:rsidP="00564BA0">
      <w:pPr>
        <w:tabs>
          <w:tab w:val="right" w:pos="850"/>
          <w:tab w:val="right" w:leader="dot" w:pos="8929"/>
          <w:tab w:val="right" w:pos="9638"/>
        </w:tabs>
        <w:spacing w:after="120"/>
        <w:ind w:left="1134" w:hanging="1134"/>
      </w:pPr>
      <w:r w:rsidRPr="007D6C46">
        <w:tab/>
        <w:t>I</w:t>
      </w:r>
      <w:r w:rsidR="008B77B5" w:rsidRPr="008B77B5">
        <w:t>.</w:t>
      </w:r>
      <w:r w:rsidRPr="007D6C46">
        <w:tab/>
      </w:r>
      <w:r w:rsidRPr="007D6C46">
        <w:rPr>
          <w:bCs/>
        </w:rPr>
        <w:t xml:space="preserve">Projet d’amendements à la vingt-deuxième édition révisée des Recommandations relatives </w:t>
      </w:r>
      <w:r w:rsidRPr="007D6C46">
        <w:rPr>
          <w:bCs/>
        </w:rPr>
        <w:br/>
        <w:t>au transport des marchandises dangereuses, Règlement type (ST/SG/AC</w:t>
      </w:r>
      <w:r w:rsidR="008B77B5" w:rsidRPr="008B77B5">
        <w:rPr>
          <w:bCs/>
        </w:rPr>
        <w:t>.</w:t>
      </w:r>
      <w:r w:rsidRPr="007D6C46">
        <w:rPr>
          <w:bCs/>
        </w:rPr>
        <w:t>10/1/Rev</w:t>
      </w:r>
      <w:r w:rsidR="008B77B5" w:rsidRPr="008B77B5">
        <w:rPr>
          <w:bCs/>
        </w:rPr>
        <w:t>.</w:t>
      </w:r>
      <w:r w:rsidRPr="007D6C46">
        <w:rPr>
          <w:bCs/>
        </w:rPr>
        <w:t>22)</w:t>
      </w:r>
      <w:r w:rsidRPr="007D6C46">
        <w:rPr>
          <w:rStyle w:val="FootnoteReference"/>
        </w:rPr>
        <w:footnoteReference w:id="2"/>
      </w:r>
      <w:r w:rsidRPr="007D6C46">
        <w:tab/>
      </w:r>
      <w:r w:rsidRPr="007D6C46">
        <w:tab/>
      </w:r>
      <w:r w:rsidR="008B77B5">
        <w:t>29</w:t>
      </w:r>
    </w:p>
    <w:p w14:paraId="373E76F4" w14:textId="0FA2222E" w:rsidR="00564BA0" w:rsidRPr="007D6C46" w:rsidRDefault="00564BA0" w:rsidP="00564BA0">
      <w:pPr>
        <w:tabs>
          <w:tab w:val="right" w:pos="850"/>
          <w:tab w:val="right" w:leader="dot" w:pos="8929"/>
          <w:tab w:val="right" w:pos="9638"/>
        </w:tabs>
        <w:spacing w:after="120"/>
        <w:ind w:left="1134" w:hanging="1134"/>
      </w:pPr>
      <w:r w:rsidRPr="007D6C46">
        <w:tab/>
        <w:t>II</w:t>
      </w:r>
      <w:r w:rsidR="008B77B5" w:rsidRPr="008B77B5">
        <w:t>.</w:t>
      </w:r>
      <w:r w:rsidRPr="007D6C46">
        <w:tab/>
        <w:t xml:space="preserve">Corrections à la vingt-deuxième édition révisée des Recommandations relatives au transport </w:t>
      </w:r>
      <w:r w:rsidRPr="007D6C46">
        <w:br/>
        <w:t>des marchandises dangereuses, Règlement type (ST/SG/AC</w:t>
      </w:r>
      <w:r w:rsidR="008B77B5" w:rsidRPr="008B77B5">
        <w:t>.</w:t>
      </w:r>
      <w:r w:rsidRPr="007D6C46">
        <w:t>10/1/Rev</w:t>
      </w:r>
      <w:r w:rsidR="008B77B5" w:rsidRPr="008B77B5">
        <w:t>.</w:t>
      </w:r>
      <w:r w:rsidRPr="007D6C46">
        <w:t>22)</w:t>
      </w:r>
      <w:r w:rsidRPr="007D6C46">
        <w:rPr>
          <w:sz w:val="18"/>
          <w:szCs w:val="18"/>
          <w:vertAlign w:val="superscript"/>
        </w:rPr>
        <w:t>1</w:t>
      </w:r>
      <w:r w:rsidRPr="007D6C46">
        <w:tab/>
      </w:r>
      <w:r w:rsidRPr="007D6C46">
        <w:tab/>
      </w:r>
      <w:r w:rsidR="008B77B5">
        <w:t>29</w:t>
      </w:r>
    </w:p>
    <w:p w14:paraId="7266439B" w14:textId="3211CE23" w:rsidR="00564BA0" w:rsidRPr="008B77B5" w:rsidRDefault="00564BA0" w:rsidP="00564BA0">
      <w:pPr>
        <w:tabs>
          <w:tab w:val="right" w:pos="850"/>
          <w:tab w:val="right" w:leader="dot" w:pos="8929"/>
          <w:tab w:val="right" w:pos="9638"/>
        </w:tabs>
        <w:spacing w:after="120"/>
        <w:ind w:left="1134" w:hanging="1134"/>
        <w:rPr>
          <w:lang w:val="en-US"/>
        </w:rPr>
      </w:pPr>
      <w:r w:rsidRPr="007D6C46">
        <w:tab/>
      </w:r>
      <w:r w:rsidRPr="008B77B5">
        <w:rPr>
          <w:lang w:val="en-US"/>
        </w:rPr>
        <w:t>III</w:t>
      </w:r>
      <w:r w:rsidR="008B77B5" w:rsidRPr="008B77B5">
        <w:rPr>
          <w:lang w:val="en-US"/>
        </w:rPr>
        <w:t>.</w:t>
      </w:r>
      <w:r w:rsidRPr="008B77B5">
        <w:rPr>
          <w:lang w:val="en-US"/>
        </w:rPr>
        <w:tab/>
        <w:t xml:space="preserve">Modifications to the sixth version of the Guiding Principles for the Development of Model </w:t>
      </w:r>
      <w:r w:rsidRPr="008B77B5">
        <w:rPr>
          <w:lang w:val="en-US"/>
        </w:rPr>
        <w:br/>
        <w:t>Regulations on the Transport of Dangerous Goods (</w:t>
      </w:r>
      <w:proofErr w:type="spellStart"/>
      <w:r w:rsidRPr="008B77B5">
        <w:rPr>
          <w:lang w:val="en-US"/>
        </w:rPr>
        <w:t>anglais</w:t>
      </w:r>
      <w:proofErr w:type="spellEnd"/>
      <w:r w:rsidRPr="008B77B5">
        <w:rPr>
          <w:lang w:val="en-US"/>
        </w:rPr>
        <w:t xml:space="preserve"> </w:t>
      </w:r>
      <w:proofErr w:type="spellStart"/>
      <w:r w:rsidRPr="008B77B5">
        <w:rPr>
          <w:lang w:val="en-US"/>
        </w:rPr>
        <w:t>seulement</w:t>
      </w:r>
      <w:proofErr w:type="spellEnd"/>
      <w:r w:rsidRPr="008B77B5">
        <w:rPr>
          <w:lang w:val="en-US"/>
        </w:rPr>
        <w:t>)</w:t>
      </w:r>
      <w:r w:rsidRPr="008B77B5">
        <w:rPr>
          <w:sz w:val="18"/>
          <w:szCs w:val="18"/>
          <w:vertAlign w:val="superscript"/>
          <w:lang w:val="en-US"/>
        </w:rPr>
        <w:t>1</w:t>
      </w:r>
      <w:r w:rsidRPr="008B77B5">
        <w:rPr>
          <w:lang w:val="en-US"/>
        </w:rPr>
        <w:tab/>
      </w:r>
      <w:r w:rsidRPr="008B77B5">
        <w:rPr>
          <w:lang w:val="en-US"/>
        </w:rPr>
        <w:tab/>
      </w:r>
      <w:r w:rsidR="008B77B5" w:rsidRPr="008B77B5">
        <w:rPr>
          <w:lang w:val="en-US"/>
        </w:rPr>
        <w:t>29</w:t>
      </w:r>
    </w:p>
    <w:p w14:paraId="583C90C3" w14:textId="0C822442" w:rsidR="00564BA0" w:rsidRPr="007D6C46" w:rsidRDefault="00564BA0" w:rsidP="00564BA0">
      <w:pPr>
        <w:tabs>
          <w:tab w:val="right" w:pos="850"/>
          <w:tab w:val="right" w:leader="dot" w:pos="8929"/>
          <w:tab w:val="right" w:pos="9638"/>
        </w:tabs>
        <w:spacing w:after="120"/>
        <w:ind w:left="1134" w:hanging="1134"/>
      </w:pPr>
      <w:r w:rsidRPr="008B77B5">
        <w:rPr>
          <w:lang w:val="en-US"/>
        </w:rPr>
        <w:tab/>
      </w:r>
      <w:r w:rsidRPr="007D6C46">
        <w:t>IV</w:t>
      </w:r>
      <w:r w:rsidR="008B77B5" w:rsidRPr="008B77B5">
        <w:t>.</w:t>
      </w:r>
      <w:r w:rsidRPr="007D6C46">
        <w:tab/>
        <w:t xml:space="preserve">Projet d’amendements au Manuel d’épreuves et de critères </w:t>
      </w:r>
      <w:r w:rsidRPr="007D6C46">
        <w:br/>
        <w:t>(ST/SG/AC</w:t>
      </w:r>
      <w:r w:rsidR="008B77B5" w:rsidRPr="008B77B5">
        <w:t>.</w:t>
      </w:r>
      <w:r w:rsidRPr="007D6C46">
        <w:t>10/11/Rev</w:t>
      </w:r>
      <w:r w:rsidR="008B77B5" w:rsidRPr="008B77B5">
        <w:t>.</w:t>
      </w:r>
      <w:r w:rsidRPr="007D6C46">
        <w:t>7 et Amend</w:t>
      </w:r>
      <w:r w:rsidR="008B77B5" w:rsidRPr="008B77B5">
        <w:t>.</w:t>
      </w:r>
      <w:r w:rsidRPr="007D6C46">
        <w:t>1)</w:t>
      </w:r>
      <w:r w:rsidRPr="007D6C46">
        <w:rPr>
          <w:sz w:val="18"/>
          <w:szCs w:val="18"/>
          <w:vertAlign w:val="superscript"/>
        </w:rPr>
        <w:t>1</w:t>
      </w:r>
      <w:r w:rsidRPr="007D6C46">
        <w:tab/>
      </w:r>
      <w:r w:rsidR="00506A9A" w:rsidRPr="007D6C46">
        <w:tab/>
      </w:r>
      <w:r w:rsidR="008B77B5">
        <w:t>29</w:t>
      </w:r>
    </w:p>
    <w:bookmarkEnd w:id="12"/>
    <w:p w14:paraId="268A61A2" w14:textId="77777777" w:rsidR="00564BA0" w:rsidRPr="007D6C46" w:rsidRDefault="00564BA0" w:rsidP="00564BA0">
      <w:r w:rsidRPr="007D6C46">
        <w:br w:type="page"/>
      </w:r>
    </w:p>
    <w:p w14:paraId="25D040B2" w14:textId="0E73FED8" w:rsidR="00564BA0" w:rsidRPr="007D6C46" w:rsidRDefault="00564BA0" w:rsidP="00506A9A">
      <w:pPr>
        <w:pStyle w:val="HChG"/>
      </w:pPr>
      <w:r w:rsidRPr="007D6C46">
        <w:tab/>
        <w:t>I</w:t>
      </w:r>
      <w:r w:rsidR="008B77B5" w:rsidRPr="008B77B5">
        <w:t>.</w:t>
      </w:r>
      <w:r w:rsidRPr="007D6C46">
        <w:tab/>
        <w:t>Participation</w:t>
      </w:r>
    </w:p>
    <w:p w14:paraId="414EB306" w14:textId="57A50171" w:rsidR="00564BA0" w:rsidRPr="007D6C46" w:rsidRDefault="00564BA0" w:rsidP="00564BA0">
      <w:pPr>
        <w:pStyle w:val="SingleTxtG"/>
      </w:pPr>
      <w:r w:rsidRPr="007D6C46">
        <w:t>1</w:t>
      </w:r>
      <w:r w:rsidR="008B77B5" w:rsidRPr="008B77B5">
        <w:t>.</w:t>
      </w:r>
      <w:r w:rsidRPr="007D6C46">
        <w:tab/>
        <w:t>Le Sous-Comité d’experts du transport des marchandises dangereuses a tenu sa soixantième session du 27 juin au 6 juillet 2022, sous la présidence de M</w:t>
      </w:r>
      <w:r w:rsidR="008B77B5" w:rsidRPr="008B77B5">
        <w:t>.</w:t>
      </w:r>
      <w:r w:rsidRPr="007D6C46">
        <w:t> D</w:t>
      </w:r>
      <w:r w:rsidR="008B77B5" w:rsidRPr="008B77B5">
        <w:t>.</w:t>
      </w:r>
      <w:r w:rsidRPr="007D6C46">
        <w:t> Pfund (États</w:t>
      </w:r>
      <w:r w:rsidR="002A3484" w:rsidRPr="007D6C46">
        <w:noBreakHyphen/>
      </w:r>
      <w:r w:rsidRPr="007D6C46">
        <w:t>Unis d’Amérique) et la vice-présidence de M</w:t>
      </w:r>
      <w:r w:rsidR="008B77B5" w:rsidRPr="008B77B5">
        <w:t>.</w:t>
      </w:r>
      <w:r w:rsidRPr="007D6C46">
        <w:t> C</w:t>
      </w:r>
      <w:r w:rsidR="008B77B5" w:rsidRPr="008B77B5">
        <w:t>.</w:t>
      </w:r>
      <w:r w:rsidRPr="007D6C46">
        <w:t> </w:t>
      </w:r>
      <w:proofErr w:type="spellStart"/>
      <w:r w:rsidRPr="007D6C46">
        <w:t>Pfauvadel</w:t>
      </w:r>
      <w:proofErr w:type="spellEnd"/>
      <w:r w:rsidRPr="007D6C46">
        <w:t xml:space="preserve"> (France)</w:t>
      </w:r>
      <w:r w:rsidR="008B77B5" w:rsidRPr="008B77B5">
        <w:t>.</w:t>
      </w:r>
    </w:p>
    <w:p w14:paraId="0336B62A" w14:textId="19CD723C" w:rsidR="00564BA0" w:rsidRPr="007D6C46" w:rsidRDefault="00564BA0" w:rsidP="00564BA0">
      <w:pPr>
        <w:pStyle w:val="SingleTxtG"/>
      </w:pPr>
      <w:r w:rsidRPr="007D6C46">
        <w:t>2</w:t>
      </w:r>
      <w:r w:rsidR="008B77B5" w:rsidRPr="008B77B5">
        <w:t>.</w:t>
      </w:r>
      <w:r w:rsidRPr="007D6C46">
        <w:tab/>
        <w:t xml:space="preserve">Des experts des pays suivants ont participé à cette session : Afrique du Sud, Allemagne, Australie, Autriche, Belgique, Brésil, Canada, Chine, Espagne, </w:t>
      </w:r>
      <w:r w:rsidR="002A3484" w:rsidRPr="007D6C46">
        <w:t xml:space="preserve">États-Unis d’Amérique, </w:t>
      </w:r>
      <w:r w:rsidRPr="007D6C46">
        <w:t>Fédération de Russie, Finlande, France, Italie, Japon, Luxembourg, Mexique, Pays-Bas, Pologne, République de Corée, Royaume-Uni, Suède</w:t>
      </w:r>
      <w:r w:rsidR="002A3484" w:rsidRPr="007D6C46">
        <w:t xml:space="preserve"> et</w:t>
      </w:r>
      <w:r w:rsidRPr="007D6C46">
        <w:t xml:space="preserve"> Suisse</w:t>
      </w:r>
      <w:r w:rsidR="008B77B5" w:rsidRPr="008B77B5">
        <w:t>.</w:t>
      </w:r>
    </w:p>
    <w:p w14:paraId="64F71996" w14:textId="1A42216D" w:rsidR="00564BA0" w:rsidRPr="007D6C46" w:rsidRDefault="00564BA0" w:rsidP="00564BA0">
      <w:pPr>
        <w:pStyle w:val="SingleTxtG"/>
      </w:pPr>
      <w:r w:rsidRPr="007D6C46">
        <w:t>3</w:t>
      </w:r>
      <w:r w:rsidR="008B77B5" w:rsidRPr="008B77B5">
        <w:t>.</w:t>
      </w:r>
      <w:r w:rsidRPr="007D6C46">
        <w:tab/>
        <w:t>En application de l’article 72 du Règlement intérieur du Conseil économique et social, des observateurs de la Lettonie et de la Türkiye y ont également participé</w:t>
      </w:r>
      <w:r w:rsidR="008B77B5" w:rsidRPr="008B77B5">
        <w:t>.</w:t>
      </w:r>
    </w:p>
    <w:p w14:paraId="769D6F66" w14:textId="53350CC6" w:rsidR="00564BA0" w:rsidRPr="007D6C46" w:rsidRDefault="00564BA0" w:rsidP="00564BA0">
      <w:pPr>
        <w:pStyle w:val="SingleTxtG"/>
      </w:pPr>
      <w:r w:rsidRPr="007D6C46">
        <w:t>4</w:t>
      </w:r>
      <w:r w:rsidR="008B77B5" w:rsidRPr="008B77B5">
        <w:t>.</w:t>
      </w:r>
      <w:r w:rsidRPr="007D6C46">
        <w:tab/>
        <w:t>L’Organisation intergouvernementale pour les transports internationaux ferroviaires (OTIF) et l’Union européenne (UE) étaient aussi représentées</w:t>
      </w:r>
      <w:r w:rsidR="008B77B5" w:rsidRPr="008B77B5">
        <w:t>.</w:t>
      </w:r>
    </w:p>
    <w:p w14:paraId="10C7A015" w14:textId="74680E11" w:rsidR="00564BA0" w:rsidRPr="007D6C46" w:rsidRDefault="00564BA0" w:rsidP="00564BA0">
      <w:pPr>
        <w:pStyle w:val="SingleTxtG"/>
      </w:pPr>
      <w:r w:rsidRPr="007D6C46">
        <w:t>5</w:t>
      </w:r>
      <w:r w:rsidR="008B77B5" w:rsidRPr="008B77B5">
        <w:t>.</w:t>
      </w:r>
      <w:r w:rsidRPr="007D6C46">
        <w:tab/>
        <w:t>Des représentants de l’Organisation de l’aviation civile internationale (OACI), de l’Organisation des Nations Unies pour l’alimentation et l’agriculture (FAO), de l’Organisation maritime internationale (OMI) et de l’Organisation mondiale de la Santé (OMS) étaient également présents</w:t>
      </w:r>
      <w:r w:rsidR="008B77B5" w:rsidRPr="008B77B5">
        <w:t>.</w:t>
      </w:r>
    </w:p>
    <w:p w14:paraId="5554FB34" w14:textId="2EB2FF54" w:rsidR="00564BA0" w:rsidRPr="008B77B5" w:rsidRDefault="00564BA0" w:rsidP="00564BA0">
      <w:pPr>
        <w:pStyle w:val="SingleTxtG"/>
        <w:rPr>
          <w:lang w:val="en-US"/>
        </w:rPr>
      </w:pPr>
      <w:r w:rsidRPr="008B77B5">
        <w:rPr>
          <w:lang w:val="en-US"/>
        </w:rPr>
        <w:t>6</w:t>
      </w:r>
      <w:r w:rsidR="008B77B5" w:rsidRPr="008B77B5">
        <w:rPr>
          <w:lang w:val="en-US"/>
        </w:rPr>
        <w:t>.</w:t>
      </w:r>
      <w:r w:rsidRPr="008B77B5">
        <w:rPr>
          <w:lang w:val="en-US"/>
        </w:rPr>
        <w:tab/>
        <w:t xml:space="preserve">Des </w:t>
      </w:r>
      <w:proofErr w:type="spellStart"/>
      <w:r w:rsidRPr="008B77B5">
        <w:rPr>
          <w:lang w:val="en-US"/>
        </w:rPr>
        <w:t>représentants</w:t>
      </w:r>
      <w:proofErr w:type="spellEnd"/>
      <w:r w:rsidRPr="008B77B5">
        <w:rPr>
          <w:lang w:val="en-US"/>
        </w:rPr>
        <w:t xml:space="preserve"> des </w:t>
      </w:r>
      <w:proofErr w:type="spellStart"/>
      <w:r w:rsidRPr="008B77B5">
        <w:rPr>
          <w:lang w:val="en-US"/>
        </w:rPr>
        <w:t>organisations</w:t>
      </w:r>
      <w:proofErr w:type="spellEnd"/>
      <w:r w:rsidRPr="008B77B5">
        <w:rPr>
          <w:lang w:val="en-US"/>
        </w:rPr>
        <w:t xml:space="preserve"> non </w:t>
      </w:r>
      <w:proofErr w:type="spellStart"/>
      <w:r w:rsidRPr="008B77B5">
        <w:rPr>
          <w:lang w:val="en-US"/>
        </w:rPr>
        <w:t>gouvernementales</w:t>
      </w:r>
      <w:proofErr w:type="spellEnd"/>
      <w:r w:rsidRPr="008B77B5">
        <w:rPr>
          <w:lang w:val="en-US"/>
        </w:rPr>
        <w:t xml:space="preserve"> </w:t>
      </w:r>
      <w:proofErr w:type="spellStart"/>
      <w:r w:rsidRPr="008B77B5">
        <w:rPr>
          <w:lang w:val="en-US"/>
        </w:rPr>
        <w:t>suivantes</w:t>
      </w:r>
      <w:proofErr w:type="spellEnd"/>
      <w:r w:rsidRPr="008B77B5">
        <w:rPr>
          <w:lang w:val="en-US"/>
        </w:rPr>
        <w:t xml:space="preserve"> </w:t>
      </w:r>
      <w:proofErr w:type="spellStart"/>
      <w:r w:rsidRPr="008B77B5">
        <w:rPr>
          <w:lang w:val="en-US"/>
        </w:rPr>
        <w:t>ont</w:t>
      </w:r>
      <w:proofErr w:type="spellEnd"/>
      <w:r w:rsidRPr="008B77B5">
        <w:rPr>
          <w:lang w:val="en-US"/>
        </w:rPr>
        <w:t xml:space="preserve"> </w:t>
      </w:r>
      <w:proofErr w:type="spellStart"/>
      <w:r w:rsidRPr="008B77B5">
        <w:rPr>
          <w:lang w:val="en-US"/>
        </w:rPr>
        <w:t>participé</w:t>
      </w:r>
      <w:proofErr w:type="spellEnd"/>
      <w:r w:rsidRPr="008B77B5">
        <w:rPr>
          <w:lang w:val="en-US"/>
        </w:rPr>
        <w:t xml:space="preserve"> aux </w:t>
      </w:r>
      <w:proofErr w:type="spellStart"/>
      <w:r w:rsidRPr="008B77B5">
        <w:rPr>
          <w:lang w:val="en-US"/>
        </w:rPr>
        <w:t>débats</w:t>
      </w:r>
      <w:proofErr w:type="spellEnd"/>
      <w:r w:rsidRPr="008B77B5">
        <w:rPr>
          <w:lang w:val="en-US"/>
        </w:rPr>
        <w:t xml:space="preserve"> sur les points </w:t>
      </w:r>
      <w:proofErr w:type="spellStart"/>
      <w:r w:rsidRPr="008B77B5">
        <w:rPr>
          <w:lang w:val="en-US"/>
        </w:rPr>
        <w:t>intéressant</w:t>
      </w:r>
      <w:proofErr w:type="spellEnd"/>
      <w:r w:rsidRPr="008B77B5">
        <w:rPr>
          <w:lang w:val="en-US"/>
        </w:rPr>
        <w:t xml:space="preserve"> </w:t>
      </w:r>
      <w:proofErr w:type="spellStart"/>
      <w:r w:rsidRPr="008B77B5">
        <w:rPr>
          <w:lang w:val="en-US"/>
        </w:rPr>
        <w:t>leur</w:t>
      </w:r>
      <w:proofErr w:type="spellEnd"/>
      <w:r w:rsidRPr="008B77B5">
        <w:rPr>
          <w:lang w:val="en-US"/>
        </w:rPr>
        <w:t xml:space="preserve"> </w:t>
      </w:r>
      <w:proofErr w:type="spellStart"/>
      <w:r w:rsidRPr="008B77B5">
        <w:rPr>
          <w:lang w:val="en-US"/>
        </w:rPr>
        <w:t>organisation</w:t>
      </w:r>
      <w:proofErr w:type="spellEnd"/>
      <w:r w:rsidRPr="008B77B5">
        <w:rPr>
          <w:lang w:val="en-US"/>
        </w:rPr>
        <w:t xml:space="preserve"> : </w:t>
      </w:r>
      <w:bookmarkStart w:id="13" w:name="_Hlk114751132"/>
      <w:r w:rsidRPr="008B77B5">
        <w:rPr>
          <w:lang w:val="en-US"/>
        </w:rPr>
        <w:t xml:space="preserve">Australasian Explosives Industry Safety Group (AEISG), Compressed Gas Association (CGA), Council on Safe Transportation of Hazardous Articles (COSTHA), Dangerous Goods Advisory Council (DGAC), Dangerous Goods Trainers Association (DGTA), European Association for Advanced Rechargeable Batteries (RECHARGE), European Association of Automotive Suppliers (CLEPA), European Chemical Industry Council (CEFIC), European Cylinder Makers Association (ECMA), European Industrial Gases Association (EIGA), Institute of Makers of Explosives (IME), International Air Transport Association (IATA), International Confederation of Container Reconditioners (ICCR), International Confederation of Drums Manufacturers (ICDM), International Confederation of Plastics Packaging Manufacturers (ICPP), International Council of Intermediate Bulk Container Associations (ICIBCA), International Dangerous Goods &amp; Containers Association (IDGCA), International Organization for Standardization (ISO), International Tank Container </w:t>
      </w:r>
      <w:proofErr w:type="spellStart"/>
      <w:r w:rsidRPr="008B77B5">
        <w:rPr>
          <w:lang w:val="en-US"/>
        </w:rPr>
        <w:t>Organisation</w:t>
      </w:r>
      <w:proofErr w:type="spellEnd"/>
      <w:r w:rsidRPr="008B77B5">
        <w:rPr>
          <w:lang w:val="en-US"/>
        </w:rPr>
        <w:t xml:space="preserve"> (ITCO), Medical Devices Transport Council (MDTC), Metal Packaging Europe (MPE), PRBA </w:t>
      </w:r>
      <w:r w:rsidR="00BA4BBD" w:rsidRPr="008B77B5">
        <w:rPr>
          <w:lang w:val="en-US"/>
        </w:rPr>
        <w:t>−</w:t>
      </w:r>
      <w:r w:rsidRPr="008B77B5">
        <w:rPr>
          <w:lang w:val="en-US"/>
        </w:rPr>
        <w:t xml:space="preserve"> The Rechargeable Battery Association, Responsible Packaging Management Association of Southern Africa (RPMASA), Stainless Steel Container Association (SSCA), Sporting Arms and Ammunition Manufacturers’ </w:t>
      </w:r>
      <w:r w:rsidRPr="00AA3C11">
        <w:rPr>
          <w:lang w:val="en-US"/>
        </w:rPr>
        <w:t>Institute (SAAMI)</w:t>
      </w:r>
      <w:r w:rsidR="005648BE">
        <w:rPr>
          <w:lang w:val="en-US"/>
        </w:rPr>
        <w:t xml:space="preserve">, </w:t>
      </w:r>
      <w:r w:rsidRPr="00AA3C11">
        <w:rPr>
          <w:lang w:val="en-US"/>
        </w:rPr>
        <w:t>World LPG</w:t>
      </w:r>
      <w:r w:rsidRPr="008B77B5">
        <w:rPr>
          <w:lang w:val="en-US"/>
        </w:rPr>
        <w:t xml:space="preserve"> Association (WLPGA) </w:t>
      </w:r>
      <w:r w:rsidR="005648BE">
        <w:rPr>
          <w:lang w:val="en-US"/>
        </w:rPr>
        <w:t>et</w:t>
      </w:r>
      <w:r w:rsidRPr="008B77B5">
        <w:rPr>
          <w:lang w:val="en-US"/>
        </w:rPr>
        <w:t xml:space="preserve"> Liquid Gas Europe (European LPG Association)</w:t>
      </w:r>
      <w:bookmarkEnd w:id="13"/>
      <w:r w:rsidR="008B77B5" w:rsidRPr="008B77B5">
        <w:rPr>
          <w:lang w:val="en-US"/>
        </w:rPr>
        <w:t>.</w:t>
      </w:r>
    </w:p>
    <w:p w14:paraId="3835CEDC" w14:textId="622AC50A" w:rsidR="00564BA0" w:rsidRPr="007D6C46" w:rsidRDefault="00564BA0" w:rsidP="00506A9A">
      <w:pPr>
        <w:pStyle w:val="HChG"/>
      </w:pPr>
      <w:r w:rsidRPr="008B77B5">
        <w:rPr>
          <w:lang w:val="en-US"/>
        </w:rPr>
        <w:tab/>
      </w:r>
      <w:r w:rsidRPr="007D6C46">
        <w:t>II</w:t>
      </w:r>
      <w:r w:rsidR="008B77B5" w:rsidRPr="008B77B5">
        <w:t>.</w:t>
      </w:r>
      <w:r w:rsidRPr="007D6C46">
        <w:tab/>
        <w:t>Ouverture de la session</w:t>
      </w:r>
    </w:p>
    <w:p w14:paraId="034DA704" w14:textId="77777777" w:rsidR="00564BA0" w:rsidRPr="007D6C46" w:rsidRDefault="00564BA0" w:rsidP="00506A9A">
      <w:pPr>
        <w:pStyle w:val="H1G"/>
      </w:pPr>
      <w:r w:rsidRPr="007D6C46">
        <w:tab/>
      </w:r>
      <w:r w:rsidRPr="007D6C46">
        <w:tab/>
        <w:t>Questions d’organisation</w:t>
      </w:r>
    </w:p>
    <w:p w14:paraId="550CF6CE" w14:textId="2DA9931E" w:rsidR="00564BA0" w:rsidRPr="007D6C46" w:rsidRDefault="00564BA0" w:rsidP="00564BA0">
      <w:pPr>
        <w:pStyle w:val="SingleTxtG"/>
        <w:tabs>
          <w:tab w:val="clear" w:pos="1701"/>
          <w:tab w:val="clear" w:pos="2268"/>
          <w:tab w:val="clear" w:pos="2835"/>
          <w:tab w:val="left" w:pos="3119"/>
        </w:tabs>
        <w:ind w:left="3119" w:hanging="1985"/>
      </w:pPr>
      <w:bookmarkStart w:id="14" w:name="_Hlk12873213"/>
      <w:r w:rsidRPr="007D6C46">
        <w:rPr>
          <w:i/>
          <w:iCs/>
        </w:rPr>
        <w:t>Document informel </w:t>
      </w:r>
      <w:r w:rsidRPr="007D6C46">
        <w:t>:</w:t>
      </w:r>
      <w:r w:rsidRPr="007D6C46">
        <w:tab/>
        <w:t>INF</w:t>
      </w:r>
      <w:r w:rsidR="008B77B5" w:rsidRPr="008B77B5">
        <w:t>.</w:t>
      </w:r>
      <w:r w:rsidRPr="007D6C46">
        <w:t>29/Rev</w:t>
      </w:r>
      <w:r w:rsidR="008B77B5" w:rsidRPr="008B77B5">
        <w:t>.</w:t>
      </w:r>
      <w:r w:rsidRPr="007D6C46">
        <w:t>1 (secrétariat)</w:t>
      </w:r>
    </w:p>
    <w:bookmarkEnd w:id="14"/>
    <w:p w14:paraId="6D651913" w14:textId="02E15A4B" w:rsidR="00564BA0" w:rsidRPr="007D6C46" w:rsidRDefault="00564BA0" w:rsidP="00564BA0">
      <w:pPr>
        <w:tabs>
          <w:tab w:val="left" w:pos="1701"/>
          <w:tab w:val="left" w:pos="2268"/>
        </w:tabs>
        <w:spacing w:after="120"/>
        <w:ind w:left="1134" w:right="1134"/>
        <w:jc w:val="both"/>
        <w:rPr>
          <w:rFonts w:eastAsia="SimSun"/>
          <w:lang w:eastAsia="zh-CN"/>
        </w:rPr>
      </w:pPr>
      <w:r w:rsidRPr="007D6C46">
        <w:rPr>
          <w:rFonts w:eastAsia="SimSun"/>
          <w:lang w:eastAsia="zh-CN"/>
        </w:rPr>
        <w:t>7</w:t>
      </w:r>
      <w:r w:rsidR="008B77B5" w:rsidRPr="008B77B5">
        <w:rPr>
          <w:rFonts w:eastAsia="SimSun"/>
          <w:lang w:eastAsia="zh-CN"/>
        </w:rPr>
        <w:t>.</w:t>
      </w:r>
      <w:r w:rsidRPr="007D6C46">
        <w:rPr>
          <w:rFonts w:eastAsia="SimSun"/>
          <w:lang w:eastAsia="zh-CN"/>
        </w:rPr>
        <w:tab/>
        <w:t>La soixantième session du Sous-Comité s’est tenue du 27 juin au 6 juillet 2022, dans un format hybride, avec possibilité de participation en ligne ou en personne, selon le format décrit dans le document informel INF</w:t>
      </w:r>
      <w:r w:rsidR="008B77B5" w:rsidRPr="008B77B5">
        <w:rPr>
          <w:rFonts w:eastAsia="SimSun"/>
          <w:lang w:eastAsia="zh-CN"/>
        </w:rPr>
        <w:t>.</w:t>
      </w:r>
      <w:r w:rsidRPr="007D6C46">
        <w:rPr>
          <w:rFonts w:eastAsia="SimSun"/>
          <w:lang w:eastAsia="zh-CN"/>
        </w:rPr>
        <w:t>29/Rev</w:t>
      </w:r>
      <w:r w:rsidR="008B77B5" w:rsidRPr="008B77B5">
        <w:rPr>
          <w:rFonts w:eastAsia="SimSun"/>
          <w:lang w:eastAsia="zh-CN"/>
        </w:rPr>
        <w:t>.</w:t>
      </w:r>
      <w:r w:rsidRPr="007D6C46">
        <w:rPr>
          <w:rFonts w:eastAsia="SimSun"/>
          <w:lang w:eastAsia="zh-CN"/>
        </w:rPr>
        <w:t>1</w:t>
      </w:r>
      <w:r w:rsidR="008B77B5" w:rsidRPr="008B77B5">
        <w:rPr>
          <w:rFonts w:eastAsia="SimSun"/>
          <w:lang w:eastAsia="zh-CN"/>
        </w:rPr>
        <w:t>.</w:t>
      </w:r>
    </w:p>
    <w:p w14:paraId="5A7FCF62" w14:textId="7BB7E1BB" w:rsidR="00564BA0" w:rsidRPr="007D6C46" w:rsidRDefault="00564BA0" w:rsidP="00564BA0">
      <w:pPr>
        <w:spacing w:after="120"/>
        <w:ind w:left="1134" w:right="1134"/>
        <w:jc w:val="both"/>
        <w:rPr>
          <w:rFonts w:eastAsia="SimSun"/>
          <w:lang w:eastAsia="zh-CN"/>
        </w:rPr>
      </w:pPr>
      <w:r w:rsidRPr="007D6C46">
        <w:rPr>
          <w:rFonts w:eastAsia="SimSun"/>
          <w:lang w:eastAsia="zh-CN"/>
        </w:rPr>
        <w:t>8</w:t>
      </w:r>
      <w:r w:rsidR="008B77B5" w:rsidRPr="008B77B5">
        <w:rPr>
          <w:rFonts w:eastAsia="SimSun"/>
          <w:lang w:eastAsia="zh-CN"/>
        </w:rPr>
        <w:t>.</w:t>
      </w:r>
      <w:r w:rsidRPr="007D6C46">
        <w:rPr>
          <w:rFonts w:eastAsia="SimSun"/>
          <w:lang w:eastAsia="zh-CN"/>
        </w:rPr>
        <w:tab/>
        <w:t>Après les répercussions de la pandémie de COVID-19, l’Office des Nations Unies à Genève souhaite revenir au statu quo</w:t>
      </w:r>
      <w:r w:rsidR="008B77B5" w:rsidRPr="008B77B5">
        <w:rPr>
          <w:rFonts w:eastAsia="SimSun"/>
          <w:lang w:eastAsia="zh-CN"/>
        </w:rPr>
        <w:t>.</w:t>
      </w:r>
      <w:r w:rsidRPr="007D6C46">
        <w:rPr>
          <w:rFonts w:eastAsia="SimSun"/>
          <w:lang w:eastAsia="zh-CN"/>
        </w:rPr>
        <w:t xml:space="preserve"> Par conséquent, les sessions du Sous-Comité en 2023 seront organisées sous forme de réunions en personne uniquement</w:t>
      </w:r>
      <w:r w:rsidR="008B77B5" w:rsidRPr="008B77B5">
        <w:rPr>
          <w:rFonts w:eastAsia="SimSun"/>
          <w:lang w:eastAsia="zh-CN"/>
        </w:rPr>
        <w:t>.</w:t>
      </w:r>
    </w:p>
    <w:p w14:paraId="7443C893" w14:textId="5EBB78E5" w:rsidR="00564BA0" w:rsidRPr="007D6C46" w:rsidRDefault="00564BA0" w:rsidP="004518E1">
      <w:pPr>
        <w:keepNext/>
        <w:tabs>
          <w:tab w:val="left" w:pos="1701"/>
          <w:tab w:val="left" w:pos="2268"/>
        </w:tabs>
        <w:spacing w:after="120"/>
        <w:ind w:left="1134" w:right="1134"/>
        <w:jc w:val="both"/>
        <w:rPr>
          <w:rFonts w:eastAsia="SimSun"/>
          <w:lang w:eastAsia="zh-CN"/>
        </w:rPr>
      </w:pPr>
      <w:r w:rsidRPr="007D6C46">
        <w:rPr>
          <w:rFonts w:eastAsia="SimSun"/>
          <w:lang w:eastAsia="zh-CN"/>
        </w:rPr>
        <w:t>9</w:t>
      </w:r>
      <w:r w:rsidR="008B77B5" w:rsidRPr="008B77B5">
        <w:rPr>
          <w:rFonts w:eastAsia="SimSun"/>
          <w:lang w:eastAsia="zh-CN"/>
        </w:rPr>
        <w:t>.</w:t>
      </w:r>
      <w:r w:rsidRPr="007D6C46">
        <w:rPr>
          <w:rFonts w:eastAsia="SimSun"/>
          <w:lang w:eastAsia="zh-CN"/>
        </w:rPr>
        <w:tab/>
        <w:t>À la demande de la Division de la gestion des conférences (DCM) de l’Office des Nations Unies à Genève, le Sous-Comité a été invité à répondre à une enquête en ligne sur la qualité des services de conférence fournis lors de la session</w:t>
      </w:r>
      <w:r w:rsidRPr="007D6C46">
        <w:rPr>
          <w:rStyle w:val="FootnoteReference"/>
        </w:rPr>
        <w:footnoteReference w:id="3"/>
      </w:r>
      <w:r w:rsidR="008B77B5" w:rsidRPr="008B77B5">
        <w:rPr>
          <w:rFonts w:eastAsia="SimSun"/>
          <w:lang w:eastAsia="zh-CN"/>
        </w:rPr>
        <w:t>.</w:t>
      </w:r>
    </w:p>
    <w:p w14:paraId="6772B7C5" w14:textId="51160522" w:rsidR="00564BA0" w:rsidRPr="007D6C46" w:rsidRDefault="00564BA0" w:rsidP="00564BA0">
      <w:pPr>
        <w:pStyle w:val="HChG"/>
      </w:pPr>
      <w:r w:rsidRPr="007D6C46">
        <w:tab/>
        <w:t>III</w:t>
      </w:r>
      <w:r w:rsidR="008B77B5" w:rsidRPr="008B77B5">
        <w:t>.</w:t>
      </w:r>
      <w:r w:rsidRPr="007D6C46">
        <w:tab/>
        <w:t>Adoption de l’ordre du jour (point 1 de l’ordre du jour)</w:t>
      </w:r>
    </w:p>
    <w:p w14:paraId="3700F0E3" w14:textId="3EAEC4D1"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Documents </w:t>
      </w:r>
      <w:r w:rsidRPr="007D6C46">
        <w:t>:</w:t>
      </w:r>
      <w:r w:rsidRPr="007D6C46">
        <w:tab/>
        <w:t>ST/SG/AC</w:t>
      </w:r>
      <w:r w:rsidR="008B77B5" w:rsidRPr="008B77B5">
        <w:t>.</w:t>
      </w:r>
      <w:r w:rsidRPr="007D6C46">
        <w:t>10/C</w:t>
      </w:r>
      <w:r w:rsidR="008B77B5" w:rsidRPr="008B77B5">
        <w:t>.</w:t>
      </w:r>
      <w:r w:rsidRPr="007D6C46">
        <w:t>3/119 (Ordre du jour provisoire) ST/SG/AC</w:t>
      </w:r>
      <w:r w:rsidR="008B77B5" w:rsidRPr="008B77B5">
        <w:t>.</w:t>
      </w:r>
      <w:r w:rsidRPr="007D6C46">
        <w:t>10/C</w:t>
      </w:r>
      <w:r w:rsidR="008B77B5" w:rsidRPr="008B77B5">
        <w:t>.</w:t>
      </w:r>
      <w:r w:rsidRPr="007D6C46">
        <w:t>3/119/Add</w:t>
      </w:r>
      <w:r w:rsidR="008B77B5" w:rsidRPr="008B77B5">
        <w:t>.</w:t>
      </w:r>
      <w:r w:rsidRPr="007D6C46">
        <w:t>1 (Liste des documents)</w:t>
      </w:r>
    </w:p>
    <w:p w14:paraId="3A25F2A8" w14:textId="33604BC3" w:rsidR="00564BA0" w:rsidRPr="007D6C46" w:rsidRDefault="00564BA0" w:rsidP="00DE3355">
      <w:pPr>
        <w:pStyle w:val="SingleTxtG"/>
        <w:tabs>
          <w:tab w:val="clear" w:pos="1701"/>
          <w:tab w:val="clear" w:pos="2268"/>
          <w:tab w:val="clear" w:pos="2835"/>
          <w:tab w:val="left" w:pos="3119"/>
        </w:tabs>
        <w:ind w:left="3119" w:hanging="1985"/>
        <w:jc w:val="left"/>
      </w:pPr>
      <w:bookmarkStart w:id="15" w:name="_Hlk115110743"/>
      <w:r w:rsidRPr="007D6C46">
        <w:rPr>
          <w:i/>
          <w:iCs/>
        </w:rPr>
        <w:t>Documents informels </w:t>
      </w:r>
      <w:r w:rsidRPr="007D6C46">
        <w:t>:</w:t>
      </w:r>
      <w:bookmarkEnd w:id="15"/>
      <w:r w:rsidRPr="007D6C46">
        <w:tab/>
        <w:t>INF</w:t>
      </w:r>
      <w:r w:rsidR="008B77B5" w:rsidRPr="008B77B5">
        <w:t>.</w:t>
      </w:r>
      <w:r w:rsidRPr="007D6C46">
        <w:t>1 et INF</w:t>
      </w:r>
      <w:r w:rsidR="008B77B5" w:rsidRPr="008B77B5">
        <w:t>.</w:t>
      </w:r>
      <w:r w:rsidRPr="007D6C46">
        <w:t xml:space="preserve">2 (Liste des documents) </w:t>
      </w:r>
      <w:r w:rsidRPr="007D6C46">
        <w:br/>
        <w:t>INF</w:t>
      </w:r>
      <w:r w:rsidR="008B77B5" w:rsidRPr="008B77B5">
        <w:t>.</w:t>
      </w:r>
      <w:r w:rsidRPr="007D6C46">
        <w:t>23 (Réception organisée par des ONG)</w:t>
      </w:r>
      <w:r w:rsidRPr="007D6C46">
        <w:br/>
        <w:t>INF</w:t>
      </w:r>
      <w:r w:rsidR="008B77B5" w:rsidRPr="008B77B5">
        <w:t>.</w:t>
      </w:r>
      <w:r w:rsidRPr="007D6C46">
        <w:t>29/Rev</w:t>
      </w:r>
      <w:r w:rsidR="008B77B5" w:rsidRPr="008B77B5">
        <w:t>.</w:t>
      </w:r>
      <w:r w:rsidRPr="007D6C46">
        <w:t>1 (Modalités de travail et calendrier provisoire)</w:t>
      </w:r>
    </w:p>
    <w:p w14:paraId="5CDAE7BA" w14:textId="1DA5385D" w:rsidR="00564BA0" w:rsidRPr="007D6C46" w:rsidRDefault="00564BA0" w:rsidP="00564BA0">
      <w:pPr>
        <w:pStyle w:val="SingleTxtG"/>
      </w:pPr>
      <w:r w:rsidRPr="007D6C46">
        <w:t>10</w:t>
      </w:r>
      <w:r w:rsidR="008B77B5" w:rsidRPr="008B77B5">
        <w:t>.</w:t>
      </w:r>
      <w:r w:rsidRPr="007D6C46">
        <w:tab/>
        <w:t>Le Sous-Comité a adopté l’ordre du jour provisoire établi par le secrétariat après l’avoir modifié afin de tenir compte des documents informels INF</w:t>
      </w:r>
      <w:r w:rsidR="008B77B5" w:rsidRPr="008B77B5">
        <w:t>.</w:t>
      </w:r>
      <w:r w:rsidRPr="007D6C46">
        <w:t>1 à INF</w:t>
      </w:r>
      <w:r w:rsidR="008B77B5" w:rsidRPr="008B77B5">
        <w:t>.</w:t>
      </w:r>
      <w:r w:rsidRPr="007D6C46">
        <w:t>51</w:t>
      </w:r>
      <w:r w:rsidR="008B77B5" w:rsidRPr="008B77B5">
        <w:t>.</w:t>
      </w:r>
    </w:p>
    <w:p w14:paraId="54F8BC76" w14:textId="04321ACF" w:rsidR="00564BA0" w:rsidRPr="007D6C46" w:rsidRDefault="00564BA0" w:rsidP="00564BA0">
      <w:pPr>
        <w:pStyle w:val="SingleTxtG"/>
      </w:pPr>
      <w:r w:rsidRPr="007D6C46">
        <w:t>11</w:t>
      </w:r>
      <w:r w:rsidR="008B77B5" w:rsidRPr="008B77B5">
        <w:t>.</w:t>
      </w:r>
      <w:r w:rsidRPr="007D6C46">
        <w:tab/>
        <w:t>Le Sous-Comité a été informé que le secrétariat avait entrepris d’élaborer un rectificatif à la septième édition révisée du Manuel d’épreuves et de critères afin de corriger certaines erreurs</w:t>
      </w:r>
      <w:r w:rsidR="008B77B5" w:rsidRPr="008B77B5">
        <w:t>.</w:t>
      </w:r>
    </w:p>
    <w:p w14:paraId="6562D84D" w14:textId="4418FA95" w:rsidR="00564BA0" w:rsidRPr="007D6C46" w:rsidRDefault="00564BA0" w:rsidP="00564BA0">
      <w:pPr>
        <w:pStyle w:val="SingleTxtG"/>
        <w:rPr>
          <w:highlight w:val="yellow"/>
        </w:rPr>
      </w:pPr>
      <w:r w:rsidRPr="007D6C46">
        <w:t>12</w:t>
      </w:r>
      <w:r w:rsidR="008B77B5" w:rsidRPr="008B77B5">
        <w:t>.</w:t>
      </w:r>
      <w:r w:rsidRPr="007D6C46">
        <w:tab/>
        <w:t>Le Sous-Comité a également été informé de ce que les secrétariats de la CEE et de l’OTIF avaient entrepris de parachever les publications des nouvelles éditions 2023 du RID, de l’ADR et de l’ADN, qui devaient être publiées avant la fin de 2022</w:t>
      </w:r>
      <w:r w:rsidR="008B77B5" w:rsidRPr="008B77B5">
        <w:t>.</w:t>
      </w:r>
    </w:p>
    <w:p w14:paraId="1C10EF38" w14:textId="1EB2F4CF" w:rsidR="00564BA0" w:rsidRPr="007D6C46" w:rsidRDefault="00564BA0" w:rsidP="00564BA0">
      <w:pPr>
        <w:pStyle w:val="HChG"/>
      </w:pPr>
      <w:r w:rsidRPr="007D6C46">
        <w:tab/>
        <w:t>IV</w:t>
      </w:r>
      <w:r w:rsidR="008B77B5" w:rsidRPr="008B77B5">
        <w:t>.</w:t>
      </w:r>
      <w:r w:rsidRPr="007D6C46">
        <w:tab/>
        <w:t>Explosifs et questions connexes (point 2 de l’ordre du jour)</w:t>
      </w:r>
    </w:p>
    <w:p w14:paraId="50B60ABD" w14:textId="1B696FA0" w:rsidR="00564BA0" w:rsidRPr="007D6C46" w:rsidRDefault="00564BA0" w:rsidP="00564BA0">
      <w:pPr>
        <w:pStyle w:val="H23G"/>
        <w:keepNext w:val="0"/>
        <w:keepLines w:val="0"/>
        <w:tabs>
          <w:tab w:val="clear" w:pos="851"/>
        </w:tabs>
        <w:ind w:firstLine="0"/>
        <w:jc w:val="both"/>
        <w:rPr>
          <w:b w:val="0"/>
          <w:bCs/>
        </w:rPr>
      </w:pPr>
      <w:r w:rsidRPr="007D6C46">
        <w:rPr>
          <w:b w:val="0"/>
          <w:bCs/>
        </w:rPr>
        <w:t>13</w:t>
      </w:r>
      <w:r w:rsidR="008B77B5" w:rsidRPr="008B77B5">
        <w:rPr>
          <w:b w:val="0"/>
          <w:bCs/>
        </w:rPr>
        <w:t>.</w:t>
      </w:r>
      <w:r w:rsidRPr="007D6C46">
        <w:rPr>
          <w:b w:val="0"/>
          <w:bCs/>
        </w:rPr>
        <w:tab/>
        <w:t>Après un examen préliminaire en séance plénière, tous les documents du point 2 de l’ordre du jour énumérés dans le document informel INF</w:t>
      </w:r>
      <w:r w:rsidR="008B77B5" w:rsidRPr="008B77B5">
        <w:rPr>
          <w:b w:val="0"/>
          <w:bCs/>
        </w:rPr>
        <w:t>.</w:t>
      </w:r>
      <w:r w:rsidRPr="007D6C46">
        <w:rPr>
          <w:b w:val="0"/>
          <w:bCs/>
        </w:rPr>
        <w:t>2 ont été renvoyés au Groupe de travail des explosifs (GTE), qui s’est réuni du 27 au 30 juin 2022 sous la présidence de M</w:t>
      </w:r>
      <w:r w:rsidR="008B77B5" w:rsidRPr="008B77B5">
        <w:rPr>
          <w:b w:val="0"/>
          <w:bCs/>
        </w:rPr>
        <w:t>.</w:t>
      </w:r>
      <w:r w:rsidRPr="007D6C46">
        <w:rPr>
          <w:b w:val="0"/>
          <w:bCs/>
        </w:rPr>
        <w:t> E</w:t>
      </w:r>
      <w:r w:rsidR="008B77B5" w:rsidRPr="008B77B5">
        <w:rPr>
          <w:b w:val="0"/>
          <w:bCs/>
        </w:rPr>
        <w:t>.</w:t>
      </w:r>
      <w:r w:rsidRPr="007D6C46">
        <w:rPr>
          <w:b w:val="0"/>
          <w:bCs/>
        </w:rPr>
        <w:t> de Jong (Pays-Bas)</w:t>
      </w:r>
      <w:r w:rsidR="008B77B5" w:rsidRPr="008B77B5">
        <w:rPr>
          <w:b w:val="0"/>
          <w:bCs/>
        </w:rPr>
        <w:t>.</w:t>
      </w:r>
    </w:p>
    <w:p w14:paraId="72C6D4DE" w14:textId="6C1697AD" w:rsidR="00564BA0" w:rsidRPr="007D6C46" w:rsidRDefault="00564BA0" w:rsidP="00564BA0">
      <w:pPr>
        <w:spacing w:before="240" w:after="120" w:line="240" w:lineRule="exact"/>
        <w:ind w:left="1134" w:right="1134"/>
        <w:jc w:val="both"/>
        <w:outlineLvl w:val="3"/>
      </w:pPr>
      <w:r w:rsidRPr="007D6C46">
        <w:t>14</w:t>
      </w:r>
      <w:r w:rsidR="008B77B5" w:rsidRPr="008B77B5">
        <w:t>.</w:t>
      </w:r>
      <w:r w:rsidRPr="007D6C46">
        <w:tab/>
        <w:t>Le Sous-Comité a également demandé au GTE d’examiner le document ST/SG/AC</w:t>
      </w:r>
      <w:r w:rsidR="008B77B5" w:rsidRPr="008B77B5">
        <w:t>.</w:t>
      </w:r>
      <w:r w:rsidRPr="007D6C46">
        <w:t>10/C</w:t>
      </w:r>
      <w:r w:rsidR="008B77B5" w:rsidRPr="008B77B5">
        <w:t>.</w:t>
      </w:r>
      <w:r w:rsidRPr="007D6C46">
        <w:t>3/2022/25, le document informel INF</w:t>
      </w:r>
      <w:r w:rsidR="008B77B5" w:rsidRPr="008B77B5">
        <w:t>.</w:t>
      </w:r>
      <w:r w:rsidRPr="007D6C46">
        <w:t>33 (mentionné au point 3 de l’ordre du jour), le document ST/SG/AC</w:t>
      </w:r>
      <w:r w:rsidR="008B77B5" w:rsidRPr="008B77B5">
        <w:t>.</w:t>
      </w:r>
      <w:r w:rsidRPr="007D6C46">
        <w:t>10/C</w:t>
      </w:r>
      <w:r w:rsidR="008B77B5" w:rsidRPr="008B77B5">
        <w:t>.</w:t>
      </w:r>
      <w:r w:rsidRPr="007D6C46">
        <w:t>3/2022/11 et les documents informels INF</w:t>
      </w:r>
      <w:r w:rsidR="008B77B5" w:rsidRPr="008B77B5">
        <w:t>.</w:t>
      </w:r>
      <w:r w:rsidRPr="007D6C46">
        <w:t>28 et INF</w:t>
      </w:r>
      <w:r w:rsidR="008B77B5" w:rsidRPr="008B77B5">
        <w:t>.</w:t>
      </w:r>
      <w:r w:rsidRPr="007D6C46">
        <w:t>36 (mentionnés au point 10 c)), et la section IV du document ST/SG/AC</w:t>
      </w:r>
      <w:r w:rsidR="008B77B5" w:rsidRPr="008B77B5">
        <w:t>.</w:t>
      </w:r>
      <w:r w:rsidRPr="007D6C46">
        <w:t>10/C</w:t>
      </w:r>
      <w:r w:rsidR="008B77B5" w:rsidRPr="008B77B5">
        <w:t>.</w:t>
      </w:r>
      <w:r w:rsidRPr="007D6C46">
        <w:t>3/2022/39 (mentionné au point 9)</w:t>
      </w:r>
      <w:r w:rsidR="008B77B5" w:rsidRPr="008B77B5">
        <w:t>.</w:t>
      </w:r>
    </w:p>
    <w:p w14:paraId="50E12B2E" w14:textId="24B6BE0C" w:rsidR="00564BA0" w:rsidRPr="007D6C46" w:rsidRDefault="00564BA0" w:rsidP="00564BA0">
      <w:pPr>
        <w:spacing w:before="240" w:after="120" w:line="240" w:lineRule="exact"/>
        <w:ind w:left="1134" w:right="1134"/>
        <w:jc w:val="both"/>
        <w:outlineLvl w:val="3"/>
      </w:pPr>
      <w:r w:rsidRPr="007D6C46">
        <w:t>15</w:t>
      </w:r>
      <w:r w:rsidR="008B77B5" w:rsidRPr="008B77B5">
        <w:t>.</w:t>
      </w:r>
      <w:r w:rsidRPr="007D6C46">
        <w:tab/>
        <w:t>M</w:t>
      </w:r>
      <w:r w:rsidR="008B77B5" w:rsidRPr="008B77B5">
        <w:t>.</w:t>
      </w:r>
      <w:r w:rsidRPr="007D6C46">
        <w:t xml:space="preserve"> de Jong a annoncé qu’il prendrait sa retraite en septembre 2023 et que le poste de président du GTE deviendrait alors vacant</w:t>
      </w:r>
      <w:r w:rsidR="008B77B5" w:rsidRPr="008B77B5">
        <w:t>.</w:t>
      </w:r>
    </w:p>
    <w:p w14:paraId="69425827" w14:textId="77777777" w:rsidR="00564BA0" w:rsidRPr="007D6C46" w:rsidRDefault="00564BA0" w:rsidP="00564BA0">
      <w:pPr>
        <w:pStyle w:val="H23G"/>
      </w:pPr>
      <w:bookmarkStart w:id="16" w:name="_Hlk115034686"/>
      <w:r w:rsidRPr="007D6C46">
        <w:tab/>
      </w:r>
      <w:r w:rsidRPr="007D6C46">
        <w:tab/>
        <w:t xml:space="preserve">Rapport du Groupe de travail des explosifs </w:t>
      </w:r>
    </w:p>
    <w:bookmarkEnd w:id="16"/>
    <w:p w14:paraId="313CC535" w14:textId="1A1425FD"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 </w:t>
      </w:r>
      <w:r w:rsidRPr="007D6C46">
        <w:t>:</w:t>
      </w:r>
      <w:r w:rsidRPr="007D6C46">
        <w:tab/>
        <w:t>INF</w:t>
      </w:r>
      <w:r w:rsidR="008B77B5" w:rsidRPr="008B77B5">
        <w:t>.</w:t>
      </w:r>
      <w:r w:rsidRPr="007D6C46">
        <w:t>44 (Président du GTE)</w:t>
      </w:r>
    </w:p>
    <w:p w14:paraId="03665175" w14:textId="30972B94" w:rsidR="00564BA0" w:rsidRPr="007D6C46" w:rsidRDefault="00564BA0" w:rsidP="00564BA0">
      <w:pPr>
        <w:pStyle w:val="SingleTxtG"/>
        <w:rPr>
          <w:i/>
          <w:iCs/>
        </w:rPr>
      </w:pPr>
      <w:r w:rsidRPr="007D6C46">
        <w:t>16</w:t>
      </w:r>
      <w:r w:rsidR="008B77B5" w:rsidRPr="008B77B5">
        <w:t>.</w:t>
      </w:r>
      <w:r w:rsidRPr="007D6C46">
        <w:tab/>
        <w:t>Le Président du Groupe de travail des explosifs a fait part des difficultés rencontrées pour trouver une salle permettant d’accueillir le grand nombre d’experts qui souhaitaient assister en personne à la réunion</w:t>
      </w:r>
      <w:r w:rsidR="008B77B5" w:rsidRPr="008B77B5">
        <w:t>.</w:t>
      </w:r>
      <w:r w:rsidRPr="007D6C46">
        <w:t xml:space="preserve"> Le Sous-Comité a pris connaissance du rapport du Groupe de travail figurant dans le document informel INF</w:t>
      </w:r>
      <w:r w:rsidR="008B77B5" w:rsidRPr="008B77B5">
        <w:t>.</w:t>
      </w:r>
      <w:r w:rsidRPr="007D6C46">
        <w:t>44 et entendu les explications fournies par le Président</w:t>
      </w:r>
      <w:r w:rsidR="008B77B5" w:rsidRPr="008B77B5">
        <w:t>.</w:t>
      </w:r>
    </w:p>
    <w:p w14:paraId="074FA8C2" w14:textId="7B520A1A" w:rsidR="00564BA0" w:rsidRPr="007D6C46" w:rsidRDefault="00564BA0" w:rsidP="00564BA0">
      <w:pPr>
        <w:pStyle w:val="SingleTxtG"/>
      </w:pPr>
      <w:r w:rsidRPr="007D6C46">
        <w:t>17</w:t>
      </w:r>
      <w:r w:rsidR="008B77B5" w:rsidRPr="008B77B5">
        <w:t>.</w:t>
      </w:r>
      <w:r w:rsidRPr="007D6C46">
        <w:tab/>
        <w:t>Le Sous-Comité a conclu le débat comme indiqué aux paragraphes 19 à 35 ci-dessous</w:t>
      </w:r>
      <w:r w:rsidR="008B77B5" w:rsidRPr="008B77B5">
        <w:t>.</w:t>
      </w:r>
    </w:p>
    <w:p w14:paraId="1609D73F" w14:textId="7FD30A91" w:rsidR="00564BA0" w:rsidRPr="007D6C46" w:rsidRDefault="00564BA0" w:rsidP="00564BA0">
      <w:pPr>
        <w:pStyle w:val="SingleTxtG"/>
      </w:pPr>
      <w:r w:rsidRPr="007D6C46">
        <w:t>18</w:t>
      </w:r>
      <w:r w:rsidR="008B77B5" w:rsidRPr="008B77B5">
        <w:t>.</w:t>
      </w:r>
      <w:r w:rsidRPr="007D6C46">
        <w:tab/>
        <w:t>Il a été souligné que le retour d’information du GTE sur les documents informels INF</w:t>
      </w:r>
      <w:r w:rsidR="008B77B5" w:rsidRPr="008B77B5">
        <w:t>.</w:t>
      </w:r>
      <w:r w:rsidRPr="007D6C46">
        <w:t>28 et INF</w:t>
      </w:r>
      <w:r w:rsidR="008B77B5" w:rsidRPr="008B77B5">
        <w:t>.</w:t>
      </w:r>
      <w:r w:rsidRPr="007D6C46">
        <w:t>36 devrait être examiné en séance plénière par le Sous-Comité dans le cadre de ses travaux à l’intention du Sous-Comité SGH (voir par</w:t>
      </w:r>
      <w:r w:rsidR="008B77B5" w:rsidRPr="008B77B5">
        <w:t>.</w:t>
      </w:r>
      <w:r w:rsidRPr="007D6C46">
        <w:t xml:space="preserve"> 100 ci-dessous)</w:t>
      </w:r>
      <w:r w:rsidR="008B77B5" w:rsidRPr="008B77B5">
        <w:t>.</w:t>
      </w:r>
      <w:r w:rsidRPr="007D6C46">
        <w:t xml:space="preserve"> Concernant le document ST/SG/AC</w:t>
      </w:r>
      <w:r w:rsidR="008B77B5" w:rsidRPr="008B77B5">
        <w:t>.</w:t>
      </w:r>
      <w:r w:rsidRPr="007D6C46">
        <w:t>10/C</w:t>
      </w:r>
      <w:r w:rsidR="008B77B5" w:rsidRPr="008B77B5">
        <w:t>.</w:t>
      </w:r>
      <w:r w:rsidRPr="007D6C46">
        <w:t>3/2022/39, le GTE a estimé qu’il n’était pas nécessaire d’affecter la disposition spéciale TP1 au numéro ONU 0331 (voir par</w:t>
      </w:r>
      <w:r w:rsidR="008B77B5" w:rsidRPr="008B77B5">
        <w:t>.</w:t>
      </w:r>
      <w:r w:rsidRPr="007D6C46">
        <w:t xml:space="preserve"> 95 ci-dessous)</w:t>
      </w:r>
      <w:r w:rsidR="008B77B5" w:rsidRPr="008B77B5">
        <w:t>.</w:t>
      </w:r>
    </w:p>
    <w:p w14:paraId="12934B47" w14:textId="3E3B03F8" w:rsidR="00564BA0" w:rsidRPr="007D6C46" w:rsidRDefault="00564BA0" w:rsidP="00564BA0">
      <w:pPr>
        <w:pStyle w:val="H1G"/>
        <w:spacing w:before="240"/>
      </w:pPr>
      <w:r w:rsidRPr="007D6C46">
        <w:tab/>
        <w:t>A</w:t>
      </w:r>
      <w:r w:rsidR="008B77B5" w:rsidRPr="008B77B5">
        <w:t>.</w:t>
      </w:r>
      <w:r w:rsidRPr="007D6C46">
        <w:tab/>
        <w:t>Examen des épreuves de la série 6</w:t>
      </w:r>
    </w:p>
    <w:p w14:paraId="37BBAFE5" w14:textId="23509F07" w:rsidR="00564BA0" w:rsidRPr="007D6C46" w:rsidRDefault="00564BA0" w:rsidP="00564BA0">
      <w:pPr>
        <w:pStyle w:val="SingleTxtG"/>
      </w:pPr>
      <w:r w:rsidRPr="007D6C46">
        <w:t>19</w:t>
      </w:r>
      <w:r w:rsidR="008B77B5" w:rsidRPr="008B77B5">
        <w:t>.</w:t>
      </w:r>
      <w:r w:rsidRPr="007D6C46">
        <w:tab/>
        <w:t>Aucun document n’ayant été soumis au titre de ce point de l’ordre du jour, la question n’a pas été abordée</w:t>
      </w:r>
      <w:r w:rsidR="008B77B5" w:rsidRPr="008B77B5">
        <w:t>.</w:t>
      </w:r>
    </w:p>
    <w:p w14:paraId="3657BA82" w14:textId="5AA3A3D5" w:rsidR="00564BA0" w:rsidRPr="007D6C46" w:rsidRDefault="00564BA0" w:rsidP="005648BE">
      <w:pPr>
        <w:pStyle w:val="H1G"/>
        <w:spacing w:before="240"/>
      </w:pPr>
      <w:r w:rsidRPr="007D6C46">
        <w:tab/>
        <w:t>B</w:t>
      </w:r>
      <w:r w:rsidR="008B77B5" w:rsidRPr="008B77B5">
        <w:t>.</w:t>
      </w:r>
      <w:r w:rsidRPr="007D6C46">
        <w:tab/>
        <w:t>Amélioration des épreuves de la série 8</w:t>
      </w:r>
    </w:p>
    <w:p w14:paraId="5E9AF0A8" w14:textId="07F15545" w:rsidR="00564BA0" w:rsidRPr="007D6C46" w:rsidRDefault="00564BA0" w:rsidP="005648BE">
      <w:pPr>
        <w:pStyle w:val="SingleTxtG"/>
        <w:keepNext/>
        <w:tabs>
          <w:tab w:val="clear" w:pos="1701"/>
          <w:tab w:val="clear" w:pos="2268"/>
          <w:tab w:val="clear" w:pos="2835"/>
          <w:tab w:val="left" w:pos="3119"/>
        </w:tabs>
        <w:ind w:left="3119" w:hanging="1985"/>
        <w:jc w:val="left"/>
        <w:rPr>
          <w:rFonts w:eastAsia="SimSun"/>
          <w:lang w:eastAsia="zh-CN"/>
        </w:rPr>
      </w:pPr>
      <w:r w:rsidRPr="007D6C46">
        <w:rPr>
          <w:rFonts w:eastAsia="SimSun"/>
          <w:i/>
          <w:lang w:eastAsia="zh-CN"/>
        </w:rPr>
        <w:t>Document</w:t>
      </w:r>
      <w:r w:rsidR="00BA4BBD" w:rsidRPr="007D6C46">
        <w:rPr>
          <w:rFonts w:eastAsia="SimSun"/>
          <w:i/>
          <w:lang w:eastAsia="zh-CN"/>
        </w:rPr>
        <w:t> </w:t>
      </w:r>
      <w:r w:rsidRPr="007D6C46">
        <w:rPr>
          <w:rFonts w:eastAsia="SimSun"/>
          <w:iCs/>
          <w:lang w:eastAsia="zh-CN"/>
        </w:rPr>
        <w:t>:</w:t>
      </w:r>
      <w:r w:rsidRPr="007D6C46">
        <w:rPr>
          <w:rFonts w:eastAsia="SimSun"/>
          <w:i/>
          <w:lang w:eastAsia="zh-CN"/>
        </w:rPr>
        <w:tab/>
      </w:r>
      <w:r w:rsidRPr="007D6C46">
        <w:rPr>
          <w:rFonts w:eastAsia="SimSun"/>
          <w:lang w:eastAsia="zh-CN"/>
        </w:rPr>
        <w:t>ST/SG/AC</w:t>
      </w:r>
      <w:r w:rsidR="008B77B5" w:rsidRPr="008B77B5">
        <w:rPr>
          <w:rFonts w:eastAsia="SimSun"/>
          <w:lang w:eastAsia="zh-CN"/>
        </w:rPr>
        <w:t>.</w:t>
      </w:r>
      <w:r w:rsidRPr="007D6C46">
        <w:rPr>
          <w:rFonts w:eastAsia="SimSun"/>
          <w:lang w:eastAsia="zh-CN"/>
        </w:rPr>
        <w:t>10/C</w:t>
      </w:r>
      <w:r w:rsidR="008B77B5" w:rsidRPr="008B77B5">
        <w:rPr>
          <w:rFonts w:eastAsia="SimSun"/>
          <w:lang w:eastAsia="zh-CN"/>
        </w:rPr>
        <w:t>.</w:t>
      </w:r>
      <w:r w:rsidRPr="007D6C46">
        <w:rPr>
          <w:rFonts w:eastAsia="SimSun"/>
          <w:lang w:eastAsia="zh-CN"/>
        </w:rPr>
        <w:t>3/2022/18 (</w:t>
      </w:r>
      <w:r w:rsidRPr="007D6C46">
        <w:t>Président du GTE</w:t>
      </w:r>
      <w:r w:rsidRPr="007D6C46">
        <w:rPr>
          <w:rFonts w:eastAsia="SimSun"/>
          <w:lang w:eastAsia="zh-CN"/>
        </w:rPr>
        <w:t>)</w:t>
      </w:r>
    </w:p>
    <w:p w14:paraId="790F384A" w14:textId="5B8E417E" w:rsidR="00564BA0" w:rsidRPr="007D6C46" w:rsidRDefault="00564BA0" w:rsidP="00DE3355">
      <w:pPr>
        <w:pStyle w:val="SingleTxtG"/>
        <w:tabs>
          <w:tab w:val="clear" w:pos="1701"/>
          <w:tab w:val="clear" w:pos="2268"/>
          <w:tab w:val="clear" w:pos="2835"/>
          <w:tab w:val="left" w:pos="3119"/>
        </w:tabs>
        <w:ind w:left="3119" w:hanging="1985"/>
        <w:jc w:val="left"/>
        <w:rPr>
          <w:rFonts w:eastAsia="SimSun"/>
          <w:i/>
          <w:lang w:eastAsia="zh-CN"/>
        </w:rPr>
      </w:pPr>
      <w:r w:rsidRPr="007D6C46">
        <w:rPr>
          <w:i/>
          <w:iCs/>
        </w:rPr>
        <w:t>Documents informels </w:t>
      </w:r>
      <w:r w:rsidRPr="007D6C46">
        <w:t>:</w:t>
      </w:r>
      <w:r w:rsidRPr="007D6C46">
        <w:rPr>
          <w:rFonts w:eastAsia="SimSun"/>
          <w:lang w:eastAsia="zh-CN"/>
        </w:rPr>
        <w:tab/>
        <w:t>INF</w:t>
      </w:r>
      <w:r w:rsidR="008B77B5" w:rsidRPr="008B77B5">
        <w:rPr>
          <w:rFonts w:eastAsia="SimSun"/>
          <w:lang w:eastAsia="zh-CN"/>
        </w:rPr>
        <w:t>.</w:t>
      </w:r>
      <w:r w:rsidRPr="007D6C46">
        <w:rPr>
          <w:rFonts w:eastAsia="SimSun"/>
          <w:lang w:eastAsia="zh-CN"/>
        </w:rPr>
        <w:t>38 (IME)</w:t>
      </w:r>
      <w:r w:rsidRPr="007D6C46">
        <w:rPr>
          <w:rFonts w:eastAsia="SimSun"/>
          <w:lang w:eastAsia="zh-CN"/>
        </w:rPr>
        <w:br/>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5 (</w:t>
      </w:r>
      <w:r w:rsidRPr="007D6C46">
        <w:t>Président du GTE</w:t>
      </w:r>
      <w:r w:rsidRPr="007D6C46">
        <w:rPr>
          <w:rFonts w:eastAsia="SimSun"/>
          <w:lang w:eastAsia="zh-CN"/>
        </w:rPr>
        <w:t>)</w:t>
      </w:r>
    </w:p>
    <w:p w14:paraId="57EF783A" w14:textId="5442F1A7" w:rsidR="00564BA0" w:rsidRPr="007D6C46" w:rsidRDefault="00564BA0" w:rsidP="00564BA0">
      <w:pPr>
        <w:pStyle w:val="SingleTxtG"/>
      </w:pPr>
      <w:r w:rsidRPr="007D6C46">
        <w:t>20</w:t>
      </w:r>
      <w:r w:rsidR="008B77B5" w:rsidRPr="008B77B5">
        <w:t>.</w:t>
      </w:r>
      <w:r w:rsidRPr="007D6C46">
        <w:tab/>
        <w:t xml:space="preserve">Le Sous-Comité a pris note du soutien du GTE à la poursuite des travaux de l’Institute of </w:t>
      </w:r>
      <w:proofErr w:type="spellStart"/>
      <w:r w:rsidRPr="007D6C46">
        <w:t>Makers</w:t>
      </w:r>
      <w:proofErr w:type="spellEnd"/>
      <w:r w:rsidRPr="007D6C46">
        <w:t xml:space="preserve"> of Explosives (IME)</w:t>
      </w:r>
      <w:r w:rsidR="008B77B5" w:rsidRPr="008B77B5">
        <w:t>.</w:t>
      </w:r>
      <w:r w:rsidRPr="007D6C46">
        <w:t xml:space="preserve"> Des essais ou des modélisations supplémentaires ont été suggérés, mais il n’y a pas eu de consensus sur la nature de ces travaux</w:t>
      </w:r>
      <w:r w:rsidR="008B77B5" w:rsidRPr="008B77B5">
        <w:t>.</w:t>
      </w:r>
      <w:r w:rsidRPr="007D6C46">
        <w:t xml:space="preserve"> Les conditions de transport ont été initialement envisagées par les travaux de l’IME, mais les observations du groupe sur la modélisation ont été orientées vers les essais à petite échelle afin de valider le modèle et d’expliquer les phénomènes à l’origine des résultats (faussement) positifs des essais à petite échelle</w:t>
      </w:r>
      <w:r w:rsidR="008B77B5" w:rsidRPr="008B77B5">
        <w:t>.</w:t>
      </w:r>
      <w:r w:rsidRPr="007D6C46">
        <w:t xml:space="preserve"> Le représentant de l’IME a conclu en s’engageant à prendre en compte les observations de fond avant de proposer des nouvelles étapes</w:t>
      </w:r>
      <w:r w:rsidR="008B77B5" w:rsidRPr="008B77B5">
        <w:t>.</w:t>
      </w:r>
    </w:p>
    <w:p w14:paraId="18E420F7" w14:textId="7A348AAE" w:rsidR="00564BA0" w:rsidRPr="007D6C46" w:rsidRDefault="00564BA0" w:rsidP="00564BA0">
      <w:pPr>
        <w:pStyle w:val="H1G"/>
        <w:spacing w:before="240"/>
        <w:ind w:right="1558"/>
      </w:pPr>
      <w:r w:rsidRPr="007D6C46">
        <w:tab/>
        <w:t>C</w:t>
      </w:r>
      <w:r w:rsidR="008B77B5" w:rsidRPr="008B77B5">
        <w:t>.</w:t>
      </w:r>
      <w:r w:rsidRPr="007D6C46">
        <w:tab/>
        <w:t>Révision des épreuves des parties I, II et III du Manuel d’épreuves et de critères</w:t>
      </w:r>
    </w:p>
    <w:p w14:paraId="02D159AF" w14:textId="6F293527" w:rsidR="00564BA0" w:rsidRPr="007D6C46" w:rsidRDefault="00564BA0" w:rsidP="00BA4BBD">
      <w:pPr>
        <w:pStyle w:val="H23G"/>
        <w:rPr>
          <w:rFonts w:eastAsia="SimSun"/>
          <w:lang w:eastAsia="zh-CN"/>
        </w:rPr>
      </w:pPr>
      <w:r w:rsidRPr="007D6C46">
        <w:rPr>
          <w:rFonts w:eastAsia="SimSun"/>
          <w:lang w:eastAsia="zh-CN"/>
        </w:rPr>
        <w:tab/>
        <w:t>1</w:t>
      </w:r>
      <w:r w:rsidR="008B77B5" w:rsidRPr="008B77B5">
        <w:rPr>
          <w:rFonts w:eastAsia="SimSun"/>
          <w:lang w:eastAsia="zh-CN"/>
        </w:rPr>
        <w:t>.</w:t>
      </w:r>
      <w:r w:rsidRPr="007D6C46">
        <w:rPr>
          <w:rFonts w:eastAsia="SimSun"/>
          <w:lang w:eastAsia="zh-CN"/>
        </w:rPr>
        <w:tab/>
      </w:r>
      <w:r w:rsidRPr="007D6C46">
        <w:rPr>
          <w:lang w:eastAsia="ja-JP"/>
        </w:rPr>
        <w:t>Manuel d’épreuves et de critères, sections 1</w:t>
      </w:r>
      <w:r w:rsidR="008B77B5" w:rsidRPr="008B77B5">
        <w:rPr>
          <w:lang w:eastAsia="ja-JP"/>
        </w:rPr>
        <w:t>.</w:t>
      </w:r>
      <w:r w:rsidRPr="007D6C46">
        <w:rPr>
          <w:lang w:eastAsia="ja-JP"/>
        </w:rPr>
        <w:t>2</w:t>
      </w:r>
      <w:r w:rsidR="008B77B5" w:rsidRPr="008B77B5">
        <w:rPr>
          <w:lang w:eastAsia="ja-JP"/>
        </w:rPr>
        <w:t>.</w:t>
      </w:r>
      <w:r w:rsidRPr="007D6C46">
        <w:rPr>
          <w:lang w:eastAsia="ja-JP"/>
        </w:rPr>
        <w:t>1</w:t>
      </w:r>
      <w:r w:rsidR="008B77B5" w:rsidRPr="008B77B5">
        <w:rPr>
          <w:lang w:eastAsia="ja-JP"/>
        </w:rPr>
        <w:t>.</w:t>
      </w:r>
      <w:r w:rsidRPr="007D6C46">
        <w:rPr>
          <w:lang w:eastAsia="ja-JP"/>
        </w:rPr>
        <w:t>4</w:t>
      </w:r>
      <w:r w:rsidR="008B77B5" w:rsidRPr="008B77B5">
        <w:rPr>
          <w:lang w:eastAsia="ja-JP"/>
        </w:rPr>
        <w:t>.</w:t>
      </w:r>
      <w:r w:rsidRPr="007D6C46">
        <w:rPr>
          <w:lang w:eastAsia="ja-JP"/>
        </w:rPr>
        <w:t>3 et 20</w:t>
      </w:r>
      <w:r w:rsidR="008B77B5" w:rsidRPr="008B77B5">
        <w:rPr>
          <w:lang w:eastAsia="ja-JP"/>
        </w:rPr>
        <w:t>.</w:t>
      </w:r>
      <w:r w:rsidRPr="007D6C46">
        <w:rPr>
          <w:lang w:eastAsia="ja-JP"/>
        </w:rPr>
        <w:t>2</w:t>
      </w:r>
      <w:r w:rsidR="008B77B5" w:rsidRPr="008B77B5">
        <w:rPr>
          <w:lang w:eastAsia="ja-JP"/>
        </w:rPr>
        <w:t>.</w:t>
      </w:r>
      <w:r w:rsidRPr="007D6C46">
        <w:rPr>
          <w:lang w:eastAsia="ja-JP"/>
        </w:rPr>
        <w:t>5 sur l’épreuve d’</w:t>
      </w:r>
      <w:proofErr w:type="spellStart"/>
      <w:r w:rsidRPr="007D6C46">
        <w:rPr>
          <w:lang w:eastAsia="ja-JP"/>
        </w:rPr>
        <w:t>autoéchauffement</w:t>
      </w:r>
      <w:proofErr w:type="spellEnd"/>
      <w:r w:rsidRPr="007D6C46">
        <w:rPr>
          <w:lang w:eastAsia="ja-JP"/>
        </w:rPr>
        <w:t xml:space="preserve"> N</w:t>
      </w:r>
      <w:r w:rsidR="008B77B5" w:rsidRPr="008B77B5">
        <w:rPr>
          <w:lang w:eastAsia="ja-JP"/>
        </w:rPr>
        <w:t>.</w:t>
      </w:r>
      <w:r w:rsidRPr="007D6C46">
        <w:rPr>
          <w:lang w:eastAsia="ja-JP"/>
        </w:rPr>
        <w:t>4 pour les peroxydes organiques</w:t>
      </w:r>
    </w:p>
    <w:p w14:paraId="346A39A9" w14:textId="7B601B77" w:rsidR="00564BA0" w:rsidRPr="007D6C46" w:rsidRDefault="00564BA0" w:rsidP="00DE3355">
      <w:pPr>
        <w:pStyle w:val="SingleTxtG"/>
        <w:tabs>
          <w:tab w:val="clear" w:pos="1701"/>
          <w:tab w:val="clear" w:pos="2268"/>
          <w:tab w:val="clear" w:pos="2835"/>
          <w:tab w:val="left" w:pos="3119"/>
        </w:tabs>
        <w:ind w:left="3119" w:hanging="1985"/>
        <w:jc w:val="left"/>
        <w:rPr>
          <w:rFonts w:eastAsia="SimSun"/>
          <w:lang w:eastAsia="zh-CN"/>
        </w:rPr>
      </w:pPr>
      <w:r w:rsidRPr="007D6C46">
        <w:rPr>
          <w:rFonts w:eastAsia="SimSun"/>
          <w:i/>
          <w:iCs/>
          <w:lang w:eastAsia="zh-CN"/>
        </w:rPr>
        <w:t>Documents informels </w:t>
      </w:r>
      <w:r w:rsidRPr="007D6C46">
        <w:rPr>
          <w:rFonts w:eastAsia="SimSun"/>
          <w:lang w:eastAsia="zh-CN"/>
        </w:rPr>
        <w:t>:</w:t>
      </w:r>
      <w:r w:rsidRPr="007D6C46">
        <w:rPr>
          <w:rFonts w:eastAsia="SimSun"/>
          <w:lang w:eastAsia="zh-CN"/>
        </w:rPr>
        <w:tab/>
        <w:t>INF</w:t>
      </w:r>
      <w:r w:rsidR="008B77B5" w:rsidRPr="008B77B5">
        <w:rPr>
          <w:rFonts w:eastAsia="SimSun"/>
          <w:lang w:eastAsia="zh-CN"/>
        </w:rPr>
        <w:t>.</w:t>
      </w:r>
      <w:r w:rsidRPr="007D6C46">
        <w:rPr>
          <w:rFonts w:eastAsia="SimSun"/>
          <w:lang w:eastAsia="zh-CN"/>
        </w:rPr>
        <w:t>5 (CEFIC)</w:t>
      </w:r>
      <w:r w:rsidR="00BA4BBD" w:rsidRPr="007D6C46">
        <w:rPr>
          <w:rFonts w:eastAsia="SimSun"/>
          <w:lang w:eastAsia="zh-CN"/>
        </w:rPr>
        <w:t xml:space="preserve"> </w:t>
      </w:r>
      <w:r w:rsidR="00BA4BBD" w:rsidRPr="007D6C46">
        <w:rPr>
          <w:rFonts w:eastAsia="SimSun"/>
          <w:lang w:eastAsia="zh-CN"/>
        </w:rPr>
        <w:br/>
      </w:r>
      <w:r w:rsidRPr="007D6C46">
        <w:rPr>
          <w:rFonts w:eastAsia="SimSun"/>
          <w:lang w:eastAsia="zh-CN"/>
        </w:rPr>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6 (Président du GTE)</w:t>
      </w:r>
    </w:p>
    <w:p w14:paraId="6A32CCE1" w14:textId="7ACF30E1" w:rsidR="00564BA0" w:rsidRPr="007D6C46" w:rsidRDefault="00564BA0" w:rsidP="00564BA0">
      <w:pPr>
        <w:spacing w:after="120"/>
        <w:ind w:left="1134" w:right="1134"/>
        <w:jc w:val="both"/>
        <w:rPr>
          <w:rFonts w:eastAsia="SimSun"/>
          <w:lang w:eastAsia="zh-CN"/>
        </w:rPr>
      </w:pPr>
      <w:r w:rsidRPr="007D6C46">
        <w:rPr>
          <w:rFonts w:eastAsia="SimSun"/>
          <w:lang w:eastAsia="zh-CN"/>
        </w:rPr>
        <w:t>21</w:t>
      </w:r>
      <w:r w:rsidR="008B77B5" w:rsidRPr="008B77B5">
        <w:rPr>
          <w:rFonts w:eastAsia="SimSun"/>
          <w:lang w:eastAsia="zh-CN"/>
        </w:rPr>
        <w:t>.</w:t>
      </w:r>
      <w:r w:rsidRPr="007D6C46">
        <w:rPr>
          <w:rFonts w:eastAsia="SimSun"/>
          <w:lang w:eastAsia="zh-CN"/>
        </w:rPr>
        <w:tab/>
        <w:t>Le Sous-Comité a approuvé le consensus du GTE pour adopter la proposition</w:t>
      </w:r>
      <w:r w:rsidR="008B77B5" w:rsidRPr="008B77B5">
        <w:rPr>
          <w:rFonts w:eastAsia="SimSun"/>
          <w:lang w:eastAsia="zh-CN"/>
        </w:rPr>
        <w:t>.</w:t>
      </w:r>
      <w:r w:rsidRPr="007D6C46">
        <w:rPr>
          <w:rFonts w:eastAsia="SimSun"/>
          <w:lang w:eastAsia="zh-CN"/>
        </w:rPr>
        <w:t xml:space="preserve"> Toutefois, il a été décidé de soumettre à nouveau celle-ci sous une cote officielle à la session suivante pour adoption formelle</w:t>
      </w:r>
      <w:r w:rsidR="008B77B5" w:rsidRPr="008B77B5">
        <w:rPr>
          <w:rFonts w:eastAsia="SimSun"/>
          <w:lang w:eastAsia="zh-CN"/>
        </w:rPr>
        <w:t>.</w:t>
      </w:r>
      <w:r w:rsidRPr="007D6C46">
        <w:rPr>
          <w:rFonts w:eastAsia="SimSun"/>
          <w:lang w:eastAsia="zh-CN"/>
        </w:rPr>
        <w:t xml:space="preserve"> En outre, les matières </w:t>
      </w:r>
      <w:proofErr w:type="spellStart"/>
      <w:r w:rsidRPr="007D6C46">
        <w:rPr>
          <w:rFonts w:eastAsia="SimSun"/>
          <w:lang w:eastAsia="zh-CN"/>
        </w:rPr>
        <w:t>polymérisantes</w:t>
      </w:r>
      <w:proofErr w:type="spellEnd"/>
      <w:r w:rsidRPr="007D6C46">
        <w:rPr>
          <w:rFonts w:eastAsia="SimSun"/>
          <w:lang w:eastAsia="zh-CN"/>
        </w:rPr>
        <w:t xml:space="preserve"> pourraient être incluses et des travaux supplémentaires pourraient être prévus sur les épreuves relatives aux dangers physiques</w:t>
      </w:r>
      <w:r w:rsidR="008B77B5" w:rsidRPr="008B77B5">
        <w:rPr>
          <w:rFonts w:eastAsia="SimSun"/>
          <w:lang w:eastAsia="zh-CN"/>
        </w:rPr>
        <w:t>.</w:t>
      </w:r>
    </w:p>
    <w:p w14:paraId="39EAC555" w14:textId="19CCC434" w:rsidR="00564BA0" w:rsidRPr="007D6C46" w:rsidRDefault="00564BA0" w:rsidP="00564BA0">
      <w:pPr>
        <w:tabs>
          <w:tab w:val="right" w:pos="851"/>
        </w:tabs>
        <w:spacing w:before="240" w:after="120" w:line="240" w:lineRule="exact"/>
        <w:ind w:left="1134" w:right="1134" w:hanging="1134"/>
        <w:rPr>
          <w:rFonts w:eastAsia="SimSun"/>
          <w:b/>
          <w:lang w:eastAsia="zh-CN"/>
        </w:rPr>
      </w:pPr>
      <w:r w:rsidRPr="007D6C46">
        <w:rPr>
          <w:rFonts w:eastAsia="SimSun"/>
          <w:b/>
          <w:lang w:eastAsia="zh-CN"/>
        </w:rPr>
        <w:tab/>
        <w:t>2</w:t>
      </w:r>
      <w:r w:rsidR="008B77B5" w:rsidRPr="008B77B5">
        <w:rPr>
          <w:rFonts w:eastAsia="SimSun"/>
          <w:b/>
          <w:lang w:eastAsia="zh-CN"/>
        </w:rPr>
        <w:t>.</w:t>
      </w:r>
      <w:r w:rsidRPr="007D6C46">
        <w:rPr>
          <w:rFonts w:eastAsia="SimSun"/>
          <w:b/>
          <w:lang w:eastAsia="zh-CN"/>
        </w:rPr>
        <w:tab/>
        <w:t xml:space="preserve">Paramètres pour la spécification de l’appareillage de l’épreuve de </w:t>
      </w:r>
      <w:proofErr w:type="spellStart"/>
      <w:r w:rsidRPr="007D6C46">
        <w:rPr>
          <w:rFonts w:eastAsia="SimSun"/>
          <w:b/>
          <w:lang w:eastAsia="zh-CN"/>
        </w:rPr>
        <w:t>Koenen</w:t>
      </w:r>
      <w:proofErr w:type="spellEnd"/>
    </w:p>
    <w:p w14:paraId="7EA10F70" w14:textId="1179FB27" w:rsidR="00564BA0" w:rsidRPr="007D6C46" w:rsidRDefault="00564BA0" w:rsidP="00DE3355">
      <w:pPr>
        <w:pStyle w:val="SingleTxtG"/>
        <w:tabs>
          <w:tab w:val="clear" w:pos="1701"/>
          <w:tab w:val="clear" w:pos="2268"/>
          <w:tab w:val="clear" w:pos="2835"/>
          <w:tab w:val="left" w:pos="3119"/>
        </w:tabs>
        <w:ind w:left="3119" w:hanging="1985"/>
        <w:jc w:val="left"/>
        <w:rPr>
          <w:rFonts w:eastAsia="SimSun"/>
          <w:lang w:eastAsia="zh-CN"/>
        </w:rPr>
      </w:pPr>
      <w:bookmarkStart w:id="17" w:name="_Hlk114945326"/>
      <w:r w:rsidRPr="007D6C46">
        <w:rPr>
          <w:rFonts w:eastAsia="SimSun"/>
          <w:i/>
          <w:iCs/>
          <w:lang w:eastAsia="zh-CN"/>
        </w:rPr>
        <w:t>Documents informels </w:t>
      </w:r>
      <w:r w:rsidRPr="006F7E02">
        <w:rPr>
          <w:rFonts w:eastAsia="SimSun"/>
          <w:lang w:eastAsia="zh-CN"/>
        </w:rPr>
        <w:t>:</w:t>
      </w:r>
      <w:bookmarkEnd w:id="17"/>
      <w:r w:rsidRPr="007D6C46">
        <w:rPr>
          <w:rFonts w:eastAsia="SimSun"/>
          <w:lang w:eastAsia="zh-CN"/>
        </w:rPr>
        <w:tab/>
        <w:t>INF</w:t>
      </w:r>
      <w:r w:rsidR="008B77B5" w:rsidRPr="008B77B5">
        <w:rPr>
          <w:rFonts w:eastAsia="SimSun"/>
          <w:lang w:eastAsia="zh-CN"/>
        </w:rPr>
        <w:t>.</w:t>
      </w:r>
      <w:r w:rsidRPr="007D6C46">
        <w:rPr>
          <w:rFonts w:eastAsia="SimSun"/>
          <w:lang w:eastAsia="zh-CN"/>
        </w:rPr>
        <w:t>15 (États-Unis d’Amérique, Royaume-Uni)</w:t>
      </w:r>
      <w:r w:rsidRPr="007D6C46">
        <w:rPr>
          <w:rFonts w:eastAsia="SimSun"/>
          <w:lang w:eastAsia="zh-CN"/>
        </w:rPr>
        <w:br/>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7 (Président du GTE)</w:t>
      </w:r>
    </w:p>
    <w:p w14:paraId="03DA396C" w14:textId="60054746" w:rsidR="00564BA0" w:rsidRPr="007D6C46" w:rsidRDefault="00564BA0" w:rsidP="00564BA0">
      <w:pPr>
        <w:spacing w:after="120"/>
        <w:ind w:left="1134" w:right="1134"/>
        <w:jc w:val="both"/>
        <w:rPr>
          <w:rFonts w:eastAsia="SimSun"/>
          <w:lang w:eastAsia="zh-CN"/>
        </w:rPr>
      </w:pPr>
      <w:r w:rsidRPr="007D6C46">
        <w:rPr>
          <w:rFonts w:eastAsia="SimSun"/>
          <w:lang w:eastAsia="zh-CN"/>
        </w:rPr>
        <w:t>22</w:t>
      </w:r>
      <w:r w:rsidR="008B77B5" w:rsidRPr="008B77B5">
        <w:rPr>
          <w:rFonts w:eastAsia="SimSun"/>
          <w:lang w:eastAsia="zh-CN"/>
        </w:rPr>
        <w:t>.</w:t>
      </w:r>
      <w:r w:rsidRPr="007D6C46">
        <w:rPr>
          <w:rFonts w:eastAsia="SimSun"/>
          <w:lang w:eastAsia="zh-CN"/>
        </w:rPr>
        <w:tab/>
        <w:t xml:space="preserve">Le Sous-Comité a remercié le GTE pour son soutien dans ce travail en procédant à des essais </w:t>
      </w:r>
      <w:proofErr w:type="spellStart"/>
      <w:r w:rsidRPr="007D6C46">
        <w:rPr>
          <w:rFonts w:eastAsia="SimSun"/>
          <w:lang w:eastAsia="zh-CN"/>
        </w:rPr>
        <w:t>interlaboratoires</w:t>
      </w:r>
      <w:proofErr w:type="spellEnd"/>
      <w:r w:rsidRPr="007D6C46">
        <w:rPr>
          <w:rFonts w:eastAsia="SimSun"/>
          <w:lang w:eastAsia="zh-CN"/>
        </w:rPr>
        <w:t xml:space="preserve"> auxquels plusieurs experts ont exprimé leur intérêt à participer</w:t>
      </w:r>
      <w:r w:rsidR="008B77B5" w:rsidRPr="008B77B5">
        <w:rPr>
          <w:rFonts w:eastAsia="SimSun"/>
          <w:lang w:eastAsia="zh-CN"/>
        </w:rPr>
        <w:t>.</w:t>
      </w:r>
    </w:p>
    <w:p w14:paraId="65D98FEA" w14:textId="2E1C6AF2" w:rsidR="00564BA0" w:rsidRPr="007D6C46" w:rsidRDefault="00564BA0" w:rsidP="00564BA0">
      <w:pPr>
        <w:pStyle w:val="H1G"/>
        <w:spacing w:before="240"/>
      </w:pPr>
      <w:r w:rsidRPr="007D6C46">
        <w:tab/>
        <w:t>D</w:t>
      </w:r>
      <w:r w:rsidR="008B77B5" w:rsidRPr="008B77B5">
        <w:t>.</w:t>
      </w:r>
      <w:r w:rsidRPr="007D6C46">
        <w:tab/>
        <w:t>Détonateurs normalisés « UN »</w:t>
      </w:r>
    </w:p>
    <w:p w14:paraId="6673003D" w14:textId="02A871AC" w:rsidR="00564BA0" w:rsidRPr="007D6C46" w:rsidRDefault="00564BA0" w:rsidP="00564BA0">
      <w:pPr>
        <w:pStyle w:val="SingleTxtG"/>
        <w:rPr>
          <w:u w:val="single"/>
        </w:rPr>
      </w:pPr>
      <w:r w:rsidRPr="007D6C46">
        <w:t>23</w:t>
      </w:r>
      <w:r w:rsidR="008B77B5" w:rsidRPr="008B77B5">
        <w:t>.</w:t>
      </w:r>
      <w:r w:rsidRPr="007D6C46">
        <w:tab/>
        <w:t>Aucun document n’ayant été soumis au titre de ce point de l’ordre du jour, la question n’a pas été abordée</w:t>
      </w:r>
      <w:r w:rsidR="008B77B5" w:rsidRPr="008B77B5">
        <w:t>.</w:t>
      </w:r>
    </w:p>
    <w:p w14:paraId="64DD0424" w14:textId="6FCC51A8" w:rsidR="00564BA0" w:rsidRPr="007D6C46" w:rsidRDefault="00564BA0" w:rsidP="00564BA0">
      <w:pPr>
        <w:pStyle w:val="H1G"/>
        <w:spacing w:before="240"/>
        <w:rPr>
          <w:b w:val="0"/>
        </w:rPr>
      </w:pPr>
      <w:r w:rsidRPr="007D6C46">
        <w:tab/>
        <w:t>E</w:t>
      </w:r>
      <w:r w:rsidR="008B77B5" w:rsidRPr="008B77B5">
        <w:t>.</w:t>
      </w:r>
      <w:r w:rsidRPr="007D6C46">
        <w:tab/>
        <w:t>Révision des instructions d’emballage relatives aux explosifs</w:t>
      </w:r>
    </w:p>
    <w:p w14:paraId="0DF4CD12" w14:textId="47ADBCC3" w:rsidR="00564BA0" w:rsidRPr="007D6C46" w:rsidRDefault="00564BA0" w:rsidP="00564BA0">
      <w:pPr>
        <w:pStyle w:val="SingleTxtG"/>
      </w:pPr>
      <w:r w:rsidRPr="007D6C46">
        <w:t>24</w:t>
      </w:r>
      <w:r w:rsidR="008B77B5" w:rsidRPr="008B77B5">
        <w:t>.</w:t>
      </w:r>
      <w:r w:rsidRPr="007D6C46">
        <w:tab/>
        <w:t>Aucun document n’ayant été soumis au titre de ce point de l’ordre du jour, la question n’a pas été abordée</w:t>
      </w:r>
      <w:r w:rsidR="008B77B5" w:rsidRPr="008B77B5">
        <w:t>.</w:t>
      </w:r>
    </w:p>
    <w:p w14:paraId="036BE5EA" w14:textId="0907D719" w:rsidR="00564BA0" w:rsidRPr="007D6C46" w:rsidRDefault="00564BA0" w:rsidP="00564BA0">
      <w:pPr>
        <w:pStyle w:val="H1G"/>
        <w:spacing w:before="240"/>
        <w:rPr>
          <w:b w:val="0"/>
        </w:rPr>
      </w:pPr>
      <w:r w:rsidRPr="007D6C46">
        <w:tab/>
        <w:t>F</w:t>
      </w:r>
      <w:r w:rsidR="008B77B5" w:rsidRPr="008B77B5">
        <w:t>.</w:t>
      </w:r>
      <w:r w:rsidRPr="007D6C46">
        <w:tab/>
        <w:t>Échantillons</w:t>
      </w:r>
      <w:r w:rsidRPr="007D6C46">
        <w:rPr>
          <w:bCs/>
        </w:rPr>
        <w:t xml:space="preserve"> énergétiques</w:t>
      </w:r>
    </w:p>
    <w:p w14:paraId="5D5FE23A" w14:textId="666CB0FA" w:rsidR="00564BA0" w:rsidRPr="007D6C46" w:rsidRDefault="00564BA0" w:rsidP="00564BA0">
      <w:pPr>
        <w:pStyle w:val="SingleTxtG"/>
      </w:pPr>
      <w:r w:rsidRPr="007D6C46">
        <w:t>25</w:t>
      </w:r>
      <w:r w:rsidR="008B77B5" w:rsidRPr="008B77B5">
        <w:t>.</w:t>
      </w:r>
      <w:r w:rsidRPr="007D6C46">
        <w:tab/>
        <w:t>Aucun document n’ayant été soumis au titre de ce point de l’ordre du jour, la question n’a pas été abordée</w:t>
      </w:r>
      <w:r w:rsidR="008B77B5" w:rsidRPr="008B77B5">
        <w:t>.</w:t>
      </w:r>
    </w:p>
    <w:p w14:paraId="4276A8F5" w14:textId="70CF3FD1" w:rsidR="00564BA0" w:rsidRPr="007D6C46" w:rsidRDefault="00564BA0" w:rsidP="00564BA0">
      <w:pPr>
        <w:pStyle w:val="H1G"/>
        <w:spacing w:before="240"/>
        <w:rPr>
          <w:b w:val="0"/>
        </w:rPr>
      </w:pPr>
      <w:r w:rsidRPr="007D6C46">
        <w:tab/>
        <w:t>G</w:t>
      </w:r>
      <w:r w:rsidR="008B77B5" w:rsidRPr="008B77B5">
        <w:t>.</w:t>
      </w:r>
      <w:r w:rsidRPr="007D6C46">
        <w:tab/>
      </w:r>
      <w:r w:rsidRPr="007D6C46">
        <w:rPr>
          <w:bCs/>
        </w:rPr>
        <w:t xml:space="preserve">Questions liées à la </w:t>
      </w:r>
      <w:r w:rsidRPr="007D6C46">
        <w:t>définition</w:t>
      </w:r>
      <w:r w:rsidRPr="007D6C46">
        <w:rPr>
          <w:bCs/>
        </w:rPr>
        <w:t xml:space="preserve"> des explosifs</w:t>
      </w:r>
    </w:p>
    <w:p w14:paraId="5D3C8955" w14:textId="23E3811E" w:rsidR="00564BA0" w:rsidRPr="007D6C46" w:rsidRDefault="00564BA0" w:rsidP="00564BA0">
      <w:pPr>
        <w:keepNext/>
        <w:keepLines/>
        <w:tabs>
          <w:tab w:val="right" w:pos="851"/>
        </w:tabs>
        <w:spacing w:before="240" w:after="120" w:line="240" w:lineRule="exact"/>
        <w:ind w:left="1134" w:right="1134" w:hanging="1134"/>
        <w:rPr>
          <w:rFonts w:eastAsia="SimSun"/>
          <w:b/>
          <w:lang w:eastAsia="zh-CN"/>
        </w:rPr>
      </w:pPr>
      <w:r w:rsidRPr="007D6C46">
        <w:rPr>
          <w:rFonts w:eastAsia="SimSun"/>
          <w:b/>
          <w:lang w:eastAsia="zh-CN"/>
        </w:rPr>
        <w:tab/>
        <w:t>1</w:t>
      </w:r>
      <w:r w:rsidR="008B77B5" w:rsidRPr="008B77B5">
        <w:rPr>
          <w:rFonts w:eastAsia="SimSun"/>
          <w:b/>
          <w:lang w:eastAsia="zh-CN"/>
        </w:rPr>
        <w:t>.</w:t>
      </w:r>
      <w:r w:rsidRPr="007D6C46">
        <w:rPr>
          <w:rFonts w:eastAsia="SimSun"/>
          <w:b/>
          <w:lang w:eastAsia="zh-CN"/>
        </w:rPr>
        <w:tab/>
        <w:t>Exclusion de la classe 1 des objets contenant des matières énergétiques qui présentent un risque très faible</w:t>
      </w:r>
    </w:p>
    <w:p w14:paraId="766D62E8" w14:textId="595F894E" w:rsidR="00564BA0" w:rsidRPr="008B77B5" w:rsidRDefault="00564BA0" w:rsidP="00DE3355">
      <w:pPr>
        <w:pStyle w:val="SingleTxtG"/>
        <w:tabs>
          <w:tab w:val="clear" w:pos="1701"/>
          <w:tab w:val="clear" w:pos="2268"/>
          <w:tab w:val="clear" w:pos="2835"/>
          <w:tab w:val="left" w:pos="3119"/>
        </w:tabs>
        <w:ind w:left="3119" w:hanging="1985"/>
        <w:jc w:val="left"/>
        <w:rPr>
          <w:rFonts w:eastAsia="SimSun"/>
          <w:lang w:val="en-US" w:eastAsia="zh-CN"/>
        </w:rPr>
      </w:pPr>
      <w:proofErr w:type="gramStart"/>
      <w:r w:rsidRPr="008B77B5">
        <w:rPr>
          <w:rFonts w:eastAsia="SimSun"/>
          <w:i/>
          <w:lang w:val="en-US" w:eastAsia="zh-CN"/>
        </w:rPr>
        <w:t>Document</w:t>
      </w:r>
      <w:r w:rsidR="00BA4BBD" w:rsidRPr="008B77B5">
        <w:rPr>
          <w:rFonts w:eastAsia="SimSun"/>
          <w:i/>
          <w:lang w:val="en-US" w:eastAsia="zh-CN"/>
        </w:rPr>
        <w:t> </w:t>
      </w:r>
      <w:r w:rsidRPr="008B77B5">
        <w:rPr>
          <w:rFonts w:eastAsia="SimSun"/>
          <w:iCs/>
          <w:lang w:val="en-US" w:eastAsia="zh-CN"/>
        </w:rPr>
        <w:t>:</w:t>
      </w:r>
      <w:proofErr w:type="gramEnd"/>
      <w:r w:rsidRPr="008B77B5">
        <w:rPr>
          <w:rFonts w:eastAsia="SimSun"/>
          <w:i/>
          <w:lang w:val="en-US" w:eastAsia="zh-CN"/>
        </w:rPr>
        <w:tab/>
      </w:r>
      <w:r w:rsidRPr="008B77B5">
        <w:rPr>
          <w:rFonts w:eastAsia="SimSun"/>
          <w:lang w:val="en-US" w:eastAsia="zh-CN"/>
        </w:rPr>
        <w:t>ST/SG/AC</w:t>
      </w:r>
      <w:r w:rsidR="008B77B5" w:rsidRPr="008B77B5">
        <w:rPr>
          <w:rFonts w:eastAsia="SimSun"/>
          <w:lang w:val="en-US" w:eastAsia="zh-CN"/>
        </w:rPr>
        <w:t>.</w:t>
      </w:r>
      <w:r w:rsidRPr="008B77B5">
        <w:rPr>
          <w:rFonts w:eastAsia="SimSun"/>
          <w:lang w:val="en-US" w:eastAsia="zh-CN"/>
        </w:rPr>
        <w:t>10/C</w:t>
      </w:r>
      <w:r w:rsidR="008B77B5" w:rsidRPr="008B77B5">
        <w:rPr>
          <w:rFonts w:eastAsia="SimSun"/>
          <w:lang w:val="en-US" w:eastAsia="zh-CN"/>
        </w:rPr>
        <w:t>.</w:t>
      </w:r>
      <w:r w:rsidRPr="008B77B5">
        <w:rPr>
          <w:rFonts w:eastAsia="SimSun"/>
          <w:lang w:val="en-US" w:eastAsia="zh-CN"/>
        </w:rPr>
        <w:t>3/2022/36 (COSTHA, SAAMI)</w:t>
      </w:r>
    </w:p>
    <w:p w14:paraId="5D786719" w14:textId="26E620E7" w:rsidR="00564BA0" w:rsidRPr="007D6C46" w:rsidRDefault="00564BA0" w:rsidP="00DE3355">
      <w:pPr>
        <w:pStyle w:val="SingleTxtG"/>
        <w:tabs>
          <w:tab w:val="clear" w:pos="1701"/>
          <w:tab w:val="clear" w:pos="2268"/>
          <w:tab w:val="clear" w:pos="2835"/>
          <w:tab w:val="left" w:pos="3119"/>
        </w:tabs>
        <w:ind w:left="3119" w:hanging="1985"/>
        <w:jc w:val="left"/>
        <w:rPr>
          <w:rFonts w:eastAsia="SimSun"/>
          <w:i/>
          <w:lang w:eastAsia="zh-CN"/>
        </w:rPr>
      </w:pPr>
      <w:r w:rsidRPr="007D6C46">
        <w:rPr>
          <w:rFonts w:eastAsia="SimSun"/>
          <w:i/>
          <w:iCs/>
          <w:lang w:eastAsia="zh-CN"/>
        </w:rPr>
        <w:t>Document informel </w:t>
      </w:r>
      <w:r w:rsidRPr="007D6C46">
        <w:rPr>
          <w:rFonts w:eastAsia="SimSun"/>
          <w:lang w:eastAsia="zh-CN"/>
        </w:rPr>
        <w:t>:</w:t>
      </w:r>
      <w:r w:rsidRPr="007D6C46">
        <w:rPr>
          <w:rFonts w:eastAsia="SimSun"/>
          <w:lang w:eastAsia="zh-CN"/>
        </w:rPr>
        <w:tab/>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8 (Président du GTE)</w:t>
      </w:r>
    </w:p>
    <w:p w14:paraId="6F181DFE" w14:textId="56DEC832" w:rsidR="00564BA0" w:rsidRPr="007D6C46" w:rsidRDefault="00564BA0" w:rsidP="00564BA0">
      <w:pPr>
        <w:spacing w:after="120"/>
        <w:ind w:left="1134" w:right="1134"/>
        <w:jc w:val="both"/>
        <w:rPr>
          <w:rFonts w:eastAsia="SimSun"/>
          <w:lang w:eastAsia="zh-CN"/>
        </w:rPr>
      </w:pPr>
      <w:r w:rsidRPr="007D6C46">
        <w:rPr>
          <w:rFonts w:eastAsia="SimSun"/>
          <w:lang w:eastAsia="zh-CN"/>
        </w:rPr>
        <w:t>26</w:t>
      </w:r>
      <w:r w:rsidR="008B77B5" w:rsidRPr="008B77B5">
        <w:rPr>
          <w:rFonts w:eastAsia="SimSun"/>
          <w:lang w:eastAsia="zh-CN"/>
        </w:rPr>
        <w:t>.</w:t>
      </w:r>
      <w:r w:rsidRPr="007D6C46">
        <w:rPr>
          <w:rFonts w:eastAsia="SimSun"/>
          <w:lang w:eastAsia="zh-CN"/>
        </w:rPr>
        <w:tab/>
        <w:t>Le Sous-Comité a pris note de l’appui du GTE à la poursuite des travaux préliminaires du SAAMI afin d’informer les débats futurs sur la différenciation potentielle des dangers présentés par les objets actuellement classés dans la division 1</w:t>
      </w:r>
      <w:r w:rsidR="008B77B5" w:rsidRPr="008B77B5">
        <w:rPr>
          <w:rFonts w:eastAsia="SimSun"/>
          <w:lang w:eastAsia="zh-CN"/>
        </w:rPr>
        <w:t>.</w:t>
      </w:r>
      <w:r w:rsidRPr="007D6C46">
        <w:rPr>
          <w:rFonts w:eastAsia="SimSun"/>
          <w:lang w:eastAsia="zh-CN"/>
        </w:rPr>
        <w:t>4S</w:t>
      </w:r>
      <w:r w:rsidR="008B77B5" w:rsidRPr="008B77B5">
        <w:rPr>
          <w:rFonts w:eastAsia="SimSun"/>
          <w:lang w:eastAsia="zh-CN"/>
        </w:rPr>
        <w:t>.</w:t>
      </w:r>
      <w:r w:rsidRPr="007D6C46">
        <w:rPr>
          <w:rFonts w:eastAsia="SimSun"/>
          <w:lang w:eastAsia="zh-CN"/>
        </w:rPr>
        <w:t xml:space="preserve"> Cela pourrait aboutir à d’autres désignations fondées sur des critères qui restent à déterminer</w:t>
      </w:r>
      <w:r w:rsidR="008B77B5" w:rsidRPr="008B77B5">
        <w:rPr>
          <w:rFonts w:eastAsia="SimSun"/>
          <w:lang w:eastAsia="zh-CN"/>
        </w:rPr>
        <w:t>.</w:t>
      </w:r>
    </w:p>
    <w:p w14:paraId="0B439968" w14:textId="5E16AC65" w:rsidR="00564BA0" w:rsidRPr="007D6C46" w:rsidRDefault="00564BA0" w:rsidP="00564BA0">
      <w:pPr>
        <w:keepNext/>
        <w:keepLines/>
        <w:tabs>
          <w:tab w:val="right" w:pos="851"/>
        </w:tabs>
        <w:spacing w:before="240" w:after="120" w:line="240" w:lineRule="exact"/>
        <w:ind w:left="1134" w:right="1134" w:hanging="1134"/>
        <w:rPr>
          <w:rFonts w:eastAsia="SimSun"/>
          <w:b/>
          <w:lang w:eastAsia="zh-CN"/>
        </w:rPr>
      </w:pPr>
      <w:r w:rsidRPr="007D6C46">
        <w:rPr>
          <w:rFonts w:eastAsia="SimSun"/>
          <w:b/>
          <w:lang w:eastAsia="zh-CN"/>
        </w:rPr>
        <w:tab/>
        <w:t>2</w:t>
      </w:r>
      <w:r w:rsidR="008B77B5" w:rsidRPr="008B77B5">
        <w:rPr>
          <w:rFonts w:eastAsia="SimSun"/>
          <w:b/>
          <w:lang w:eastAsia="zh-CN"/>
        </w:rPr>
        <w:t>.</w:t>
      </w:r>
      <w:r w:rsidRPr="007D6C46">
        <w:rPr>
          <w:rFonts w:eastAsia="SimSun"/>
          <w:b/>
          <w:lang w:eastAsia="zh-CN"/>
        </w:rPr>
        <w:tab/>
        <w:t>Questions liées à la définition de la classe 1</w:t>
      </w:r>
    </w:p>
    <w:p w14:paraId="3B60CF46" w14:textId="09A24792" w:rsidR="00564BA0" w:rsidRPr="007D6C46" w:rsidRDefault="00564BA0" w:rsidP="00DE3355">
      <w:pPr>
        <w:pStyle w:val="SingleTxtG"/>
        <w:tabs>
          <w:tab w:val="clear" w:pos="1701"/>
          <w:tab w:val="clear" w:pos="2268"/>
          <w:tab w:val="clear" w:pos="2835"/>
          <w:tab w:val="left" w:pos="3119"/>
        </w:tabs>
        <w:ind w:left="3119" w:hanging="1985"/>
        <w:jc w:val="left"/>
        <w:rPr>
          <w:rFonts w:eastAsia="SimSun"/>
          <w:lang w:eastAsia="zh-CN"/>
        </w:rPr>
      </w:pPr>
      <w:r w:rsidRPr="007D6C46">
        <w:rPr>
          <w:rFonts w:eastAsia="SimSun"/>
          <w:i/>
          <w:iCs/>
          <w:lang w:eastAsia="zh-CN"/>
        </w:rPr>
        <w:t>Documents informels </w:t>
      </w:r>
      <w:r w:rsidRPr="006F7E02">
        <w:rPr>
          <w:rFonts w:eastAsia="SimSun"/>
          <w:lang w:eastAsia="zh-CN"/>
        </w:rPr>
        <w:t>:</w:t>
      </w:r>
      <w:r w:rsidRPr="007D6C46">
        <w:rPr>
          <w:rFonts w:eastAsia="SimSun"/>
          <w:lang w:eastAsia="zh-CN"/>
        </w:rPr>
        <w:tab/>
        <w:t>INF</w:t>
      </w:r>
      <w:r w:rsidR="008B77B5" w:rsidRPr="008B77B5">
        <w:rPr>
          <w:rFonts w:eastAsia="SimSun"/>
          <w:lang w:eastAsia="zh-CN"/>
        </w:rPr>
        <w:t>.</w:t>
      </w:r>
      <w:r w:rsidRPr="007D6C46">
        <w:rPr>
          <w:rFonts w:eastAsia="SimSun"/>
          <w:lang w:eastAsia="zh-CN"/>
        </w:rPr>
        <w:t>12 (Suède)</w:t>
      </w:r>
      <w:r w:rsidRPr="007D6C46">
        <w:rPr>
          <w:rFonts w:eastAsia="SimSun"/>
          <w:lang w:eastAsia="zh-CN"/>
        </w:rPr>
        <w:br/>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9 (Président du GTE)</w:t>
      </w:r>
    </w:p>
    <w:p w14:paraId="0BFC7584" w14:textId="15502C5A" w:rsidR="00564BA0" w:rsidRPr="007D6C46" w:rsidRDefault="00564BA0" w:rsidP="00564BA0">
      <w:pPr>
        <w:spacing w:after="120"/>
        <w:ind w:left="1134" w:right="1134"/>
        <w:jc w:val="both"/>
        <w:rPr>
          <w:rFonts w:eastAsia="SimSun"/>
          <w:bCs/>
          <w:lang w:eastAsia="zh-CN"/>
        </w:rPr>
      </w:pPr>
      <w:r w:rsidRPr="007D6C46">
        <w:rPr>
          <w:rFonts w:eastAsia="SimSun"/>
          <w:lang w:eastAsia="zh-CN"/>
        </w:rPr>
        <w:t>27</w:t>
      </w:r>
      <w:r w:rsidR="008B77B5" w:rsidRPr="008B77B5">
        <w:rPr>
          <w:rFonts w:eastAsia="SimSun"/>
          <w:lang w:eastAsia="zh-CN"/>
        </w:rPr>
        <w:t>.</w:t>
      </w:r>
      <w:r w:rsidRPr="007D6C46">
        <w:rPr>
          <w:rFonts w:eastAsia="SimSun"/>
          <w:lang w:eastAsia="zh-CN"/>
        </w:rPr>
        <w:tab/>
        <w:t>Le Sous-Comité a pris note des résultats du GTE concernant les incohérences et la nécessité d’élaborer des explications et des orientations dans le Règlement type</w:t>
      </w:r>
      <w:r w:rsidR="008B77B5" w:rsidRPr="008B77B5">
        <w:rPr>
          <w:rFonts w:eastAsia="SimSun"/>
          <w:lang w:eastAsia="zh-CN"/>
        </w:rPr>
        <w:t>.</w:t>
      </w:r>
      <w:r w:rsidRPr="007D6C46">
        <w:rPr>
          <w:rFonts w:eastAsia="SimSun"/>
          <w:lang w:eastAsia="zh-CN"/>
        </w:rPr>
        <w:t xml:space="preserve"> En ce qui concernait la proposition d’amendement aux définitions de la classe</w:t>
      </w:r>
      <w:r w:rsidR="006F7E02">
        <w:rPr>
          <w:rFonts w:eastAsia="SimSun"/>
          <w:lang w:eastAsia="zh-CN"/>
        </w:rPr>
        <w:t> </w:t>
      </w:r>
      <w:r w:rsidRPr="007D6C46">
        <w:rPr>
          <w:rFonts w:eastAsia="SimSun"/>
          <w:lang w:eastAsia="zh-CN"/>
        </w:rPr>
        <w:t>1 (amendement 3 du document informel INF</w:t>
      </w:r>
      <w:r w:rsidR="008B77B5" w:rsidRPr="008B77B5">
        <w:rPr>
          <w:rFonts w:eastAsia="SimSun"/>
          <w:lang w:eastAsia="zh-CN"/>
        </w:rPr>
        <w:t>.</w:t>
      </w:r>
      <w:r w:rsidRPr="007D6C46">
        <w:rPr>
          <w:rFonts w:eastAsia="SimSun"/>
          <w:lang w:eastAsia="zh-CN"/>
        </w:rPr>
        <w:t>44), le Sous-Comité a noté que le GTE avait approuvé la proposition moyennant quelques modifications supplémentaires (voir par</w:t>
      </w:r>
      <w:r w:rsidR="008B77B5" w:rsidRPr="008B77B5">
        <w:rPr>
          <w:rFonts w:eastAsia="SimSun"/>
          <w:lang w:eastAsia="zh-CN"/>
        </w:rPr>
        <w:t>.</w:t>
      </w:r>
      <w:r w:rsidRPr="007D6C46">
        <w:rPr>
          <w:rFonts w:eastAsia="SimSun"/>
          <w:lang w:eastAsia="zh-CN"/>
        </w:rPr>
        <w:t> 9 du document informel INF</w:t>
      </w:r>
      <w:r w:rsidR="008B77B5" w:rsidRPr="008B77B5">
        <w:rPr>
          <w:rFonts w:eastAsia="SimSun"/>
          <w:lang w:eastAsia="zh-CN"/>
        </w:rPr>
        <w:t>.</w:t>
      </w:r>
      <w:r w:rsidRPr="007D6C46">
        <w:rPr>
          <w:rFonts w:eastAsia="SimSun"/>
          <w:lang w:eastAsia="zh-CN"/>
        </w:rPr>
        <w:t>44)</w:t>
      </w:r>
      <w:r w:rsidR="008B77B5" w:rsidRPr="008B77B5">
        <w:rPr>
          <w:rFonts w:eastAsia="SimSun"/>
          <w:lang w:eastAsia="zh-CN"/>
        </w:rPr>
        <w:t>.</w:t>
      </w:r>
      <w:r w:rsidRPr="007D6C46">
        <w:rPr>
          <w:rFonts w:eastAsia="SimSun"/>
          <w:lang w:eastAsia="zh-CN"/>
        </w:rPr>
        <w:t xml:space="preserve"> Toutefois, notant que les textes modifiés figuraient également dans le chapitre 2</w:t>
      </w:r>
      <w:r w:rsidR="008B77B5" w:rsidRPr="008B77B5">
        <w:rPr>
          <w:rFonts w:eastAsia="SimSun"/>
          <w:lang w:eastAsia="zh-CN"/>
        </w:rPr>
        <w:t>.</w:t>
      </w:r>
      <w:r w:rsidRPr="007D6C46">
        <w:rPr>
          <w:rFonts w:eastAsia="SimSun"/>
          <w:lang w:eastAsia="zh-CN"/>
        </w:rPr>
        <w:t>1 du SGH, le Sous-Comité a invité l’expert de la Suède à soumettre la proposition (y compris les amendements consécutifs au SGH, le cas échéant) pour examen par les sous-comités TMD et SGH à leur session suivante (voir également le rapport ST/SG/AC</w:t>
      </w:r>
      <w:r w:rsidR="008B77B5" w:rsidRPr="008B77B5">
        <w:rPr>
          <w:rFonts w:eastAsia="SimSun"/>
          <w:lang w:eastAsia="zh-CN"/>
        </w:rPr>
        <w:t>.</w:t>
      </w:r>
      <w:r w:rsidRPr="007D6C46">
        <w:rPr>
          <w:rFonts w:eastAsia="SimSun"/>
          <w:lang w:eastAsia="zh-CN"/>
        </w:rPr>
        <w:t>10/C</w:t>
      </w:r>
      <w:r w:rsidR="008B77B5" w:rsidRPr="008B77B5">
        <w:rPr>
          <w:rFonts w:eastAsia="SimSun"/>
          <w:lang w:eastAsia="zh-CN"/>
        </w:rPr>
        <w:t>.</w:t>
      </w:r>
      <w:r w:rsidRPr="007D6C46">
        <w:rPr>
          <w:rFonts w:eastAsia="SimSun"/>
          <w:lang w:eastAsia="zh-CN"/>
        </w:rPr>
        <w:t>4/84, par</w:t>
      </w:r>
      <w:r w:rsidR="008B77B5" w:rsidRPr="008B77B5">
        <w:rPr>
          <w:rFonts w:eastAsia="SimSun"/>
          <w:lang w:eastAsia="zh-CN"/>
        </w:rPr>
        <w:t>.</w:t>
      </w:r>
      <w:r w:rsidRPr="007D6C46">
        <w:rPr>
          <w:rFonts w:eastAsia="SimSun"/>
          <w:lang w:eastAsia="zh-CN"/>
        </w:rPr>
        <w:t> 18 et 19)</w:t>
      </w:r>
      <w:r w:rsidR="008B77B5" w:rsidRPr="008B77B5">
        <w:rPr>
          <w:rFonts w:eastAsia="SimSun"/>
          <w:lang w:eastAsia="zh-CN"/>
        </w:rPr>
        <w:t>.</w:t>
      </w:r>
    </w:p>
    <w:p w14:paraId="6F350E8F" w14:textId="1A2AA2DF" w:rsidR="00564BA0" w:rsidRPr="007D6C46" w:rsidRDefault="00564BA0" w:rsidP="00564BA0">
      <w:pPr>
        <w:pStyle w:val="H1G"/>
        <w:spacing w:before="240"/>
        <w:ind w:right="1558"/>
        <w:rPr>
          <w:b w:val="0"/>
        </w:rPr>
      </w:pPr>
      <w:r w:rsidRPr="007D6C46">
        <w:tab/>
        <w:t>H</w:t>
      </w:r>
      <w:r w:rsidR="008B77B5" w:rsidRPr="008B77B5">
        <w:t>.</w:t>
      </w:r>
      <w:r w:rsidRPr="007D6C46">
        <w:tab/>
      </w:r>
      <w:r w:rsidRPr="007D6C46">
        <w:rPr>
          <w:bCs/>
        </w:rPr>
        <w:t xml:space="preserve">Examen des </w:t>
      </w:r>
      <w:r w:rsidRPr="007D6C46">
        <w:t>prescriptions</w:t>
      </w:r>
      <w:r w:rsidRPr="007D6C46">
        <w:rPr>
          <w:bCs/>
        </w:rPr>
        <w:t xml:space="preserve"> en </w:t>
      </w:r>
      <w:r w:rsidRPr="007D6C46">
        <w:t>matière</w:t>
      </w:r>
      <w:r w:rsidRPr="007D6C46">
        <w:rPr>
          <w:bCs/>
        </w:rPr>
        <w:t xml:space="preserve"> d’emballage et de transport pour les émulsions de nitrate d’ammonium</w:t>
      </w:r>
    </w:p>
    <w:p w14:paraId="617C7A56" w14:textId="41EE5771" w:rsidR="00564BA0" w:rsidRPr="007D6C46" w:rsidRDefault="00564BA0" w:rsidP="00564BA0">
      <w:pPr>
        <w:pStyle w:val="SingleTxtG"/>
      </w:pPr>
      <w:r w:rsidRPr="007D6C46">
        <w:t>28</w:t>
      </w:r>
      <w:r w:rsidR="008B77B5" w:rsidRPr="008B77B5">
        <w:t>.</w:t>
      </w:r>
      <w:r w:rsidRPr="007D6C46">
        <w:tab/>
        <w:t>Aucun document n’ayant été soumis au titre de ce point de l’ordre du jour, la question n’a pas été abordée</w:t>
      </w:r>
      <w:r w:rsidR="008B77B5" w:rsidRPr="008B77B5">
        <w:t>.</w:t>
      </w:r>
    </w:p>
    <w:p w14:paraId="7F6E0EC7" w14:textId="054473EC" w:rsidR="00564BA0" w:rsidRPr="007D6C46" w:rsidRDefault="00564BA0" w:rsidP="00564BA0">
      <w:pPr>
        <w:pStyle w:val="H1G"/>
        <w:spacing w:before="240"/>
        <w:rPr>
          <w:b w:val="0"/>
        </w:rPr>
      </w:pPr>
      <w:r w:rsidRPr="007D6C46">
        <w:tab/>
        <w:t>I</w:t>
      </w:r>
      <w:r w:rsidR="008B77B5" w:rsidRPr="008B77B5">
        <w:t>.</w:t>
      </w:r>
      <w:r w:rsidRPr="007D6C46">
        <w:tab/>
      </w:r>
      <w:r w:rsidRPr="007D6C46">
        <w:rPr>
          <w:bCs/>
        </w:rPr>
        <w:t xml:space="preserve">Autres questions </w:t>
      </w:r>
    </w:p>
    <w:p w14:paraId="3C39EAD2" w14:textId="183D4FB4" w:rsidR="00564BA0" w:rsidRPr="007D6C46" w:rsidRDefault="00564BA0" w:rsidP="00564BA0">
      <w:pPr>
        <w:tabs>
          <w:tab w:val="right" w:pos="851"/>
        </w:tabs>
        <w:spacing w:before="240" w:after="120" w:line="220" w:lineRule="exact"/>
        <w:ind w:left="1134" w:right="1134" w:hanging="1134"/>
        <w:rPr>
          <w:rFonts w:eastAsia="SimSun"/>
          <w:b/>
          <w:lang w:eastAsia="zh-CN"/>
        </w:rPr>
      </w:pPr>
      <w:r w:rsidRPr="007D6C46">
        <w:rPr>
          <w:rFonts w:eastAsia="SimSun"/>
          <w:b/>
          <w:lang w:eastAsia="zh-CN"/>
        </w:rPr>
        <w:tab/>
        <w:t>1</w:t>
      </w:r>
      <w:r w:rsidR="008B77B5" w:rsidRPr="008B77B5">
        <w:rPr>
          <w:rFonts w:eastAsia="SimSun"/>
          <w:b/>
          <w:lang w:eastAsia="zh-CN"/>
        </w:rPr>
        <w:t>.</w:t>
      </w:r>
      <w:r w:rsidRPr="007D6C46">
        <w:rPr>
          <w:rFonts w:eastAsia="SimSun"/>
          <w:b/>
          <w:lang w:eastAsia="zh-CN"/>
        </w:rPr>
        <w:tab/>
        <w:t>Ajout d’une nouvelle rubrique pour le 5-trifluorométhyltétrazole, sel de sodium (TFMT-Na) dans l’acétone, comme matière explosible désensibilisée, dans la liste des marchandises dangereuses du Règlement type</w:t>
      </w:r>
    </w:p>
    <w:p w14:paraId="14F23DF4" w14:textId="14A66947" w:rsidR="00564BA0" w:rsidRPr="007D6C46" w:rsidRDefault="00564BA0" w:rsidP="00DE3355">
      <w:pPr>
        <w:pStyle w:val="SingleTxtG"/>
        <w:tabs>
          <w:tab w:val="clear" w:pos="1701"/>
          <w:tab w:val="clear" w:pos="2268"/>
          <w:tab w:val="clear" w:pos="2835"/>
          <w:tab w:val="left" w:pos="3119"/>
        </w:tabs>
        <w:ind w:left="3119" w:hanging="1985"/>
        <w:jc w:val="left"/>
        <w:rPr>
          <w:rFonts w:eastAsia="SimSun"/>
          <w:i/>
          <w:lang w:eastAsia="zh-CN"/>
        </w:rPr>
      </w:pPr>
      <w:r w:rsidRPr="007D6C46">
        <w:rPr>
          <w:rFonts w:eastAsia="SimSun"/>
          <w:i/>
          <w:lang w:eastAsia="zh-CN"/>
        </w:rPr>
        <w:t>Document</w:t>
      </w:r>
      <w:r w:rsidR="00BA4BBD" w:rsidRPr="007D6C46">
        <w:rPr>
          <w:rFonts w:eastAsia="SimSun"/>
          <w:i/>
          <w:lang w:eastAsia="zh-CN"/>
        </w:rPr>
        <w:t> </w:t>
      </w:r>
      <w:r w:rsidRPr="007D6C46">
        <w:rPr>
          <w:rFonts w:eastAsia="SimSun"/>
          <w:iCs/>
          <w:lang w:eastAsia="zh-CN"/>
        </w:rPr>
        <w:t>:</w:t>
      </w:r>
      <w:r w:rsidRPr="007D6C46">
        <w:rPr>
          <w:rFonts w:eastAsia="SimSun"/>
          <w:i/>
          <w:lang w:eastAsia="zh-CN"/>
        </w:rPr>
        <w:tab/>
      </w:r>
      <w:r w:rsidRPr="007D6C46">
        <w:rPr>
          <w:rFonts w:eastAsia="SimSun"/>
          <w:lang w:eastAsia="zh-CN"/>
        </w:rPr>
        <w:t>ST/SG/AC</w:t>
      </w:r>
      <w:r w:rsidR="008B77B5" w:rsidRPr="008B77B5">
        <w:rPr>
          <w:rFonts w:eastAsia="SimSun"/>
          <w:lang w:eastAsia="zh-CN"/>
        </w:rPr>
        <w:t>.</w:t>
      </w:r>
      <w:r w:rsidRPr="007D6C46">
        <w:rPr>
          <w:rFonts w:eastAsia="SimSun"/>
          <w:lang w:eastAsia="zh-CN"/>
        </w:rPr>
        <w:t>10/C</w:t>
      </w:r>
      <w:r w:rsidR="008B77B5" w:rsidRPr="008B77B5">
        <w:rPr>
          <w:rFonts w:eastAsia="SimSun"/>
          <w:lang w:eastAsia="zh-CN"/>
        </w:rPr>
        <w:t>.</w:t>
      </w:r>
      <w:r w:rsidRPr="007D6C46">
        <w:rPr>
          <w:rFonts w:eastAsia="SimSun"/>
          <w:lang w:eastAsia="zh-CN"/>
        </w:rPr>
        <w:t>3/2022/9 (CEFIC)</w:t>
      </w:r>
    </w:p>
    <w:p w14:paraId="2C3F6DF1" w14:textId="52C157B9" w:rsidR="00564BA0" w:rsidRPr="007D6C46" w:rsidRDefault="00564BA0" w:rsidP="00DE3355">
      <w:pPr>
        <w:pStyle w:val="SingleTxtG"/>
        <w:tabs>
          <w:tab w:val="clear" w:pos="1701"/>
          <w:tab w:val="clear" w:pos="2268"/>
          <w:tab w:val="clear" w:pos="2835"/>
          <w:tab w:val="left" w:pos="3119"/>
        </w:tabs>
        <w:ind w:left="3119" w:hanging="1985"/>
        <w:jc w:val="left"/>
        <w:rPr>
          <w:rFonts w:eastAsia="SimSun"/>
          <w:lang w:eastAsia="zh-CN"/>
        </w:rPr>
      </w:pPr>
      <w:r w:rsidRPr="007D6C46">
        <w:rPr>
          <w:rFonts w:eastAsia="SimSun"/>
          <w:i/>
          <w:iCs/>
          <w:lang w:eastAsia="zh-CN"/>
        </w:rPr>
        <w:t>Documents informels </w:t>
      </w:r>
      <w:r w:rsidRPr="007D6C46">
        <w:rPr>
          <w:rFonts w:eastAsia="SimSun"/>
          <w:lang w:eastAsia="zh-CN"/>
        </w:rPr>
        <w:t>:</w:t>
      </w:r>
      <w:r w:rsidRPr="007D6C46">
        <w:rPr>
          <w:rFonts w:eastAsia="SimSun"/>
          <w:lang w:eastAsia="zh-CN"/>
        </w:rPr>
        <w:tab/>
        <w:t>INF</w:t>
      </w:r>
      <w:r w:rsidR="008B77B5" w:rsidRPr="008B77B5">
        <w:rPr>
          <w:rFonts w:eastAsia="SimSun"/>
          <w:lang w:eastAsia="zh-CN"/>
        </w:rPr>
        <w:t>.</w:t>
      </w:r>
      <w:r w:rsidRPr="007D6C46">
        <w:rPr>
          <w:rFonts w:eastAsia="SimSun"/>
          <w:lang w:eastAsia="zh-CN"/>
        </w:rPr>
        <w:t>8 (CEFIC)</w:t>
      </w:r>
      <w:r w:rsidRPr="007D6C46">
        <w:rPr>
          <w:rFonts w:eastAsia="SimSun"/>
          <w:lang w:eastAsia="zh-CN"/>
        </w:rPr>
        <w:br/>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10 (Président du GTE)</w:t>
      </w:r>
    </w:p>
    <w:p w14:paraId="18698827" w14:textId="6A4474D2" w:rsidR="00564BA0" w:rsidRPr="007D6C46" w:rsidRDefault="00564BA0" w:rsidP="00564BA0">
      <w:pPr>
        <w:spacing w:after="120"/>
        <w:ind w:left="1134" w:right="1134"/>
        <w:jc w:val="both"/>
        <w:rPr>
          <w:rFonts w:eastAsia="SimSun"/>
          <w:lang w:eastAsia="zh-CN"/>
        </w:rPr>
      </w:pPr>
      <w:r w:rsidRPr="007D6C46">
        <w:rPr>
          <w:rFonts w:eastAsia="SimSun"/>
          <w:lang w:eastAsia="zh-CN"/>
        </w:rPr>
        <w:t>29</w:t>
      </w:r>
      <w:r w:rsidR="008B77B5" w:rsidRPr="008B77B5">
        <w:rPr>
          <w:rFonts w:eastAsia="SimSun"/>
          <w:lang w:eastAsia="zh-CN"/>
        </w:rPr>
        <w:t>.</w:t>
      </w:r>
      <w:r w:rsidRPr="007D6C46">
        <w:rPr>
          <w:rFonts w:eastAsia="SimSun"/>
          <w:lang w:eastAsia="zh-CN"/>
        </w:rPr>
        <w:tab/>
        <w:t>Le Sous-Comité a approuvé la recommandation du GTE et a adopté l’amendement 1 proposé à l’annexe 2 du document informel INF</w:t>
      </w:r>
      <w:r w:rsidR="008B77B5" w:rsidRPr="008B77B5">
        <w:rPr>
          <w:rFonts w:eastAsia="SimSun"/>
          <w:lang w:eastAsia="zh-CN"/>
        </w:rPr>
        <w:t>.</w:t>
      </w:r>
      <w:r w:rsidRPr="007D6C46">
        <w:rPr>
          <w:rFonts w:eastAsia="SimSun"/>
          <w:lang w:eastAsia="zh-CN"/>
        </w:rPr>
        <w:t xml:space="preserve">44, qui figurerait dans la liste récapitulative des projets d’amendement adoptés aux cinquante-huitième, </w:t>
      </w:r>
      <w:proofErr w:type="gramStart"/>
      <w:r w:rsidRPr="007D6C46">
        <w:rPr>
          <w:rFonts w:eastAsia="SimSun"/>
          <w:lang w:eastAsia="zh-CN"/>
        </w:rPr>
        <w:t>cinquante-neuvième et soixantième sessions</w:t>
      </w:r>
      <w:proofErr w:type="gramEnd"/>
      <w:r w:rsidRPr="007D6C46">
        <w:rPr>
          <w:rFonts w:eastAsia="SimSun"/>
          <w:lang w:eastAsia="zh-CN"/>
        </w:rPr>
        <w:t>, pour confirmation par le Sous-Comité en décembre 2022 (voir annexe I)</w:t>
      </w:r>
      <w:r w:rsidR="008B77B5" w:rsidRPr="008B77B5">
        <w:rPr>
          <w:rFonts w:eastAsia="SimSun"/>
          <w:lang w:eastAsia="zh-CN"/>
        </w:rPr>
        <w:t>.</w:t>
      </w:r>
    </w:p>
    <w:p w14:paraId="2398EC3A" w14:textId="3A02FEBB" w:rsidR="00564BA0" w:rsidRPr="007D6C46" w:rsidRDefault="00564BA0" w:rsidP="00564BA0">
      <w:pPr>
        <w:spacing w:after="120"/>
        <w:ind w:left="1134" w:right="1134"/>
        <w:jc w:val="both"/>
        <w:rPr>
          <w:rFonts w:eastAsia="SimSun"/>
          <w:lang w:eastAsia="zh-CN"/>
        </w:rPr>
      </w:pPr>
      <w:r w:rsidRPr="007D6C46">
        <w:rPr>
          <w:rFonts w:eastAsia="SimSun"/>
          <w:lang w:eastAsia="zh-CN"/>
        </w:rPr>
        <w:t>30</w:t>
      </w:r>
      <w:r w:rsidR="008B77B5" w:rsidRPr="008B77B5">
        <w:rPr>
          <w:rFonts w:eastAsia="SimSun"/>
          <w:lang w:eastAsia="zh-CN"/>
        </w:rPr>
        <w:t>.</w:t>
      </w:r>
      <w:r w:rsidRPr="007D6C46">
        <w:rPr>
          <w:rFonts w:eastAsia="SimSun"/>
          <w:lang w:eastAsia="zh-CN"/>
        </w:rPr>
        <w:tab/>
        <w:t>Le Sous-Comité a pris note de la poursuite des débats au sein du GTE sur la question de savoir si d’autres rubriques d’explosifs désensibilisés liquides de la classe 3 pouvaient être harmonisées en ce qui concernait la disposition spéciale SP28</w:t>
      </w:r>
      <w:r w:rsidR="008B77B5" w:rsidRPr="008B77B5">
        <w:rPr>
          <w:rFonts w:eastAsia="SimSun"/>
          <w:lang w:eastAsia="zh-CN"/>
        </w:rPr>
        <w:t>.</w:t>
      </w:r>
      <w:r w:rsidRPr="007D6C46">
        <w:rPr>
          <w:rFonts w:eastAsia="SimSun"/>
          <w:lang w:eastAsia="zh-CN"/>
        </w:rPr>
        <w:t xml:space="preserve"> Le représentant du CEFIC élaborerait une proposition pour examen à la session suivante</w:t>
      </w:r>
      <w:r w:rsidR="008B77B5" w:rsidRPr="008B77B5">
        <w:rPr>
          <w:rFonts w:eastAsia="SimSun"/>
          <w:lang w:eastAsia="zh-CN"/>
        </w:rPr>
        <w:t>.</w:t>
      </w:r>
    </w:p>
    <w:p w14:paraId="3CAB3F6B" w14:textId="4FC5FA0A" w:rsidR="00564BA0" w:rsidRPr="007D6C46" w:rsidRDefault="00DE3355" w:rsidP="00E23006">
      <w:pPr>
        <w:pStyle w:val="H23G"/>
        <w:rPr>
          <w:lang w:eastAsia="zh-CN"/>
        </w:rPr>
      </w:pPr>
      <w:r>
        <w:rPr>
          <w:lang w:eastAsia="zh-CN"/>
        </w:rPr>
        <w:tab/>
      </w:r>
      <w:r w:rsidR="00564BA0" w:rsidRPr="007D6C46">
        <w:rPr>
          <w:lang w:eastAsia="zh-CN"/>
        </w:rPr>
        <w:t>2</w:t>
      </w:r>
      <w:r w:rsidR="008B77B5" w:rsidRPr="008B77B5">
        <w:rPr>
          <w:lang w:eastAsia="zh-CN"/>
        </w:rPr>
        <w:t>.</w:t>
      </w:r>
      <w:r w:rsidR="00564BA0" w:rsidRPr="007D6C46">
        <w:rPr>
          <w:lang w:eastAsia="zh-CN"/>
        </w:rPr>
        <w:tab/>
        <w:t>Classement des membranes filtrantes en nitrocellulose servant à des fins de diagnostic et d’autres applications en sciences de la vie</w:t>
      </w:r>
    </w:p>
    <w:p w14:paraId="10ACB741" w14:textId="6B4DC34D" w:rsidR="00564BA0" w:rsidRPr="007D6C46" w:rsidRDefault="00564BA0" w:rsidP="00E23006">
      <w:pPr>
        <w:pStyle w:val="SingleTxtG"/>
        <w:keepNext/>
        <w:tabs>
          <w:tab w:val="clear" w:pos="1701"/>
          <w:tab w:val="clear" w:pos="2268"/>
          <w:tab w:val="clear" w:pos="2835"/>
          <w:tab w:val="left" w:pos="3119"/>
        </w:tabs>
        <w:ind w:left="3119" w:hanging="1985"/>
        <w:jc w:val="left"/>
        <w:rPr>
          <w:rFonts w:eastAsia="SimSun"/>
          <w:i/>
          <w:lang w:eastAsia="zh-CN"/>
        </w:rPr>
      </w:pPr>
      <w:r w:rsidRPr="007D6C46">
        <w:rPr>
          <w:rFonts w:eastAsia="SimSun"/>
          <w:i/>
          <w:lang w:eastAsia="zh-CN"/>
        </w:rPr>
        <w:t>Document</w:t>
      </w:r>
      <w:r w:rsidR="00BA4BBD" w:rsidRPr="007D6C46">
        <w:rPr>
          <w:rFonts w:eastAsia="SimSun"/>
          <w:i/>
          <w:lang w:eastAsia="zh-CN"/>
        </w:rPr>
        <w:t xml:space="preserve"> </w:t>
      </w:r>
      <w:r w:rsidRPr="007D6C46">
        <w:rPr>
          <w:rFonts w:eastAsia="SimSun"/>
          <w:iCs/>
          <w:lang w:eastAsia="zh-CN"/>
        </w:rPr>
        <w:t>:</w:t>
      </w:r>
      <w:r w:rsidRPr="007D6C46">
        <w:rPr>
          <w:rFonts w:eastAsia="SimSun"/>
          <w:i/>
          <w:lang w:eastAsia="zh-CN"/>
        </w:rPr>
        <w:tab/>
      </w:r>
      <w:r w:rsidRPr="007D6C46">
        <w:rPr>
          <w:rFonts w:eastAsia="SimSun"/>
          <w:lang w:eastAsia="zh-CN"/>
        </w:rPr>
        <w:t>ST/SG/AC</w:t>
      </w:r>
      <w:r w:rsidR="008B77B5" w:rsidRPr="008B77B5">
        <w:rPr>
          <w:rFonts w:eastAsia="SimSun"/>
          <w:lang w:eastAsia="zh-CN"/>
        </w:rPr>
        <w:t>.</w:t>
      </w:r>
      <w:r w:rsidRPr="007D6C46">
        <w:rPr>
          <w:rFonts w:eastAsia="SimSun"/>
          <w:lang w:eastAsia="zh-CN"/>
        </w:rPr>
        <w:t>10/C</w:t>
      </w:r>
      <w:r w:rsidR="008B77B5" w:rsidRPr="008B77B5">
        <w:rPr>
          <w:rFonts w:eastAsia="SimSun"/>
          <w:lang w:eastAsia="zh-CN"/>
        </w:rPr>
        <w:t>.</w:t>
      </w:r>
      <w:r w:rsidRPr="007D6C46">
        <w:rPr>
          <w:rFonts w:eastAsia="SimSun"/>
          <w:lang w:eastAsia="zh-CN"/>
        </w:rPr>
        <w:t>3/2022/10 (CEFIC)</w:t>
      </w:r>
    </w:p>
    <w:p w14:paraId="4CFEE1C0" w14:textId="1E0D4094" w:rsidR="00564BA0" w:rsidRPr="007D6C46" w:rsidRDefault="00564BA0" w:rsidP="00DE3355">
      <w:pPr>
        <w:pStyle w:val="SingleTxtG"/>
        <w:tabs>
          <w:tab w:val="clear" w:pos="1701"/>
          <w:tab w:val="clear" w:pos="2268"/>
          <w:tab w:val="clear" w:pos="2835"/>
          <w:tab w:val="left" w:pos="3119"/>
        </w:tabs>
        <w:ind w:left="3119" w:hanging="1985"/>
        <w:jc w:val="left"/>
        <w:rPr>
          <w:rFonts w:eastAsia="SimSun"/>
          <w:lang w:eastAsia="zh-CN"/>
        </w:rPr>
      </w:pPr>
      <w:r w:rsidRPr="007D6C46">
        <w:rPr>
          <w:rFonts w:eastAsia="SimSun"/>
          <w:i/>
          <w:iCs/>
          <w:lang w:eastAsia="zh-CN"/>
        </w:rPr>
        <w:t>Documents informels </w:t>
      </w:r>
      <w:r w:rsidRPr="007D6C46">
        <w:rPr>
          <w:rFonts w:eastAsia="SimSun"/>
          <w:lang w:eastAsia="zh-CN"/>
        </w:rPr>
        <w:t>:</w:t>
      </w:r>
      <w:r w:rsidRPr="007D6C46">
        <w:rPr>
          <w:rFonts w:eastAsia="SimSun"/>
          <w:lang w:eastAsia="zh-CN"/>
        </w:rPr>
        <w:tab/>
        <w:t>INF</w:t>
      </w:r>
      <w:r w:rsidR="008B77B5" w:rsidRPr="008B77B5">
        <w:rPr>
          <w:rFonts w:eastAsia="SimSun"/>
          <w:lang w:eastAsia="zh-CN"/>
        </w:rPr>
        <w:t>.</w:t>
      </w:r>
      <w:r w:rsidRPr="007D6C46">
        <w:rPr>
          <w:rFonts w:eastAsia="SimSun"/>
          <w:lang w:eastAsia="zh-CN"/>
        </w:rPr>
        <w:t xml:space="preserve">16 (CEFIC, Association mondiale des fabricants </w:t>
      </w:r>
      <w:r w:rsidRPr="007D6C46">
        <w:rPr>
          <w:rFonts w:eastAsia="SimSun"/>
          <w:lang w:eastAsia="zh-CN"/>
        </w:rPr>
        <w:br/>
        <w:t>de nitrocellulose)</w:t>
      </w:r>
      <w:r w:rsidRPr="007D6C46">
        <w:rPr>
          <w:rFonts w:eastAsia="SimSun"/>
          <w:lang w:eastAsia="zh-CN"/>
        </w:rPr>
        <w:br/>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11 (Président du GTE)</w:t>
      </w:r>
    </w:p>
    <w:p w14:paraId="692751DF" w14:textId="3EE436F7" w:rsidR="00564BA0" w:rsidRPr="007D6C46" w:rsidRDefault="00564BA0" w:rsidP="00564BA0">
      <w:pPr>
        <w:spacing w:after="120"/>
        <w:ind w:left="1134" w:right="1134"/>
        <w:jc w:val="both"/>
        <w:rPr>
          <w:rFonts w:eastAsia="SimSun"/>
          <w:lang w:eastAsia="zh-CN"/>
        </w:rPr>
      </w:pPr>
      <w:r w:rsidRPr="007D6C46">
        <w:rPr>
          <w:rFonts w:eastAsia="SimSun"/>
          <w:lang w:eastAsia="zh-CN"/>
        </w:rPr>
        <w:t>31</w:t>
      </w:r>
      <w:r w:rsidR="008B77B5" w:rsidRPr="008B77B5">
        <w:rPr>
          <w:rFonts w:eastAsia="SimSun"/>
          <w:lang w:eastAsia="zh-CN"/>
        </w:rPr>
        <w:t>.</w:t>
      </w:r>
      <w:r w:rsidRPr="007D6C46">
        <w:rPr>
          <w:rFonts w:eastAsia="SimSun"/>
          <w:lang w:eastAsia="zh-CN"/>
        </w:rPr>
        <w:tab/>
        <w:t>Le Sous-Comité a noté que le GTE avait recommandé d’accepter l’amendement 2 proposé à l’annexe 2 du document informel INF</w:t>
      </w:r>
      <w:r w:rsidR="008B77B5" w:rsidRPr="008B77B5">
        <w:rPr>
          <w:rFonts w:eastAsia="SimSun"/>
          <w:lang w:eastAsia="zh-CN"/>
        </w:rPr>
        <w:t>.</w:t>
      </w:r>
      <w:r w:rsidRPr="007D6C46">
        <w:rPr>
          <w:rFonts w:eastAsia="SimSun"/>
          <w:lang w:eastAsia="zh-CN"/>
        </w:rPr>
        <w:t>44</w:t>
      </w:r>
      <w:r w:rsidR="008B77B5" w:rsidRPr="008B77B5">
        <w:rPr>
          <w:rFonts w:eastAsia="SimSun"/>
          <w:lang w:eastAsia="zh-CN"/>
        </w:rPr>
        <w:t>.</w:t>
      </w:r>
      <w:r w:rsidRPr="007D6C46">
        <w:rPr>
          <w:rFonts w:eastAsia="SimSun"/>
          <w:lang w:eastAsia="zh-CN"/>
        </w:rPr>
        <w:t xml:space="preserve"> Il a été souligné que les filtres à membrane en nitrocellulose étaient notamment utilisés comme substrat pour les dispositifs de test rapide de la COVID-19</w:t>
      </w:r>
      <w:r w:rsidR="008B77B5" w:rsidRPr="008B77B5">
        <w:rPr>
          <w:rFonts w:eastAsia="SimSun"/>
          <w:lang w:eastAsia="zh-CN"/>
        </w:rPr>
        <w:t>.</w:t>
      </w:r>
      <w:r w:rsidRPr="007D6C46">
        <w:rPr>
          <w:rFonts w:eastAsia="SimSun"/>
          <w:lang w:eastAsia="zh-CN"/>
        </w:rPr>
        <w:t xml:space="preserve"> Le CEFIC avait accepté la limite de teneur en nitrocellulose de 53 g/m</w:t>
      </w:r>
      <w:r w:rsidRPr="007D6C46">
        <w:rPr>
          <w:rFonts w:eastAsia="SimSun"/>
          <w:vertAlign w:val="superscript"/>
          <w:lang w:eastAsia="zh-CN"/>
        </w:rPr>
        <w:t>2</w:t>
      </w:r>
      <w:r w:rsidRPr="007D6C46">
        <w:rPr>
          <w:rFonts w:eastAsia="SimSun"/>
          <w:lang w:eastAsia="zh-CN"/>
        </w:rPr>
        <w:t>, qui avait été validée par un résultat d’essai</w:t>
      </w:r>
      <w:r w:rsidR="008B77B5" w:rsidRPr="008B77B5">
        <w:rPr>
          <w:rFonts w:eastAsia="SimSun"/>
          <w:lang w:eastAsia="zh-CN"/>
        </w:rPr>
        <w:t>.</w:t>
      </w:r>
      <w:r w:rsidRPr="007D6C46">
        <w:rPr>
          <w:rFonts w:eastAsia="SimSun"/>
          <w:lang w:eastAsia="zh-CN"/>
        </w:rPr>
        <w:t xml:space="preserve"> Le GTE aimerait observer le comportement du produit dans l’emballage</w:t>
      </w:r>
      <w:r w:rsidR="008B77B5" w:rsidRPr="008B77B5">
        <w:rPr>
          <w:rFonts w:eastAsia="SimSun"/>
          <w:lang w:eastAsia="zh-CN"/>
        </w:rPr>
        <w:t>.</w:t>
      </w:r>
      <w:r w:rsidRPr="007D6C46">
        <w:rPr>
          <w:rFonts w:eastAsia="SimSun"/>
          <w:lang w:eastAsia="zh-CN"/>
        </w:rPr>
        <w:t xml:space="preserve"> Des essais supplémentaires sur un seul emballage seraient effectués par le CEFIC en utilisant des configurations d’emballage intérieur soumises à un brûleur utilisé pour les coussins gonflables</w:t>
      </w:r>
      <w:r w:rsidR="008B77B5" w:rsidRPr="008B77B5">
        <w:rPr>
          <w:rFonts w:eastAsia="SimSun"/>
          <w:lang w:eastAsia="zh-CN"/>
        </w:rPr>
        <w:t>.</w:t>
      </w:r>
      <w:r w:rsidRPr="007D6C46">
        <w:rPr>
          <w:rFonts w:eastAsia="SimSun"/>
          <w:lang w:eastAsia="zh-CN"/>
        </w:rPr>
        <w:t xml:space="preserve"> Une spécification ou un libellé spécifique pour « </w:t>
      </w:r>
      <w:proofErr w:type="gramStart"/>
      <w:r w:rsidRPr="007D6C46">
        <w:rPr>
          <w:rFonts w:eastAsia="SimSun"/>
          <w:lang w:eastAsia="zh-CN"/>
        </w:rPr>
        <w:t>emballé</w:t>
      </w:r>
      <w:proofErr w:type="gramEnd"/>
      <w:r w:rsidRPr="007D6C46">
        <w:rPr>
          <w:rFonts w:eastAsia="SimSun"/>
          <w:lang w:eastAsia="zh-CN"/>
        </w:rPr>
        <w:t xml:space="preserve"> de manière étanche » seraient ajoutés à la disposition spéciale proposée</w:t>
      </w:r>
      <w:r w:rsidR="008B77B5" w:rsidRPr="008B77B5">
        <w:rPr>
          <w:rFonts w:eastAsia="SimSun"/>
          <w:lang w:eastAsia="zh-CN"/>
        </w:rPr>
        <w:t>.</w:t>
      </w:r>
    </w:p>
    <w:p w14:paraId="247CD106" w14:textId="103775FE" w:rsidR="00564BA0" w:rsidRPr="007D6C46" w:rsidRDefault="00564BA0" w:rsidP="00564BA0">
      <w:pPr>
        <w:spacing w:after="120"/>
        <w:ind w:left="1134" w:right="1134"/>
        <w:jc w:val="both"/>
        <w:rPr>
          <w:rFonts w:eastAsia="SimSun"/>
          <w:lang w:eastAsia="zh-CN"/>
        </w:rPr>
      </w:pPr>
      <w:r w:rsidRPr="007D6C46">
        <w:rPr>
          <w:rFonts w:eastAsia="SimSun"/>
          <w:lang w:eastAsia="zh-CN"/>
        </w:rPr>
        <w:t>32</w:t>
      </w:r>
      <w:r w:rsidR="008B77B5" w:rsidRPr="008B77B5">
        <w:rPr>
          <w:rFonts w:eastAsia="SimSun"/>
          <w:lang w:eastAsia="zh-CN"/>
        </w:rPr>
        <w:t>.</w:t>
      </w:r>
      <w:r w:rsidRPr="007D6C46">
        <w:rPr>
          <w:rFonts w:eastAsia="SimSun"/>
          <w:lang w:eastAsia="zh-CN"/>
        </w:rPr>
        <w:tab/>
        <w:t>À l’issue du débat, le Sous-Comité a préféré que les modifications proposées dans l’amendement 2 soient soumises à nouveau par le CEFIC sous une cote officielle pour examen à la session suivante</w:t>
      </w:r>
      <w:r w:rsidR="008B77B5" w:rsidRPr="008B77B5">
        <w:rPr>
          <w:rFonts w:eastAsia="SimSun"/>
          <w:lang w:eastAsia="zh-CN"/>
        </w:rPr>
        <w:t>.</w:t>
      </w:r>
      <w:r w:rsidRPr="007D6C46">
        <w:rPr>
          <w:rFonts w:eastAsia="SimSun"/>
          <w:lang w:eastAsia="zh-CN"/>
        </w:rPr>
        <w:t xml:space="preserve"> Le représentant du CEFIC a été invité à communiquer aux représentants la partie appropriée de la norme ISO 15105</w:t>
      </w:r>
      <w:r w:rsidR="008B77B5" w:rsidRPr="008B77B5">
        <w:rPr>
          <w:rFonts w:eastAsia="SimSun"/>
          <w:lang w:eastAsia="zh-CN"/>
        </w:rPr>
        <w:t>.</w:t>
      </w:r>
    </w:p>
    <w:p w14:paraId="636B9411" w14:textId="7C9255C4" w:rsidR="00564BA0" w:rsidRPr="007D6C46" w:rsidRDefault="00564BA0" w:rsidP="00564BA0">
      <w:pPr>
        <w:tabs>
          <w:tab w:val="right" w:pos="851"/>
        </w:tabs>
        <w:spacing w:before="240" w:after="120" w:line="220" w:lineRule="exact"/>
        <w:ind w:left="1134" w:right="1134" w:hanging="1134"/>
        <w:rPr>
          <w:rFonts w:eastAsia="SimSun"/>
          <w:b/>
          <w:lang w:eastAsia="zh-CN"/>
        </w:rPr>
      </w:pPr>
      <w:r w:rsidRPr="007D6C46">
        <w:rPr>
          <w:rFonts w:eastAsia="SimSun"/>
          <w:b/>
          <w:lang w:eastAsia="zh-CN"/>
        </w:rPr>
        <w:tab/>
        <w:t>3</w:t>
      </w:r>
      <w:r w:rsidR="008B77B5" w:rsidRPr="008B77B5">
        <w:rPr>
          <w:rFonts w:eastAsia="SimSun"/>
          <w:b/>
          <w:lang w:eastAsia="zh-CN"/>
        </w:rPr>
        <w:t>.</w:t>
      </w:r>
      <w:r w:rsidRPr="007D6C46">
        <w:rPr>
          <w:rFonts w:eastAsia="SimSun"/>
          <w:b/>
          <w:lang w:eastAsia="zh-CN"/>
        </w:rPr>
        <w:tab/>
        <w:t>Nouvelles dispositions spéciales et dispositions spéciales d’emballage applicables au No ONU 2029</w:t>
      </w:r>
    </w:p>
    <w:p w14:paraId="311C358E" w14:textId="5B681C21" w:rsidR="00564BA0" w:rsidRPr="007D6C46" w:rsidRDefault="00564BA0" w:rsidP="00DE3355">
      <w:pPr>
        <w:pStyle w:val="SingleTxtG"/>
        <w:tabs>
          <w:tab w:val="clear" w:pos="1701"/>
          <w:tab w:val="clear" w:pos="2268"/>
          <w:tab w:val="clear" w:pos="2835"/>
          <w:tab w:val="left" w:pos="3119"/>
        </w:tabs>
        <w:ind w:left="3119" w:hanging="1985"/>
        <w:jc w:val="left"/>
        <w:rPr>
          <w:rFonts w:eastAsia="SimSun"/>
          <w:lang w:eastAsia="zh-CN"/>
        </w:rPr>
      </w:pPr>
      <w:r w:rsidRPr="007D6C46">
        <w:rPr>
          <w:rFonts w:eastAsia="SimSun"/>
          <w:i/>
          <w:lang w:eastAsia="zh-CN"/>
        </w:rPr>
        <w:t>Document</w:t>
      </w:r>
      <w:r w:rsidR="00E23006">
        <w:rPr>
          <w:rFonts w:eastAsia="SimSun"/>
          <w:i/>
          <w:lang w:eastAsia="zh-CN"/>
        </w:rPr>
        <w:t> </w:t>
      </w:r>
      <w:r w:rsidRPr="00E23006">
        <w:rPr>
          <w:rFonts w:eastAsia="SimSun"/>
          <w:iCs/>
          <w:lang w:eastAsia="zh-CN"/>
        </w:rPr>
        <w:t>:</w:t>
      </w:r>
      <w:r w:rsidRPr="007D6C46">
        <w:rPr>
          <w:rFonts w:eastAsia="SimSun"/>
          <w:i/>
          <w:lang w:eastAsia="zh-CN"/>
        </w:rPr>
        <w:tab/>
      </w:r>
      <w:r w:rsidRPr="007D6C46">
        <w:rPr>
          <w:rFonts w:eastAsia="SimSun"/>
          <w:lang w:eastAsia="zh-CN"/>
        </w:rPr>
        <w:t>ST/SG/AC</w:t>
      </w:r>
      <w:r w:rsidR="008B77B5" w:rsidRPr="008B77B5">
        <w:rPr>
          <w:rFonts w:eastAsia="SimSun"/>
          <w:lang w:eastAsia="zh-CN"/>
        </w:rPr>
        <w:t>.</w:t>
      </w:r>
      <w:r w:rsidRPr="007D6C46">
        <w:rPr>
          <w:rFonts w:eastAsia="SimSun"/>
          <w:lang w:eastAsia="zh-CN"/>
        </w:rPr>
        <w:t>10/C</w:t>
      </w:r>
      <w:r w:rsidR="008B77B5" w:rsidRPr="008B77B5">
        <w:rPr>
          <w:rFonts w:eastAsia="SimSun"/>
          <w:lang w:eastAsia="zh-CN"/>
        </w:rPr>
        <w:t>.</w:t>
      </w:r>
      <w:r w:rsidRPr="007D6C46">
        <w:rPr>
          <w:rFonts w:eastAsia="SimSun"/>
          <w:lang w:eastAsia="zh-CN"/>
        </w:rPr>
        <w:t>3/2022/40 (Chine)</w:t>
      </w:r>
    </w:p>
    <w:p w14:paraId="223F5936" w14:textId="1C94C08D" w:rsidR="00564BA0" w:rsidRPr="007D6C46" w:rsidRDefault="00564BA0" w:rsidP="00DE3355">
      <w:pPr>
        <w:pStyle w:val="SingleTxtG"/>
        <w:tabs>
          <w:tab w:val="clear" w:pos="1701"/>
          <w:tab w:val="clear" w:pos="2268"/>
          <w:tab w:val="clear" w:pos="2835"/>
          <w:tab w:val="left" w:pos="3119"/>
        </w:tabs>
        <w:ind w:left="3119" w:hanging="1985"/>
        <w:jc w:val="left"/>
        <w:rPr>
          <w:rFonts w:eastAsia="SimSun"/>
          <w:lang w:eastAsia="zh-CN"/>
        </w:rPr>
      </w:pPr>
      <w:r w:rsidRPr="007D6C46">
        <w:rPr>
          <w:rFonts w:eastAsia="SimSun"/>
          <w:i/>
          <w:iCs/>
          <w:lang w:eastAsia="zh-CN"/>
        </w:rPr>
        <w:t>Document informel </w:t>
      </w:r>
      <w:r w:rsidRPr="00E23006">
        <w:rPr>
          <w:rFonts w:eastAsia="SimSun"/>
          <w:lang w:eastAsia="zh-CN"/>
        </w:rPr>
        <w:t>:</w:t>
      </w:r>
      <w:r w:rsidRPr="007D6C46">
        <w:rPr>
          <w:rFonts w:eastAsia="SimSun"/>
          <w:lang w:eastAsia="zh-CN"/>
        </w:rPr>
        <w:tab/>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12 (Président du GTE)</w:t>
      </w:r>
    </w:p>
    <w:p w14:paraId="734E312C" w14:textId="677016EB" w:rsidR="00564BA0" w:rsidRPr="007D6C46" w:rsidRDefault="00564BA0" w:rsidP="00564BA0">
      <w:pPr>
        <w:spacing w:after="120"/>
        <w:ind w:left="1134" w:right="1134"/>
        <w:jc w:val="both"/>
        <w:rPr>
          <w:rFonts w:eastAsia="SimSun"/>
          <w:lang w:eastAsia="zh-CN"/>
        </w:rPr>
      </w:pPr>
      <w:r w:rsidRPr="007D6C46">
        <w:rPr>
          <w:rFonts w:eastAsia="SimSun"/>
          <w:lang w:eastAsia="zh-CN"/>
        </w:rPr>
        <w:t>33</w:t>
      </w:r>
      <w:r w:rsidR="008B77B5" w:rsidRPr="008B77B5">
        <w:rPr>
          <w:rFonts w:eastAsia="SimSun"/>
          <w:lang w:eastAsia="zh-CN"/>
        </w:rPr>
        <w:t>.</w:t>
      </w:r>
      <w:r w:rsidRPr="007D6C46">
        <w:rPr>
          <w:rFonts w:eastAsia="SimSun"/>
          <w:lang w:eastAsia="zh-CN"/>
        </w:rPr>
        <w:tab/>
        <w:t>Le Sous-Comité a pris note de la conclusion et des observations du GTE concernant le risque d’explosion en milieu confiné et de la nécessité de modifier la disposition spéciale proposée</w:t>
      </w:r>
      <w:r w:rsidR="008B77B5" w:rsidRPr="008B77B5">
        <w:rPr>
          <w:rFonts w:eastAsia="SimSun"/>
          <w:lang w:eastAsia="zh-CN"/>
        </w:rPr>
        <w:t>.</w:t>
      </w:r>
      <w:r w:rsidRPr="007D6C46">
        <w:rPr>
          <w:rFonts w:eastAsia="SimSun"/>
          <w:lang w:eastAsia="zh-CN"/>
        </w:rPr>
        <w:t xml:space="preserve"> Le GTE a soulevé des questions sur la classification appropriée et les dispositions en matière d’emballage, et a demandé davantage de renseignements sur la toxicité et les quantités utilisées à l’échelle mondiale</w:t>
      </w:r>
      <w:r w:rsidR="008B77B5" w:rsidRPr="008B77B5">
        <w:rPr>
          <w:rFonts w:eastAsia="SimSun"/>
          <w:lang w:eastAsia="zh-CN"/>
        </w:rPr>
        <w:t>.</w:t>
      </w:r>
      <w:r w:rsidRPr="007D6C46">
        <w:rPr>
          <w:rFonts w:eastAsia="SimSun"/>
          <w:lang w:eastAsia="zh-CN"/>
        </w:rPr>
        <w:t xml:space="preserve"> Le GTE a suggéré que la Chine effectue des essais d’</w:t>
      </w:r>
      <w:proofErr w:type="spellStart"/>
      <w:r w:rsidRPr="007D6C46">
        <w:rPr>
          <w:rFonts w:eastAsia="SimSun"/>
          <w:lang w:eastAsia="zh-CN"/>
        </w:rPr>
        <w:t>autoréactivité</w:t>
      </w:r>
      <w:proofErr w:type="spellEnd"/>
      <w:r w:rsidRPr="007D6C46">
        <w:rPr>
          <w:rFonts w:eastAsia="SimSun"/>
          <w:lang w:eastAsia="zh-CN"/>
        </w:rPr>
        <w:t xml:space="preserve"> et, en fonction des résultats, envisage également la classe 1</w:t>
      </w:r>
      <w:r w:rsidR="008B77B5" w:rsidRPr="008B77B5">
        <w:rPr>
          <w:rFonts w:eastAsia="SimSun"/>
          <w:lang w:eastAsia="zh-CN"/>
        </w:rPr>
        <w:t>.</w:t>
      </w:r>
    </w:p>
    <w:p w14:paraId="19C16CE8" w14:textId="05077A77" w:rsidR="00564BA0" w:rsidRPr="007D6C46" w:rsidRDefault="00564BA0" w:rsidP="00564BA0">
      <w:pPr>
        <w:tabs>
          <w:tab w:val="right" w:pos="851"/>
        </w:tabs>
        <w:spacing w:before="240" w:after="120" w:line="220" w:lineRule="exact"/>
        <w:ind w:left="1134" w:right="1134" w:hanging="1134"/>
        <w:rPr>
          <w:rFonts w:eastAsia="SimSun"/>
          <w:b/>
          <w:lang w:eastAsia="zh-CN"/>
        </w:rPr>
      </w:pPr>
      <w:r w:rsidRPr="007D6C46">
        <w:rPr>
          <w:rFonts w:eastAsia="SimSun"/>
          <w:b/>
          <w:lang w:eastAsia="zh-CN"/>
        </w:rPr>
        <w:tab/>
        <w:t>4</w:t>
      </w:r>
      <w:r w:rsidR="008B77B5" w:rsidRPr="008B77B5">
        <w:rPr>
          <w:rFonts w:eastAsia="SimSun"/>
          <w:b/>
          <w:lang w:eastAsia="zh-CN"/>
        </w:rPr>
        <w:t>.</w:t>
      </w:r>
      <w:r w:rsidRPr="007D6C46">
        <w:rPr>
          <w:rFonts w:eastAsia="SimSun"/>
          <w:b/>
          <w:lang w:eastAsia="zh-CN"/>
        </w:rPr>
        <w:tab/>
        <w:t>Ajout d’une nouvelle rubrique pour la N-nitro-</w:t>
      </w:r>
      <w:proofErr w:type="spellStart"/>
      <w:r w:rsidRPr="007D6C46">
        <w:rPr>
          <w:rFonts w:eastAsia="SimSun"/>
          <w:b/>
          <w:lang w:eastAsia="zh-CN"/>
        </w:rPr>
        <w:t>imino</w:t>
      </w:r>
      <w:proofErr w:type="spellEnd"/>
      <w:r w:rsidRPr="007D6C46">
        <w:rPr>
          <w:rFonts w:eastAsia="SimSun"/>
          <w:b/>
          <w:lang w:eastAsia="zh-CN"/>
        </w:rPr>
        <w:t>-</w:t>
      </w:r>
      <w:proofErr w:type="spellStart"/>
      <w:r w:rsidRPr="007D6C46">
        <w:rPr>
          <w:rFonts w:eastAsia="SimSun"/>
          <w:b/>
          <w:lang w:eastAsia="zh-CN"/>
        </w:rPr>
        <w:t>imidazolidine</w:t>
      </w:r>
      <w:proofErr w:type="spellEnd"/>
    </w:p>
    <w:p w14:paraId="2C7BC6F1" w14:textId="4B58B960" w:rsidR="00564BA0" w:rsidRPr="007D6C46" w:rsidRDefault="00564BA0" w:rsidP="00DE3355">
      <w:pPr>
        <w:pStyle w:val="SingleTxtG"/>
        <w:tabs>
          <w:tab w:val="clear" w:pos="1701"/>
          <w:tab w:val="clear" w:pos="2268"/>
          <w:tab w:val="clear" w:pos="2835"/>
          <w:tab w:val="left" w:pos="3119"/>
        </w:tabs>
        <w:ind w:left="3119" w:hanging="1985"/>
        <w:jc w:val="left"/>
        <w:rPr>
          <w:rFonts w:eastAsia="SimSun"/>
          <w:lang w:eastAsia="zh-CN"/>
        </w:rPr>
      </w:pPr>
      <w:r w:rsidRPr="007D6C46">
        <w:rPr>
          <w:rFonts w:eastAsia="SimSun"/>
          <w:i/>
          <w:lang w:eastAsia="zh-CN"/>
        </w:rPr>
        <w:t>Document</w:t>
      </w:r>
      <w:r w:rsidR="00BA4BBD" w:rsidRPr="007D6C46">
        <w:rPr>
          <w:rFonts w:eastAsia="SimSun"/>
          <w:i/>
          <w:lang w:eastAsia="zh-CN"/>
        </w:rPr>
        <w:t> </w:t>
      </w:r>
      <w:r w:rsidRPr="007D6C46">
        <w:rPr>
          <w:rFonts w:eastAsia="SimSun"/>
          <w:iCs/>
          <w:lang w:eastAsia="zh-CN"/>
        </w:rPr>
        <w:t>:</w:t>
      </w:r>
      <w:r w:rsidRPr="007D6C46">
        <w:rPr>
          <w:rFonts w:eastAsia="SimSun"/>
          <w:i/>
          <w:lang w:eastAsia="zh-CN"/>
        </w:rPr>
        <w:tab/>
      </w:r>
      <w:r w:rsidRPr="007D6C46">
        <w:rPr>
          <w:rFonts w:eastAsia="SimSun"/>
          <w:lang w:eastAsia="zh-CN"/>
        </w:rPr>
        <w:t>ST/SG/AC</w:t>
      </w:r>
      <w:r w:rsidR="008B77B5" w:rsidRPr="008B77B5">
        <w:rPr>
          <w:rFonts w:eastAsia="SimSun"/>
          <w:lang w:eastAsia="zh-CN"/>
        </w:rPr>
        <w:t>.</w:t>
      </w:r>
      <w:r w:rsidRPr="007D6C46">
        <w:rPr>
          <w:rFonts w:eastAsia="SimSun"/>
          <w:lang w:eastAsia="zh-CN"/>
        </w:rPr>
        <w:t>10/C</w:t>
      </w:r>
      <w:r w:rsidR="008B77B5" w:rsidRPr="008B77B5">
        <w:rPr>
          <w:rFonts w:eastAsia="SimSun"/>
          <w:lang w:eastAsia="zh-CN"/>
        </w:rPr>
        <w:t>.</w:t>
      </w:r>
      <w:r w:rsidRPr="007D6C46">
        <w:rPr>
          <w:rFonts w:eastAsia="SimSun"/>
          <w:lang w:eastAsia="zh-CN"/>
        </w:rPr>
        <w:t>3/2022/43 (Chine)</w:t>
      </w:r>
    </w:p>
    <w:p w14:paraId="238BCA0B" w14:textId="58816007" w:rsidR="00564BA0" w:rsidRPr="007D6C46" w:rsidRDefault="00564BA0" w:rsidP="00DE3355">
      <w:pPr>
        <w:pStyle w:val="SingleTxtG"/>
        <w:tabs>
          <w:tab w:val="clear" w:pos="1701"/>
          <w:tab w:val="clear" w:pos="2268"/>
          <w:tab w:val="clear" w:pos="2835"/>
          <w:tab w:val="left" w:pos="3119"/>
        </w:tabs>
        <w:ind w:left="3119" w:hanging="1985"/>
        <w:jc w:val="left"/>
        <w:rPr>
          <w:rFonts w:eastAsia="SimSun"/>
          <w:lang w:eastAsia="zh-CN"/>
        </w:rPr>
      </w:pPr>
      <w:r w:rsidRPr="007D6C46">
        <w:rPr>
          <w:rFonts w:eastAsia="SimSun"/>
          <w:i/>
          <w:iCs/>
          <w:lang w:eastAsia="zh-CN"/>
        </w:rPr>
        <w:t>Document informel </w:t>
      </w:r>
      <w:r w:rsidRPr="007D6C46">
        <w:rPr>
          <w:rFonts w:eastAsia="SimSun"/>
          <w:lang w:eastAsia="zh-CN"/>
        </w:rPr>
        <w:t>:</w:t>
      </w:r>
      <w:r w:rsidRPr="007D6C46">
        <w:rPr>
          <w:rFonts w:eastAsia="SimSun"/>
          <w:lang w:eastAsia="zh-CN"/>
        </w:rPr>
        <w:tab/>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13 (Président du GTE)</w:t>
      </w:r>
    </w:p>
    <w:p w14:paraId="44D2CE34" w14:textId="037273BD" w:rsidR="00564BA0" w:rsidRPr="007D6C46" w:rsidRDefault="00564BA0" w:rsidP="00564BA0">
      <w:pPr>
        <w:spacing w:after="120"/>
        <w:ind w:left="1134" w:right="1134"/>
        <w:jc w:val="both"/>
        <w:rPr>
          <w:rFonts w:eastAsia="SimSun"/>
          <w:lang w:eastAsia="zh-CN"/>
        </w:rPr>
      </w:pPr>
      <w:r w:rsidRPr="007D6C46">
        <w:rPr>
          <w:rFonts w:eastAsia="SimSun"/>
          <w:lang w:eastAsia="zh-CN"/>
        </w:rPr>
        <w:t>34</w:t>
      </w:r>
      <w:r w:rsidR="008B77B5" w:rsidRPr="008B77B5">
        <w:rPr>
          <w:rFonts w:eastAsia="SimSun"/>
          <w:lang w:eastAsia="zh-CN"/>
        </w:rPr>
        <w:t>.</w:t>
      </w:r>
      <w:r w:rsidRPr="007D6C46">
        <w:rPr>
          <w:rFonts w:eastAsia="SimSun"/>
          <w:lang w:eastAsia="zh-CN"/>
        </w:rPr>
        <w:tab/>
        <w:t>Le Sous-Comité a noté que le GTE ne soutenait pas la proposition pour le moment</w:t>
      </w:r>
      <w:r w:rsidR="008B77B5" w:rsidRPr="008B77B5">
        <w:rPr>
          <w:rFonts w:eastAsia="SimSun"/>
          <w:lang w:eastAsia="zh-CN"/>
        </w:rPr>
        <w:t>.</w:t>
      </w:r>
      <w:r w:rsidRPr="007D6C46">
        <w:rPr>
          <w:rFonts w:eastAsia="SimSun"/>
          <w:lang w:eastAsia="zh-CN"/>
        </w:rPr>
        <w:t xml:space="preserve"> Le GTE souhaiterait toutefois recevoir des données et des renseignements supplémentaires, notamment la confirmation du flux thermique par des mesures directes (jauges thermiques), y compris des renseignements sur l’incident mentionné dans le document officiel</w:t>
      </w:r>
      <w:r w:rsidR="008B77B5" w:rsidRPr="008B77B5">
        <w:rPr>
          <w:rFonts w:eastAsia="SimSun"/>
          <w:lang w:eastAsia="zh-CN"/>
        </w:rPr>
        <w:t>.</w:t>
      </w:r>
      <w:r w:rsidRPr="007D6C46">
        <w:rPr>
          <w:rFonts w:eastAsia="SimSun"/>
          <w:lang w:eastAsia="zh-CN"/>
        </w:rPr>
        <w:t xml:space="preserve"> Il a été recommandé de reprendre le débat lors d’une session ultérieure sur la base d’une nouvelle proposition de la Chine</w:t>
      </w:r>
      <w:r w:rsidR="008B77B5" w:rsidRPr="008B77B5">
        <w:rPr>
          <w:rFonts w:eastAsia="SimSun"/>
          <w:lang w:eastAsia="zh-CN"/>
        </w:rPr>
        <w:t>.</w:t>
      </w:r>
    </w:p>
    <w:p w14:paraId="663D824C" w14:textId="10B7885B" w:rsidR="00564BA0" w:rsidRPr="007D6C46" w:rsidRDefault="00564BA0" w:rsidP="00564BA0">
      <w:pPr>
        <w:tabs>
          <w:tab w:val="right" w:pos="851"/>
        </w:tabs>
        <w:spacing w:before="240" w:after="120" w:line="220" w:lineRule="exact"/>
        <w:ind w:left="1134" w:right="1134" w:hanging="1134"/>
        <w:rPr>
          <w:rFonts w:eastAsia="SimSun"/>
          <w:b/>
          <w:lang w:eastAsia="zh-CN"/>
        </w:rPr>
      </w:pPr>
      <w:r w:rsidRPr="007D6C46">
        <w:rPr>
          <w:rFonts w:eastAsia="SimSun"/>
          <w:b/>
          <w:lang w:eastAsia="zh-CN"/>
        </w:rPr>
        <w:tab/>
        <w:t>5</w:t>
      </w:r>
      <w:r w:rsidR="008B77B5" w:rsidRPr="008B77B5">
        <w:rPr>
          <w:rFonts w:eastAsia="SimSun"/>
          <w:b/>
          <w:lang w:eastAsia="zh-CN"/>
        </w:rPr>
        <w:t>.</w:t>
      </w:r>
      <w:r w:rsidRPr="007D6C46">
        <w:rPr>
          <w:rFonts w:eastAsia="SimSun"/>
          <w:b/>
          <w:lang w:eastAsia="zh-CN"/>
        </w:rPr>
        <w:tab/>
        <w:t>Classification des artifices de divertissement</w:t>
      </w:r>
    </w:p>
    <w:p w14:paraId="60BC7C8B" w14:textId="74B616E7" w:rsidR="00564BA0" w:rsidRPr="00DE3355" w:rsidRDefault="00564BA0" w:rsidP="00DE3355">
      <w:pPr>
        <w:pStyle w:val="SingleTxtG"/>
        <w:tabs>
          <w:tab w:val="clear" w:pos="1701"/>
          <w:tab w:val="clear" w:pos="2268"/>
          <w:tab w:val="clear" w:pos="2835"/>
          <w:tab w:val="left" w:pos="3119"/>
        </w:tabs>
        <w:ind w:left="3119" w:hanging="1985"/>
        <w:jc w:val="left"/>
        <w:rPr>
          <w:rFonts w:eastAsia="SimSun"/>
          <w:lang w:eastAsia="zh-CN"/>
        </w:rPr>
      </w:pPr>
      <w:r w:rsidRPr="007D6C46">
        <w:rPr>
          <w:rFonts w:eastAsia="SimSun"/>
          <w:i/>
          <w:iCs/>
          <w:lang w:eastAsia="zh-CN"/>
        </w:rPr>
        <w:t>Documents informels </w:t>
      </w:r>
      <w:r w:rsidRPr="007D6C46">
        <w:rPr>
          <w:rFonts w:eastAsia="SimSun"/>
          <w:lang w:eastAsia="zh-CN"/>
        </w:rPr>
        <w:t>:</w:t>
      </w:r>
      <w:r w:rsidRPr="007D6C46">
        <w:rPr>
          <w:rFonts w:eastAsia="SimSun"/>
          <w:i/>
          <w:lang w:eastAsia="zh-CN"/>
        </w:rPr>
        <w:tab/>
      </w:r>
      <w:r w:rsidRPr="007D6C46">
        <w:rPr>
          <w:rFonts w:eastAsia="SimSun"/>
          <w:iCs/>
          <w:lang w:eastAsia="zh-CN"/>
        </w:rPr>
        <w:t>INF</w:t>
      </w:r>
      <w:r w:rsidR="008B77B5" w:rsidRPr="008B77B5">
        <w:rPr>
          <w:rFonts w:eastAsia="SimSun"/>
          <w:iCs/>
          <w:lang w:eastAsia="zh-CN"/>
        </w:rPr>
        <w:t>.</w:t>
      </w:r>
      <w:r w:rsidRPr="007D6C46">
        <w:rPr>
          <w:rFonts w:eastAsia="SimSun"/>
          <w:iCs/>
          <w:lang w:eastAsia="zh-CN"/>
        </w:rPr>
        <w:t>10 (Pays-Bas)</w:t>
      </w:r>
      <w:r w:rsidRPr="007D6C46">
        <w:rPr>
          <w:rFonts w:eastAsia="SimSun"/>
          <w:iCs/>
          <w:lang w:eastAsia="zh-CN"/>
        </w:rPr>
        <w:br/>
      </w:r>
      <w:r w:rsidRPr="007D6C46">
        <w:rPr>
          <w:rFonts w:eastAsia="SimSun"/>
          <w:lang w:eastAsia="zh-CN"/>
        </w:rPr>
        <w:t>INF</w:t>
      </w:r>
      <w:r w:rsidR="00F878B0" w:rsidRPr="00DE3355">
        <w:rPr>
          <w:rFonts w:eastAsia="SimSun"/>
          <w:lang w:eastAsia="zh-CN"/>
        </w:rPr>
        <w:t>.</w:t>
      </w:r>
      <w:r w:rsidRPr="007D6C46">
        <w:rPr>
          <w:rFonts w:eastAsia="SimSun"/>
          <w:lang w:eastAsia="zh-CN"/>
        </w:rPr>
        <w:t>44, par</w:t>
      </w:r>
      <w:r w:rsidR="00F878B0" w:rsidRPr="00DE3355">
        <w:rPr>
          <w:rFonts w:eastAsia="SimSun"/>
          <w:lang w:eastAsia="zh-CN"/>
        </w:rPr>
        <w:t>.</w:t>
      </w:r>
      <w:r w:rsidRPr="007D6C46">
        <w:rPr>
          <w:rFonts w:eastAsia="SimSun"/>
          <w:lang w:eastAsia="zh-CN"/>
        </w:rPr>
        <w:t xml:space="preserve"> 14 (Président du GTE)</w:t>
      </w:r>
    </w:p>
    <w:p w14:paraId="3A02BFA8" w14:textId="67789F8D" w:rsidR="00564BA0" w:rsidRPr="007D6C46" w:rsidRDefault="00564BA0" w:rsidP="00564BA0">
      <w:pPr>
        <w:spacing w:after="120"/>
        <w:ind w:left="1134" w:right="1134"/>
        <w:jc w:val="both"/>
        <w:rPr>
          <w:rFonts w:eastAsia="SimSun"/>
          <w:lang w:eastAsia="zh-CN"/>
        </w:rPr>
      </w:pPr>
      <w:r w:rsidRPr="007D6C46">
        <w:rPr>
          <w:rFonts w:eastAsia="SimSun"/>
          <w:lang w:eastAsia="zh-CN"/>
        </w:rPr>
        <w:t>35</w:t>
      </w:r>
      <w:r w:rsidR="008B77B5" w:rsidRPr="008B77B5">
        <w:rPr>
          <w:rFonts w:eastAsia="SimSun"/>
          <w:lang w:eastAsia="zh-CN"/>
        </w:rPr>
        <w:t>.</w:t>
      </w:r>
      <w:r w:rsidRPr="007D6C46">
        <w:rPr>
          <w:rFonts w:eastAsia="SimSun"/>
          <w:lang w:eastAsia="zh-CN"/>
        </w:rPr>
        <w:tab/>
        <w:t>Le Sous-Comité a pris note du fait que le GTE avait convenu de poursuivre le débat lors de réunions futures sur les sujets suivants : i) révision du tableau par défaut compte tenu des compositions nouvelles et inédites rencontrées sur le marché des artifices de divertissement</w:t>
      </w:r>
      <w:r w:rsidR="00E50E8D" w:rsidRPr="007D6C46">
        <w:rPr>
          <w:rFonts w:eastAsia="SimSun"/>
          <w:lang w:eastAsia="zh-CN"/>
        </w:rPr>
        <w:t> ;</w:t>
      </w:r>
      <w:r w:rsidRPr="007D6C46">
        <w:rPr>
          <w:rFonts w:eastAsia="SimSun"/>
          <w:lang w:eastAsia="zh-CN"/>
        </w:rPr>
        <w:t xml:space="preserve"> ii) précisions apportées à la description de la disposition des colis, des panneaux témoins et à la prescription de 0,15 m</w:t>
      </w:r>
      <w:r w:rsidRPr="007D6C46">
        <w:rPr>
          <w:rFonts w:eastAsia="SimSun"/>
          <w:vertAlign w:val="superscript"/>
          <w:lang w:eastAsia="zh-CN"/>
        </w:rPr>
        <w:t>3</w:t>
      </w:r>
      <w:r w:rsidRPr="007D6C46">
        <w:rPr>
          <w:rFonts w:eastAsia="SimSun"/>
          <w:lang w:eastAsia="zh-CN"/>
        </w:rPr>
        <w:t xml:space="preserve"> dans l’épreuve 6 c)</w:t>
      </w:r>
      <w:r w:rsidR="00E50E8D" w:rsidRPr="007D6C46">
        <w:rPr>
          <w:rFonts w:eastAsia="SimSun"/>
          <w:lang w:eastAsia="zh-CN"/>
        </w:rPr>
        <w:t> ;</w:t>
      </w:r>
      <w:r w:rsidRPr="007D6C46">
        <w:rPr>
          <w:rFonts w:eastAsia="SimSun"/>
          <w:lang w:eastAsia="zh-CN"/>
        </w:rPr>
        <w:t xml:space="preserve"> et iii) idées visant à renforcer la confiance dans la documentation technique</w:t>
      </w:r>
      <w:r w:rsidR="008B77B5" w:rsidRPr="008B77B5">
        <w:rPr>
          <w:rFonts w:eastAsia="SimSun"/>
          <w:lang w:eastAsia="zh-CN"/>
        </w:rPr>
        <w:t>.</w:t>
      </w:r>
    </w:p>
    <w:p w14:paraId="167F5DBC" w14:textId="702581EF" w:rsidR="00564BA0" w:rsidRPr="007D6C46" w:rsidRDefault="00564BA0" w:rsidP="00564BA0">
      <w:pPr>
        <w:pStyle w:val="HChG"/>
        <w:ind w:right="3826"/>
      </w:pPr>
      <w:r w:rsidRPr="007D6C46">
        <w:tab/>
        <w:t>V</w:t>
      </w:r>
      <w:r w:rsidR="008B77B5" w:rsidRPr="008B77B5">
        <w:t>.</w:t>
      </w:r>
      <w:r w:rsidRPr="007D6C46">
        <w:tab/>
        <w:t>Inscription, classement et emballage (point 3 de l’ordre du jour)</w:t>
      </w:r>
    </w:p>
    <w:p w14:paraId="2F3BB6A3" w14:textId="381D2D41" w:rsidR="00564BA0" w:rsidRPr="007D6C46" w:rsidRDefault="00564BA0" w:rsidP="00564BA0">
      <w:pPr>
        <w:pStyle w:val="H1G"/>
        <w:spacing w:before="240"/>
      </w:pPr>
      <w:r w:rsidRPr="007D6C46">
        <w:tab/>
        <w:t>A</w:t>
      </w:r>
      <w:r w:rsidR="008B77B5" w:rsidRPr="008B77B5">
        <w:t>.</w:t>
      </w:r>
      <w:r w:rsidRPr="007D6C46">
        <w:tab/>
        <w:t xml:space="preserve">Corrections mineures aux désignations officielles de transport </w:t>
      </w:r>
      <w:r w:rsidRPr="007D6C46">
        <w:br/>
        <w:t>pour les Nos ONU 0511, 0512 et 0513</w:t>
      </w:r>
    </w:p>
    <w:p w14:paraId="20DA4DAE" w14:textId="49844414" w:rsidR="00564BA0" w:rsidRPr="008B77B5" w:rsidRDefault="00564BA0" w:rsidP="00DE3355">
      <w:pPr>
        <w:pStyle w:val="SingleTxtG"/>
        <w:tabs>
          <w:tab w:val="clear" w:pos="1701"/>
          <w:tab w:val="clear" w:pos="2268"/>
          <w:tab w:val="clear" w:pos="2835"/>
          <w:tab w:val="left" w:pos="3119"/>
        </w:tabs>
        <w:ind w:left="3119" w:hanging="1985"/>
        <w:jc w:val="left"/>
        <w:rPr>
          <w:lang w:val="en-US"/>
        </w:rPr>
      </w:pPr>
      <w:proofErr w:type="gramStart"/>
      <w:r w:rsidRPr="008B77B5">
        <w:rPr>
          <w:i/>
          <w:iCs/>
          <w:lang w:val="en-US"/>
        </w:rPr>
        <w:t>Document </w:t>
      </w:r>
      <w:r w:rsidRPr="008B77B5">
        <w:rPr>
          <w:lang w:val="en-US"/>
        </w:rPr>
        <w:t>:</w:t>
      </w:r>
      <w:proofErr w:type="gramEnd"/>
      <w:r w:rsidRPr="008B77B5">
        <w:rPr>
          <w:lang w:val="en-US"/>
        </w:rPr>
        <w:tab/>
        <w:t>ST/SG/AC</w:t>
      </w:r>
      <w:r w:rsidR="008B77B5" w:rsidRPr="008B77B5">
        <w:rPr>
          <w:lang w:val="en-US"/>
        </w:rPr>
        <w:t>.</w:t>
      </w:r>
      <w:r w:rsidRPr="008B77B5">
        <w:rPr>
          <w:lang w:val="en-US"/>
        </w:rPr>
        <w:t>10/C</w:t>
      </w:r>
      <w:r w:rsidR="008B77B5" w:rsidRPr="008B77B5">
        <w:rPr>
          <w:lang w:val="en-US"/>
        </w:rPr>
        <w:t>.</w:t>
      </w:r>
      <w:r w:rsidRPr="008B77B5">
        <w:rPr>
          <w:lang w:val="en-US"/>
        </w:rPr>
        <w:t>3/2022/1 (Canada)</w:t>
      </w:r>
    </w:p>
    <w:p w14:paraId="71E2C41B" w14:textId="44574A07" w:rsidR="00564BA0" w:rsidRPr="007D6C46" w:rsidRDefault="00564BA0" w:rsidP="00564BA0">
      <w:pPr>
        <w:pStyle w:val="SingleTxtG"/>
      </w:pPr>
      <w:r w:rsidRPr="007D6C46">
        <w:t>36</w:t>
      </w:r>
      <w:r w:rsidR="008B77B5" w:rsidRPr="008B77B5">
        <w:t>.</w:t>
      </w:r>
      <w:r w:rsidRPr="007D6C46">
        <w:tab/>
        <w:t>Le Sous-Comité a adopté les corrections proposées pour la version française du chapitre 3</w:t>
      </w:r>
      <w:r w:rsidR="008B77B5" w:rsidRPr="008B77B5">
        <w:t>.</w:t>
      </w:r>
      <w:r w:rsidRPr="007D6C46">
        <w:t>2 du Règlement type (voir annexe II)</w:t>
      </w:r>
      <w:r w:rsidR="008B77B5" w:rsidRPr="008B77B5">
        <w:t>.</w:t>
      </w:r>
    </w:p>
    <w:p w14:paraId="238A2CFB" w14:textId="4F492B58" w:rsidR="00564BA0" w:rsidRPr="007D6C46" w:rsidRDefault="00564BA0" w:rsidP="00564BA0">
      <w:pPr>
        <w:pStyle w:val="H1G"/>
        <w:ind w:right="2975"/>
      </w:pPr>
      <w:r w:rsidRPr="007D6C46">
        <w:tab/>
        <w:t>B</w:t>
      </w:r>
      <w:r w:rsidR="008B77B5" w:rsidRPr="008B77B5">
        <w:t>.</w:t>
      </w:r>
      <w:r w:rsidRPr="007D6C46">
        <w:tab/>
        <w:t xml:space="preserve">Harmonisation de la traduction de « base </w:t>
      </w:r>
      <w:proofErr w:type="spellStart"/>
      <w:r w:rsidRPr="007D6C46">
        <w:t>material</w:t>
      </w:r>
      <w:proofErr w:type="spellEnd"/>
      <w:r w:rsidRPr="007D6C46">
        <w:t> » dans la version en langue espagnole</w:t>
      </w:r>
    </w:p>
    <w:p w14:paraId="06EC65B0" w14:textId="1B48413B"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3/2022/2 (Brésil, Espagne et Mexique)</w:t>
      </w:r>
    </w:p>
    <w:p w14:paraId="3605D5DF" w14:textId="23912116" w:rsidR="00564BA0" w:rsidRPr="007D6C46" w:rsidRDefault="00564BA0" w:rsidP="00564BA0">
      <w:pPr>
        <w:pStyle w:val="SingleTxtG"/>
      </w:pPr>
      <w:r w:rsidRPr="007D6C46">
        <w:t>37</w:t>
      </w:r>
      <w:r w:rsidR="008B77B5" w:rsidRPr="008B77B5">
        <w:t>.</w:t>
      </w:r>
      <w:r w:rsidRPr="007D6C46">
        <w:tab/>
        <w:t>Le Sous-Comité a adopté les amendements proposés aux paragraphes 8 et 9 du document ST/SG/AC</w:t>
      </w:r>
      <w:r w:rsidR="008B77B5" w:rsidRPr="008B77B5">
        <w:t>.</w:t>
      </w:r>
      <w:r w:rsidRPr="007D6C46">
        <w:t>10/C</w:t>
      </w:r>
      <w:r w:rsidR="008B77B5" w:rsidRPr="008B77B5">
        <w:t>.</w:t>
      </w:r>
      <w:r w:rsidRPr="007D6C46">
        <w:t>3/2022/2, visant à préciser la version espagnole du Règlement type (voir annexe I)</w:t>
      </w:r>
      <w:r w:rsidR="008B77B5" w:rsidRPr="008B77B5">
        <w:t>.</w:t>
      </w:r>
    </w:p>
    <w:p w14:paraId="18EAAA0D" w14:textId="03E13932" w:rsidR="00564BA0" w:rsidRPr="007D6C46" w:rsidRDefault="00564BA0" w:rsidP="00564BA0">
      <w:pPr>
        <w:pStyle w:val="H1G"/>
      </w:pPr>
      <w:r w:rsidRPr="007D6C46">
        <w:tab/>
        <w:t>C</w:t>
      </w:r>
      <w:r w:rsidR="008B77B5" w:rsidRPr="008B77B5">
        <w:t>.</w:t>
      </w:r>
      <w:r w:rsidRPr="007D6C46">
        <w:tab/>
        <w:t>Activité spécifique et activité massique</w:t>
      </w:r>
    </w:p>
    <w:p w14:paraId="7D8A669F" w14:textId="7264A0E5"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3/2022/13 (Espagne)</w:t>
      </w:r>
    </w:p>
    <w:p w14:paraId="418FE0EA" w14:textId="74376943" w:rsidR="00564BA0" w:rsidRPr="007D6C46" w:rsidRDefault="00564BA0" w:rsidP="00564BA0">
      <w:pPr>
        <w:pStyle w:val="SingleTxtG"/>
      </w:pPr>
      <w:r w:rsidRPr="007D6C46">
        <w:t>38</w:t>
      </w:r>
      <w:r w:rsidR="008B77B5" w:rsidRPr="008B77B5">
        <w:t>.</w:t>
      </w:r>
      <w:r w:rsidRPr="007D6C46">
        <w:tab/>
        <w:t>La proposition a bénéficié d’un certain appui</w:t>
      </w:r>
      <w:r w:rsidR="008B77B5" w:rsidRPr="008B77B5">
        <w:t>.</w:t>
      </w:r>
      <w:r w:rsidRPr="007D6C46">
        <w:t xml:space="preserve"> Le Sous-Comité a noté que l’Agence internationale de l’énergie atomique (AIEA) avait récemment examiné les amendements proposés et avait renvoyé à la définition d</w:t>
      </w:r>
      <w:proofErr w:type="gramStart"/>
      <w:r w:rsidRPr="007D6C46">
        <w:t>’«</w:t>
      </w:r>
      <w:proofErr w:type="gramEnd"/>
      <w:r w:rsidRPr="007D6C46">
        <w:t> activité spécifique » figurant au paragraphe 240</w:t>
      </w:r>
      <w:r w:rsidR="008B77B5" w:rsidRPr="008B77B5">
        <w:t>.</w:t>
      </w:r>
      <w:r w:rsidRPr="007D6C46">
        <w:t>1 de son Guide de sûreté particulier n</w:t>
      </w:r>
      <w:r w:rsidRPr="007D6C46">
        <w:rPr>
          <w:vertAlign w:val="superscript"/>
        </w:rPr>
        <w:t>o</w:t>
      </w:r>
      <w:r w:rsidRPr="007D6C46">
        <w:t> SSG-26</w:t>
      </w:r>
      <w:r w:rsidR="008B77B5" w:rsidRPr="008B77B5">
        <w:t>.</w:t>
      </w:r>
      <w:r w:rsidRPr="007D6C46">
        <w:t xml:space="preserve"> Le Sous-Comité a décidé de reprendre l’examen de cette question à sa session suivante sur la base d’un document officiel et a demandé au secrétariat d’assurer le suivi avec l’AIEA</w:t>
      </w:r>
      <w:r w:rsidR="008B77B5" w:rsidRPr="008B77B5">
        <w:t>.</w:t>
      </w:r>
    </w:p>
    <w:p w14:paraId="47B4544A" w14:textId="595F6325" w:rsidR="00564BA0" w:rsidRPr="007D6C46" w:rsidRDefault="00564BA0" w:rsidP="00564BA0">
      <w:pPr>
        <w:pStyle w:val="H1G"/>
      </w:pPr>
      <w:r w:rsidRPr="007D6C46">
        <w:tab/>
        <w:t>D</w:t>
      </w:r>
      <w:r w:rsidR="008B77B5" w:rsidRPr="008B77B5">
        <w:t>.</w:t>
      </w:r>
      <w:r w:rsidRPr="007D6C46">
        <w:tab/>
        <w:t>Affectation des objets aux groupes d’emballage</w:t>
      </w:r>
    </w:p>
    <w:p w14:paraId="6C126835" w14:textId="23D6365F"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3/2022/17 (Allemagne, Espagne)</w:t>
      </w:r>
    </w:p>
    <w:p w14:paraId="1934A47B" w14:textId="7F90A344" w:rsidR="00564BA0" w:rsidRPr="007D6C46" w:rsidRDefault="00564BA0" w:rsidP="00564BA0">
      <w:pPr>
        <w:pStyle w:val="SingleTxtG"/>
      </w:pPr>
      <w:r w:rsidRPr="007D6C46">
        <w:t>39</w:t>
      </w:r>
      <w:r w:rsidR="008B77B5" w:rsidRPr="008B77B5">
        <w:t>.</w:t>
      </w:r>
      <w:r w:rsidRPr="007D6C46">
        <w:tab/>
        <w:t>Le Sous-Comité a adopté les propositions</w:t>
      </w:r>
      <w:r w:rsidR="00E23006">
        <w:t> </w:t>
      </w:r>
      <w:r w:rsidRPr="007D6C46">
        <w:t xml:space="preserve">1 à 4 </w:t>
      </w:r>
      <w:proofErr w:type="gramStart"/>
      <w:r w:rsidRPr="007D6C46">
        <w:t>figurant</w:t>
      </w:r>
      <w:proofErr w:type="gramEnd"/>
      <w:r w:rsidRPr="007D6C46">
        <w:t xml:space="preserve"> au paragraphe 18 du document ST/SG/AC</w:t>
      </w:r>
      <w:r w:rsidR="008B77B5" w:rsidRPr="008B77B5">
        <w:t>.</w:t>
      </w:r>
      <w:r w:rsidRPr="007D6C46">
        <w:t>10/C</w:t>
      </w:r>
      <w:r w:rsidR="008B77B5" w:rsidRPr="008B77B5">
        <w:t>.</w:t>
      </w:r>
      <w:r w:rsidRPr="007D6C46">
        <w:t>3/2022/17 (voir annexe I)</w:t>
      </w:r>
      <w:r w:rsidR="008B77B5" w:rsidRPr="008B77B5">
        <w:t>.</w:t>
      </w:r>
      <w:r w:rsidRPr="007D6C46">
        <w:t xml:space="preserve"> En réponse à l’expert de la Chine, qui jugeait nécessaire d’envisager également, au 3</w:t>
      </w:r>
      <w:r w:rsidR="008B77B5" w:rsidRPr="008B77B5">
        <w:t>.</w:t>
      </w:r>
      <w:r w:rsidRPr="007D6C46">
        <w:t>2</w:t>
      </w:r>
      <w:r w:rsidR="008B77B5" w:rsidRPr="008B77B5">
        <w:t>.</w:t>
      </w:r>
      <w:r w:rsidRPr="007D6C46">
        <w:t>2, la suppression des groupes d’emballage pour les Nos ONU 3269 et 3527, le Sous-Comité a suggéré que cette question soit examinée à sa session suivante sur la base d’une proposition distincte</w:t>
      </w:r>
      <w:r w:rsidR="008B77B5" w:rsidRPr="008B77B5">
        <w:t>.</w:t>
      </w:r>
    </w:p>
    <w:p w14:paraId="1396B377" w14:textId="73E4C6F5" w:rsidR="00564BA0" w:rsidRPr="007D6C46" w:rsidRDefault="00564BA0" w:rsidP="00E23006">
      <w:pPr>
        <w:pStyle w:val="H1G"/>
      </w:pPr>
      <w:r w:rsidRPr="007D6C46">
        <w:tab/>
        <w:t>E</w:t>
      </w:r>
      <w:r w:rsidR="008B77B5" w:rsidRPr="008B77B5">
        <w:t>.</w:t>
      </w:r>
      <w:r w:rsidRPr="007D6C46">
        <w:tab/>
        <w:t xml:space="preserve">Proposition d’ajout d’un numéro ONU pour le </w:t>
      </w:r>
      <w:proofErr w:type="spellStart"/>
      <w:r w:rsidRPr="007D6C46">
        <w:t>disilane</w:t>
      </w:r>
      <w:proofErr w:type="spellEnd"/>
    </w:p>
    <w:p w14:paraId="176F993A" w14:textId="11DBC93A" w:rsidR="00564BA0" w:rsidRPr="008B77B5" w:rsidRDefault="00564BA0" w:rsidP="00DE3355">
      <w:pPr>
        <w:pStyle w:val="SingleTxtG"/>
        <w:tabs>
          <w:tab w:val="clear" w:pos="1701"/>
          <w:tab w:val="clear" w:pos="2268"/>
          <w:tab w:val="clear" w:pos="2835"/>
          <w:tab w:val="left" w:pos="3119"/>
        </w:tabs>
        <w:ind w:left="3119" w:hanging="1985"/>
        <w:jc w:val="left"/>
        <w:rPr>
          <w:lang w:val="en-US"/>
        </w:rPr>
      </w:pPr>
      <w:proofErr w:type="gramStart"/>
      <w:r w:rsidRPr="008B77B5">
        <w:rPr>
          <w:i/>
          <w:iCs/>
          <w:lang w:val="en-US"/>
        </w:rPr>
        <w:t xml:space="preserve">Document </w:t>
      </w:r>
      <w:r w:rsidRPr="008B77B5">
        <w:rPr>
          <w:lang w:val="en-US"/>
        </w:rPr>
        <w:t>:</w:t>
      </w:r>
      <w:proofErr w:type="gramEnd"/>
      <w:r w:rsidRPr="008B77B5">
        <w:rPr>
          <w:lang w:val="en-US"/>
        </w:rPr>
        <w:tab/>
        <w:t>ST/SG/AC</w:t>
      </w:r>
      <w:r w:rsidR="008B77B5" w:rsidRPr="008B77B5">
        <w:rPr>
          <w:lang w:val="en-US"/>
        </w:rPr>
        <w:t>.</w:t>
      </w:r>
      <w:r w:rsidRPr="008B77B5">
        <w:rPr>
          <w:lang w:val="en-US"/>
        </w:rPr>
        <w:t>10/C</w:t>
      </w:r>
      <w:r w:rsidR="008B77B5" w:rsidRPr="008B77B5">
        <w:rPr>
          <w:lang w:val="en-US"/>
        </w:rPr>
        <w:t>.</w:t>
      </w:r>
      <w:r w:rsidRPr="008B77B5">
        <w:rPr>
          <w:lang w:val="en-US"/>
        </w:rPr>
        <w:t>3/2022/19 (CGA, EIGA)</w:t>
      </w:r>
    </w:p>
    <w:p w14:paraId="2F55F401" w14:textId="2409302B" w:rsidR="00564BA0" w:rsidRPr="007D6C46" w:rsidRDefault="00564BA0" w:rsidP="00564BA0">
      <w:pPr>
        <w:pStyle w:val="SingleTxtG"/>
      </w:pPr>
      <w:r w:rsidRPr="007D6C46">
        <w:t>40</w:t>
      </w:r>
      <w:r w:rsidR="008B77B5" w:rsidRPr="008B77B5">
        <w:t>.</w:t>
      </w:r>
      <w:r w:rsidRPr="007D6C46">
        <w:tab/>
        <w:t>Plusieurs experts ont appuyé la proposition dans son principe</w:t>
      </w:r>
      <w:r w:rsidR="008B77B5" w:rsidRPr="008B77B5">
        <w:t>.</w:t>
      </w:r>
      <w:r w:rsidRPr="007D6C46">
        <w:t xml:space="preserve"> D’autres experts estimaient que le </w:t>
      </w:r>
      <w:proofErr w:type="spellStart"/>
      <w:r w:rsidRPr="007D6C46">
        <w:t>disilane</w:t>
      </w:r>
      <w:proofErr w:type="spellEnd"/>
      <w:r w:rsidRPr="007D6C46">
        <w:t xml:space="preserve"> et les autres gaz liquéfiés pyrophoriques sous pression devraient être désignés comme tels dans la liste des marchandises dangereuses et dans l’instruction d’emballage, y compris leur danger subsidiaire</w:t>
      </w:r>
      <w:r w:rsidR="008B77B5" w:rsidRPr="008B77B5">
        <w:t>.</w:t>
      </w:r>
      <w:r w:rsidRPr="007D6C46">
        <w:t xml:space="preserve"> L’expert de la Chine était d’avis que la disposition spéciale d’emballage « q » s’appliquait également au No ONU 1911 (diborane)</w:t>
      </w:r>
      <w:r w:rsidR="008B77B5" w:rsidRPr="008B77B5">
        <w:t>.</w:t>
      </w:r>
      <w:r w:rsidRPr="007D6C46">
        <w:t xml:space="preserve"> Le Sous</w:t>
      </w:r>
      <w:r w:rsidRPr="007D6C46">
        <w:noBreakHyphen/>
        <w:t>Comité a estimé que cette question devrait faire l’objet d’une proposition distincte</w:t>
      </w:r>
      <w:r w:rsidR="008B77B5" w:rsidRPr="008B77B5">
        <w:t>.</w:t>
      </w:r>
    </w:p>
    <w:p w14:paraId="0F7E8B1B" w14:textId="0FADD2EF" w:rsidR="00564BA0" w:rsidRPr="007D6C46" w:rsidRDefault="00564BA0" w:rsidP="00564BA0">
      <w:pPr>
        <w:pStyle w:val="SingleTxtG"/>
      </w:pPr>
      <w:r w:rsidRPr="007D6C46">
        <w:t>41</w:t>
      </w:r>
      <w:r w:rsidR="008B77B5" w:rsidRPr="008B77B5">
        <w:t>.</w:t>
      </w:r>
      <w:r w:rsidRPr="007D6C46">
        <w:tab/>
        <w:t>À l’issue du débat, le Sous-Comité a adopté les propositions 1 et</w:t>
      </w:r>
      <w:r w:rsidR="00E50E8D" w:rsidRPr="007D6C46">
        <w:t xml:space="preserve"> </w:t>
      </w:r>
      <w:r w:rsidRPr="007D6C46">
        <w:t xml:space="preserve">2 </w:t>
      </w:r>
      <w:proofErr w:type="gramStart"/>
      <w:r w:rsidRPr="007D6C46">
        <w:t>figurant</w:t>
      </w:r>
      <w:proofErr w:type="gramEnd"/>
      <w:r w:rsidRPr="007D6C46">
        <w:t xml:space="preserve"> aux paragraphes 9 et 10 du document ST/SG/AC</w:t>
      </w:r>
      <w:r w:rsidR="008B77B5" w:rsidRPr="008B77B5">
        <w:t>.</w:t>
      </w:r>
      <w:r w:rsidRPr="007D6C46">
        <w:t>10/C</w:t>
      </w:r>
      <w:r w:rsidR="008B77B5" w:rsidRPr="008B77B5">
        <w:t>.</w:t>
      </w:r>
      <w:r w:rsidRPr="007D6C46">
        <w:t>3/2022/19 (voir annexe I)</w:t>
      </w:r>
      <w:r w:rsidR="008B77B5" w:rsidRPr="008B77B5">
        <w:t>.</w:t>
      </w:r>
      <w:r w:rsidRPr="007D6C46">
        <w:t xml:space="preserve"> Il a été convenu qu’il était nécessaire de poursuivre les travaux et de mener un débat plus large sur la question des gaz liquéfiés pyrophoriques</w:t>
      </w:r>
      <w:r w:rsidR="008B77B5" w:rsidRPr="008B77B5">
        <w:t>.</w:t>
      </w:r>
    </w:p>
    <w:p w14:paraId="04AB3BE4" w14:textId="045AC90A" w:rsidR="00564BA0" w:rsidRPr="007D6C46" w:rsidRDefault="00564BA0" w:rsidP="00E23006">
      <w:pPr>
        <w:pStyle w:val="H1G"/>
      </w:pPr>
      <w:r w:rsidRPr="007D6C46">
        <w:tab/>
        <w:t>F</w:t>
      </w:r>
      <w:r w:rsidR="008B77B5" w:rsidRPr="008B77B5">
        <w:t>.</w:t>
      </w:r>
      <w:r w:rsidRPr="007D6C46">
        <w:tab/>
        <w:t xml:space="preserve">Révision du classement de l’hydroxyde de </w:t>
      </w:r>
      <w:proofErr w:type="spellStart"/>
      <w:r w:rsidRPr="007D6C46">
        <w:t>tétraméthylammonium</w:t>
      </w:r>
      <w:proofErr w:type="spellEnd"/>
    </w:p>
    <w:p w14:paraId="38254C55" w14:textId="4DCC8EFD" w:rsidR="00564BA0" w:rsidRPr="007D6C46" w:rsidRDefault="00564BA0" w:rsidP="00DE3355">
      <w:pPr>
        <w:pStyle w:val="SingleTxtG"/>
        <w:tabs>
          <w:tab w:val="clear" w:pos="1701"/>
          <w:tab w:val="clear" w:pos="2268"/>
          <w:tab w:val="clear" w:pos="2835"/>
          <w:tab w:val="left" w:pos="3119"/>
        </w:tabs>
        <w:ind w:left="3119" w:hanging="1985"/>
        <w:jc w:val="left"/>
        <w:rPr>
          <w:i/>
        </w:rPr>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3/2022/24 (Pays-Bas)</w:t>
      </w:r>
    </w:p>
    <w:p w14:paraId="09EE1CB1" w14:textId="10406078"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informel </w:t>
      </w:r>
      <w:r w:rsidRPr="007D6C46">
        <w:t>:</w:t>
      </w:r>
      <w:r w:rsidRPr="007D6C46">
        <w:tab/>
      </w:r>
      <w:r w:rsidRPr="00DE3355">
        <w:rPr>
          <w:rFonts w:eastAsia="SimSun"/>
          <w:lang w:eastAsia="zh-CN"/>
        </w:rPr>
        <w:t>INF</w:t>
      </w:r>
      <w:r w:rsidR="008B77B5" w:rsidRPr="008B77B5">
        <w:t>.</w:t>
      </w:r>
      <w:r w:rsidRPr="007D6C46">
        <w:t>22 (DGAC, CEFIC)</w:t>
      </w:r>
    </w:p>
    <w:p w14:paraId="0ECF748A" w14:textId="32B0360E" w:rsidR="00564BA0" w:rsidRPr="007D6C46" w:rsidRDefault="00564BA0" w:rsidP="00564BA0">
      <w:pPr>
        <w:pStyle w:val="SingleTxtG"/>
      </w:pPr>
      <w:r w:rsidRPr="007D6C46">
        <w:t>42</w:t>
      </w:r>
      <w:r w:rsidR="008B77B5" w:rsidRPr="008B77B5">
        <w:t>.</w:t>
      </w:r>
      <w:r w:rsidRPr="007D6C46">
        <w:tab/>
        <w:t xml:space="preserve">En ce qui concernait la révision du classement de l’hydroxyde de </w:t>
      </w:r>
      <w:proofErr w:type="spellStart"/>
      <w:r w:rsidRPr="007D6C46">
        <w:t>tétraméthylammonium</w:t>
      </w:r>
      <w:proofErr w:type="spellEnd"/>
      <w:r w:rsidRPr="007D6C46">
        <w:t xml:space="preserve"> (TMAH), la plupart des experts étaient favorables en principe aux amendements proposés dans l’option 1 du paragraphe 21 du document ST/SG/AC</w:t>
      </w:r>
      <w:r w:rsidR="008B77B5" w:rsidRPr="008B77B5">
        <w:t>.</w:t>
      </w:r>
      <w:r w:rsidRPr="007D6C46">
        <w:t>10/C</w:t>
      </w:r>
      <w:r w:rsidR="008B77B5" w:rsidRPr="008B77B5">
        <w:t>.</w:t>
      </w:r>
      <w:r w:rsidRPr="007D6C46">
        <w:t>3/2022/24</w:t>
      </w:r>
      <w:r w:rsidR="008B77B5" w:rsidRPr="008B77B5">
        <w:t>.</w:t>
      </w:r>
      <w:r w:rsidRPr="007D6C46">
        <w:t xml:space="preserve"> Le Sous-Comité a accueilli favorablement les renseignements additionnels et la proposition d’examen complémentaire figurant dans le document informel INF</w:t>
      </w:r>
      <w:r w:rsidR="008B77B5" w:rsidRPr="008B77B5">
        <w:t>.</w:t>
      </w:r>
      <w:r w:rsidRPr="007D6C46">
        <w:t>22</w:t>
      </w:r>
      <w:r w:rsidR="008B77B5" w:rsidRPr="008B77B5">
        <w:t>.</w:t>
      </w:r>
      <w:r w:rsidRPr="007D6C46">
        <w:t xml:space="preserve"> Il a été noté que la révision, entre autres effets, affecterait le transport du TMAH</w:t>
      </w:r>
      <w:r w:rsidR="008B77B5" w:rsidRPr="008B77B5">
        <w:t>.</w:t>
      </w:r>
    </w:p>
    <w:p w14:paraId="47B69B7D" w14:textId="6B8D0D51" w:rsidR="00564BA0" w:rsidRPr="007D6C46" w:rsidRDefault="00564BA0" w:rsidP="00564BA0">
      <w:pPr>
        <w:pStyle w:val="SingleTxtG"/>
      </w:pPr>
      <w:r w:rsidRPr="007D6C46">
        <w:t>43</w:t>
      </w:r>
      <w:r w:rsidR="008B77B5" w:rsidRPr="008B77B5">
        <w:t>.</w:t>
      </w:r>
      <w:r w:rsidRPr="007D6C46">
        <w:tab/>
        <w:t>L’expert de la Suède était d’avis qu’une mesure transitoire était nécessaire pour les amendements proposés à la liste des marchandises dangereuses du Règlement type</w:t>
      </w:r>
      <w:r w:rsidR="008B77B5" w:rsidRPr="008B77B5">
        <w:t>.</w:t>
      </w:r>
      <w:r w:rsidRPr="007D6C46">
        <w:t xml:space="preserve"> L’expert des Pays-Bas a proposé d’établir pour la session suivante une version révisée de la proposition tenant compte des observations formulées</w:t>
      </w:r>
      <w:r w:rsidR="008B77B5" w:rsidRPr="008B77B5">
        <w:t>.</w:t>
      </w:r>
    </w:p>
    <w:p w14:paraId="4377DD95" w14:textId="7324BD03" w:rsidR="00564BA0" w:rsidRPr="007D6C46" w:rsidRDefault="00564BA0" w:rsidP="00564BA0">
      <w:pPr>
        <w:pStyle w:val="H1G"/>
      </w:pPr>
      <w:r w:rsidRPr="007D6C46">
        <w:tab/>
        <w:t>G</w:t>
      </w:r>
      <w:r w:rsidR="008B77B5" w:rsidRPr="008B77B5">
        <w:t>.</w:t>
      </w:r>
      <w:r w:rsidRPr="007D6C46">
        <w:tab/>
        <w:t xml:space="preserve">Dispositions relatives au transport de petites quantités de peintures </w:t>
      </w:r>
      <w:r w:rsidR="00E50E8D" w:rsidRPr="007D6C46">
        <w:br/>
      </w:r>
      <w:r w:rsidRPr="007D6C46">
        <w:t xml:space="preserve">et d’encres d’imprimerie dangereuses pour l’environnement </w:t>
      </w:r>
      <w:r w:rsidR="00E50E8D" w:rsidRPr="007D6C46">
        <w:br/>
      </w:r>
      <w:r w:rsidRPr="007D6C46">
        <w:t>(et matières apparentées)</w:t>
      </w:r>
    </w:p>
    <w:p w14:paraId="687C686E" w14:textId="161F15D8" w:rsidR="00564BA0" w:rsidRPr="008B77B5" w:rsidRDefault="00564BA0" w:rsidP="00DE3355">
      <w:pPr>
        <w:pStyle w:val="SingleTxtG"/>
        <w:tabs>
          <w:tab w:val="clear" w:pos="1701"/>
          <w:tab w:val="clear" w:pos="2268"/>
          <w:tab w:val="clear" w:pos="2835"/>
          <w:tab w:val="left" w:pos="3119"/>
        </w:tabs>
        <w:ind w:left="3119" w:hanging="1985"/>
        <w:jc w:val="left"/>
        <w:rPr>
          <w:lang w:val="en-US"/>
        </w:rPr>
      </w:pPr>
      <w:proofErr w:type="gramStart"/>
      <w:r w:rsidRPr="008B77B5">
        <w:rPr>
          <w:i/>
          <w:iCs/>
          <w:lang w:val="en-US"/>
        </w:rPr>
        <w:t>Document </w:t>
      </w:r>
      <w:r w:rsidRPr="008B77B5">
        <w:rPr>
          <w:lang w:val="en-US"/>
        </w:rPr>
        <w:t>:</w:t>
      </w:r>
      <w:proofErr w:type="gramEnd"/>
      <w:r w:rsidRPr="008B77B5">
        <w:rPr>
          <w:lang w:val="en-US"/>
        </w:rPr>
        <w:tab/>
        <w:t>ST/SG/AC</w:t>
      </w:r>
      <w:r w:rsidR="008B77B5" w:rsidRPr="008B77B5">
        <w:rPr>
          <w:lang w:val="en-US"/>
        </w:rPr>
        <w:t>.</w:t>
      </w:r>
      <w:r w:rsidRPr="008B77B5">
        <w:rPr>
          <w:lang w:val="en-US"/>
        </w:rPr>
        <w:t>10/C</w:t>
      </w:r>
      <w:r w:rsidR="008B77B5" w:rsidRPr="008B77B5">
        <w:rPr>
          <w:lang w:val="en-US"/>
        </w:rPr>
        <w:t>.</w:t>
      </w:r>
      <w:r w:rsidRPr="008B77B5">
        <w:rPr>
          <w:lang w:val="en-US"/>
        </w:rPr>
        <w:t>3/2022/22 (World Coatings Council)</w:t>
      </w:r>
    </w:p>
    <w:p w14:paraId="07BF32DC" w14:textId="3F41B809" w:rsidR="00564BA0" w:rsidRPr="007D6C46" w:rsidRDefault="00564BA0" w:rsidP="00564BA0">
      <w:pPr>
        <w:pStyle w:val="SingleTxtG"/>
      </w:pPr>
      <w:r w:rsidRPr="007D6C46">
        <w:t>44</w:t>
      </w:r>
      <w:r w:rsidR="008B77B5" w:rsidRPr="008B77B5">
        <w:t>.</w:t>
      </w:r>
      <w:r w:rsidRPr="007D6C46">
        <w:tab/>
        <w:t>Le Sous-Comité n’a appuyé aucune des solutions proposées dans le document ST/SG/AC</w:t>
      </w:r>
      <w:r w:rsidR="008B77B5" w:rsidRPr="008B77B5">
        <w:t>.</w:t>
      </w:r>
      <w:r w:rsidRPr="007D6C46">
        <w:t>10/C</w:t>
      </w:r>
      <w:r w:rsidR="008B77B5" w:rsidRPr="008B77B5">
        <w:t>.</w:t>
      </w:r>
      <w:r w:rsidRPr="007D6C46">
        <w:t>3/2022/22</w:t>
      </w:r>
      <w:r w:rsidR="008B77B5" w:rsidRPr="008B77B5">
        <w:t>.</w:t>
      </w:r>
      <w:r w:rsidRPr="007D6C46">
        <w:t xml:space="preserve"> Il a été noté qu’une augmentation de la quantité limite dans la disposition spéciale 375 </w:t>
      </w:r>
      <w:proofErr w:type="gramStart"/>
      <w:r w:rsidRPr="007D6C46">
        <w:t>aurait</w:t>
      </w:r>
      <w:proofErr w:type="gramEnd"/>
      <w:r w:rsidRPr="007D6C46">
        <w:t xml:space="preserve"> des conséquences pour la sécurité de toutes les marchandises dangereuses affectées aux Nos ONU 3077 et 3082</w:t>
      </w:r>
      <w:r w:rsidR="008B77B5" w:rsidRPr="008B77B5">
        <w:t>.</w:t>
      </w:r>
      <w:r w:rsidRPr="007D6C46">
        <w:t xml:space="preserve"> Des préoccupations similaires ont été exprimées à propos de l’amendement à la disposition spéciale d’emballage PP1</w:t>
      </w:r>
      <w:r w:rsidR="008B77B5" w:rsidRPr="008B77B5">
        <w:t>.</w:t>
      </w:r>
      <w:r w:rsidRPr="007D6C46">
        <w:t xml:space="preserve"> Il a été estimé que des travaux supplémentaires étaient nécessaires pour justifier les solutions proposées</w:t>
      </w:r>
      <w:r w:rsidR="008B77B5" w:rsidRPr="008B77B5">
        <w:t>.</w:t>
      </w:r>
      <w:r w:rsidRPr="007D6C46">
        <w:t xml:space="preserve"> Le représentant du World </w:t>
      </w:r>
      <w:proofErr w:type="spellStart"/>
      <w:r w:rsidRPr="007D6C46">
        <w:t>Coatings</w:t>
      </w:r>
      <w:proofErr w:type="spellEnd"/>
      <w:r w:rsidRPr="007D6C46">
        <w:t xml:space="preserve"> Council a dit qu’il reverrait sa proposition en tenant compte des observations reçues et qu’il en soumettrait une nouvelle version à la session suivante</w:t>
      </w:r>
      <w:r w:rsidR="008B77B5" w:rsidRPr="008B77B5">
        <w:t>.</w:t>
      </w:r>
    </w:p>
    <w:p w14:paraId="4D0ECECE" w14:textId="5BB8B083" w:rsidR="00564BA0" w:rsidRPr="007D6C46" w:rsidRDefault="00564BA0" w:rsidP="00564BA0">
      <w:pPr>
        <w:pStyle w:val="H1G"/>
      </w:pPr>
      <w:r w:rsidRPr="007D6C46">
        <w:tab/>
        <w:t>H</w:t>
      </w:r>
      <w:r w:rsidR="008B77B5" w:rsidRPr="008B77B5">
        <w:t>.</w:t>
      </w:r>
      <w:r w:rsidRPr="007D6C46">
        <w:tab/>
        <w:t xml:space="preserve">Révision de l’emplacement de la marque des caractéristiques ONU </w:t>
      </w:r>
      <w:r w:rsidR="00E50E8D" w:rsidRPr="007D6C46">
        <w:t>−</w:t>
      </w:r>
      <w:r w:rsidRPr="007D6C46">
        <w:t> proposition supplémentaire pour le document ST/SG/AC</w:t>
      </w:r>
      <w:r w:rsidR="008B77B5" w:rsidRPr="008B77B5">
        <w:t>.</w:t>
      </w:r>
      <w:r w:rsidRPr="007D6C46">
        <w:t>10/C</w:t>
      </w:r>
      <w:r w:rsidR="008B77B5" w:rsidRPr="008B77B5">
        <w:t>.</w:t>
      </w:r>
      <w:r w:rsidRPr="007D6C46">
        <w:t>3/2021/52</w:t>
      </w:r>
    </w:p>
    <w:p w14:paraId="4C20871B" w14:textId="3FF5D36C"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w:t>
      </w:r>
      <w:r w:rsidRPr="007D6C46">
        <w:t>:</w:t>
      </w:r>
      <w:r w:rsidRPr="007D6C46">
        <w:tab/>
        <w:t>ST/SG/AC</w:t>
      </w:r>
      <w:r w:rsidR="008B77B5" w:rsidRPr="008B77B5">
        <w:t>.</w:t>
      </w:r>
      <w:r w:rsidRPr="007D6C46">
        <w:t>10/C</w:t>
      </w:r>
      <w:r w:rsidR="008B77B5" w:rsidRPr="008B77B5">
        <w:t>.</w:t>
      </w:r>
      <w:r w:rsidRPr="007D6C46">
        <w:t>3/2022/41 (Chine)</w:t>
      </w:r>
    </w:p>
    <w:p w14:paraId="16EC0196" w14:textId="0340BC28" w:rsidR="00564BA0" w:rsidRPr="007D6C46" w:rsidRDefault="00564BA0" w:rsidP="00564BA0">
      <w:pPr>
        <w:pStyle w:val="SingleTxtG"/>
        <w:tabs>
          <w:tab w:val="left" w:pos="2977"/>
        </w:tabs>
      </w:pPr>
      <w:r w:rsidRPr="007D6C46">
        <w:t>45</w:t>
      </w:r>
      <w:r w:rsidR="008B77B5" w:rsidRPr="008B77B5">
        <w:t>.</w:t>
      </w:r>
      <w:r w:rsidRPr="007D6C46">
        <w:tab/>
        <w:t>Le Sous-Comité a rappelé les débats de la session précédente sur le document ST/SG/AC</w:t>
      </w:r>
      <w:r w:rsidR="008B77B5" w:rsidRPr="008B77B5">
        <w:t>.</w:t>
      </w:r>
      <w:r w:rsidRPr="007D6C46">
        <w:t>10/C</w:t>
      </w:r>
      <w:r w:rsidR="008B77B5" w:rsidRPr="008B77B5">
        <w:t>.</w:t>
      </w:r>
      <w:r w:rsidRPr="007D6C46">
        <w:t>3/2021/52 et adopté les amendements proposés au 6</w:t>
      </w:r>
      <w:r w:rsidR="008B77B5" w:rsidRPr="008B77B5">
        <w:t>.</w:t>
      </w:r>
      <w:r w:rsidRPr="007D6C46">
        <w:t>1</w:t>
      </w:r>
      <w:r w:rsidR="008B77B5" w:rsidRPr="008B77B5">
        <w:t>.</w:t>
      </w:r>
      <w:r w:rsidRPr="007D6C46">
        <w:t>3</w:t>
      </w:r>
      <w:r w:rsidR="008B77B5" w:rsidRPr="008B77B5">
        <w:t>.</w:t>
      </w:r>
      <w:r w:rsidRPr="007D6C46">
        <w:t>1 du Règlement type (voir annexe I)</w:t>
      </w:r>
      <w:r w:rsidR="008B77B5" w:rsidRPr="008B77B5">
        <w:t>.</w:t>
      </w:r>
    </w:p>
    <w:p w14:paraId="770584BF" w14:textId="6878BB06" w:rsidR="00564BA0" w:rsidRPr="007D6C46" w:rsidRDefault="00564BA0" w:rsidP="00564BA0">
      <w:pPr>
        <w:pStyle w:val="H1G"/>
      </w:pPr>
      <w:r w:rsidRPr="007D6C46">
        <w:tab/>
        <w:t>I</w:t>
      </w:r>
      <w:r w:rsidR="008B77B5" w:rsidRPr="008B77B5">
        <w:t>.</w:t>
      </w:r>
      <w:r w:rsidRPr="007D6C46">
        <w:tab/>
        <w:t>Proposition d’exemption pour les objets manufacturés contenant de petites quantités de gallium (</w:t>
      </w:r>
      <w:bookmarkStart w:id="18" w:name="_Hlk115034954"/>
      <w:r w:rsidRPr="007D6C46">
        <w:t xml:space="preserve">version actualisée </w:t>
      </w:r>
      <w:bookmarkEnd w:id="18"/>
      <w:r w:rsidRPr="007D6C46">
        <w:t>du document ST/SG/AC</w:t>
      </w:r>
      <w:r w:rsidR="008B77B5" w:rsidRPr="008B77B5">
        <w:t>.</w:t>
      </w:r>
      <w:r w:rsidRPr="007D6C46">
        <w:t>10/C</w:t>
      </w:r>
      <w:r w:rsidR="008B77B5" w:rsidRPr="008B77B5">
        <w:t>.</w:t>
      </w:r>
      <w:r w:rsidRPr="007D6C46">
        <w:t>3/2021/53)</w:t>
      </w:r>
    </w:p>
    <w:p w14:paraId="29C28880" w14:textId="33FEFA50"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w:t>
      </w:r>
      <w:r w:rsidRPr="007D6C46">
        <w:t>:</w:t>
      </w:r>
      <w:r w:rsidRPr="007D6C46">
        <w:tab/>
        <w:t>ST/SG/AC</w:t>
      </w:r>
      <w:r w:rsidR="008B77B5" w:rsidRPr="008B77B5">
        <w:t>.</w:t>
      </w:r>
      <w:r w:rsidRPr="007D6C46">
        <w:t>10/C</w:t>
      </w:r>
      <w:r w:rsidR="008B77B5" w:rsidRPr="008B77B5">
        <w:t>.</w:t>
      </w:r>
      <w:r w:rsidRPr="007D6C46">
        <w:t>3/2022/44 (Chine)</w:t>
      </w:r>
    </w:p>
    <w:p w14:paraId="26FB6CBF" w14:textId="0BBD77D8" w:rsidR="00564BA0" w:rsidRPr="007D6C46" w:rsidRDefault="00564BA0" w:rsidP="00564BA0">
      <w:pPr>
        <w:pStyle w:val="SingleTxtG"/>
        <w:tabs>
          <w:tab w:val="left" w:pos="2977"/>
        </w:tabs>
      </w:pPr>
      <w:r w:rsidRPr="007D6C46">
        <w:t>46</w:t>
      </w:r>
      <w:r w:rsidR="008B77B5" w:rsidRPr="008B77B5">
        <w:t>.</w:t>
      </w:r>
      <w:r w:rsidRPr="007D6C46">
        <w:tab/>
        <w:t>Le Sous-Comité a adopté les amendements figurant dans le document ST/SG/AC</w:t>
      </w:r>
      <w:r w:rsidR="008B77B5" w:rsidRPr="008B77B5">
        <w:t>.</w:t>
      </w:r>
      <w:r w:rsidRPr="007D6C46">
        <w:t>10/C</w:t>
      </w:r>
      <w:r w:rsidR="008B77B5" w:rsidRPr="008B77B5">
        <w:t>.</w:t>
      </w:r>
      <w:r w:rsidRPr="007D6C46">
        <w:t>3/2022/44</w:t>
      </w:r>
      <w:r w:rsidR="008B77B5" w:rsidRPr="008B77B5">
        <w:t>.</w:t>
      </w:r>
      <w:r w:rsidRPr="007D6C46">
        <w:t xml:space="preserve"> Il a cependant préféré maintenir entre crochets l’amendement à la disposition spéciale 366 relatif au transport aérien (voir annexe I), en attendant la confirmation éventuelle du Groupe d’experts des marchandises dangereuses de l’OACI à sa session de novembre 2022</w:t>
      </w:r>
      <w:r w:rsidR="008B77B5" w:rsidRPr="008B77B5">
        <w:t>.</w:t>
      </w:r>
      <w:r w:rsidRPr="007D6C46">
        <w:t xml:space="preserve"> Il a demandé au secrétariat </w:t>
      </w:r>
      <w:r w:rsidR="000514C2">
        <w:t xml:space="preserve">de </w:t>
      </w:r>
      <w:r w:rsidRPr="007D6C46">
        <w:t>compléter l’index alphabétique du Règlement type en conséquence</w:t>
      </w:r>
      <w:r w:rsidR="008B77B5" w:rsidRPr="008B77B5">
        <w:t>.</w:t>
      </w:r>
    </w:p>
    <w:p w14:paraId="1687917D" w14:textId="0FD2CDA3" w:rsidR="00564BA0" w:rsidRPr="007D6C46" w:rsidRDefault="00564BA0" w:rsidP="00564BA0">
      <w:pPr>
        <w:pStyle w:val="H1G"/>
      </w:pPr>
      <w:r w:rsidRPr="007D6C46">
        <w:tab/>
        <w:t>J</w:t>
      </w:r>
      <w:r w:rsidR="008B77B5" w:rsidRPr="008B77B5">
        <w:t>.</w:t>
      </w:r>
      <w:r w:rsidRPr="007D6C46">
        <w:tab/>
        <w:t>Ajout d’une rubrique pour les mélanges de butylènes dans l’index alphabétique des matières et objets</w:t>
      </w:r>
    </w:p>
    <w:p w14:paraId="69E5216E" w14:textId="7BF7E4B1"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w:t>
      </w:r>
      <w:r w:rsidRPr="007D6C46">
        <w:t> :</w:t>
      </w:r>
      <w:r w:rsidRPr="007D6C46">
        <w:tab/>
        <w:t>INF</w:t>
      </w:r>
      <w:r w:rsidR="008B77B5" w:rsidRPr="008B77B5">
        <w:t>.</w:t>
      </w:r>
      <w:r w:rsidRPr="007D6C46">
        <w:t>7 (secrétariat)</w:t>
      </w:r>
    </w:p>
    <w:p w14:paraId="16405B92" w14:textId="470B3DA4" w:rsidR="00564BA0" w:rsidRPr="007D6C46" w:rsidRDefault="00564BA0" w:rsidP="00564BA0">
      <w:pPr>
        <w:pStyle w:val="SingleTxtG"/>
        <w:tabs>
          <w:tab w:val="left" w:pos="2977"/>
        </w:tabs>
      </w:pPr>
      <w:r w:rsidRPr="007D6C46">
        <w:t>47</w:t>
      </w:r>
      <w:r w:rsidR="008B77B5" w:rsidRPr="008B77B5">
        <w:t>.</w:t>
      </w:r>
      <w:r w:rsidRPr="007D6C46">
        <w:tab/>
        <w:t>Le Sous-Comité a adopté les modifications proposées telles que modifiées (voir annexe I)</w:t>
      </w:r>
      <w:r w:rsidR="008B77B5" w:rsidRPr="008B77B5">
        <w:t>.</w:t>
      </w:r>
    </w:p>
    <w:p w14:paraId="3E05A504" w14:textId="1DF5CA94" w:rsidR="00564BA0" w:rsidRPr="007D6C46" w:rsidRDefault="00564BA0" w:rsidP="00564BA0">
      <w:pPr>
        <w:pStyle w:val="H1G"/>
      </w:pPr>
      <w:r w:rsidRPr="007D6C46">
        <w:tab/>
        <w:t>K</w:t>
      </w:r>
      <w:r w:rsidR="008B77B5" w:rsidRPr="008B77B5">
        <w:t>.</w:t>
      </w:r>
      <w:r w:rsidRPr="007D6C46">
        <w:tab/>
        <w:t xml:space="preserve">Classement de </w:t>
      </w:r>
      <w:bookmarkStart w:id="19" w:name="_Hlk115035080"/>
      <w:r w:rsidRPr="007D6C46">
        <w:t>l’</w:t>
      </w:r>
      <w:proofErr w:type="spellStart"/>
      <w:r w:rsidRPr="007D6C46">
        <w:t>orthopoxvirus</w:t>
      </w:r>
      <w:proofErr w:type="spellEnd"/>
      <w:r w:rsidRPr="007D6C46">
        <w:t xml:space="preserve"> simien</w:t>
      </w:r>
      <w:bookmarkEnd w:id="19"/>
    </w:p>
    <w:p w14:paraId="79984E09" w14:textId="52E403F5"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Documents informels</w:t>
      </w:r>
      <w:r w:rsidRPr="007D6C46">
        <w:t> :</w:t>
      </w:r>
      <w:r w:rsidRPr="007D6C46">
        <w:tab/>
        <w:t>INF</w:t>
      </w:r>
      <w:r w:rsidR="008B77B5" w:rsidRPr="008B77B5">
        <w:t>.</w:t>
      </w:r>
      <w:r w:rsidRPr="007D6C46">
        <w:t xml:space="preserve">24 (Allemagne) </w:t>
      </w:r>
      <w:r w:rsidRPr="007D6C46">
        <w:br/>
        <w:t>INF</w:t>
      </w:r>
      <w:r w:rsidR="008B77B5" w:rsidRPr="008B77B5">
        <w:t>.</w:t>
      </w:r>
      <w:r w:rsidRPr="007D6C46">
        <w:t>35 (États-Unis d’Amérique)</w:t>
      </w:r>
    </w:p>
    <w:p w14:paraId="62F6A953" w14:textId="69F22D62" w:rsidR="00564BA0" w:rsidRPr="007D6C46" w:rsidRDefault="00564BA0" w:rsidP="00564BA0">
      <w:pPr>
        <w:pStyle w:val="SingleTxtG"/>
        <w:tabs>
          <w:tab w:val="left" w:pos="2977"/>
        </w:tabs>
      </w:pPr>
      <w:r w:rsidRPr="007D6C46">
        <w:t>48</w:t>
      </w:r>
      <w:r w:rsidR="008B77B5" w:rsidRPr="008B77B5">
        <w:t>.</w:t>
      </w:r>
      <w:r w:rsidRPr="007D6C46">
        <w:tab/>
        <w:t>Le Sous-Comité a estimé que le classement de l’</w:t>
      </w:r>
      <w:proofErr w:type="spellStart"/>
      <w:r w:rsidRPr="007D6C46">
        <w:t>orthopoxvirus</w:t>
      </w:r>
      <w:proofErr w:type="spellEnd"/>
      <w:r w:rsidRPr="007D6C46">
        <w:t xml:space="preserve"> simien dans la catégorie A (</w:t>
      </w:r>
      <w:proofErr w:type="gramStart"/>
      <w:r w:rsidRPr="007D6C46">
        <w:t>sans restrictions</w:t>
      </w:r>
      <w:proofErr w:type="gramEnd"/>
      <w:r w:rsidRPr="007D6C46">
        <w:t>) n’était pas justifié par le groupe de risque qui lui était attribué selon les directives internationales et qu’il ne correspondait pas à l’évaluation des autres virus du groupe de risque 3 dans le Règlement type</w:t>
      </w:r>
      <w:r w:rsidR="008B77B5" w:rsidRPr="008B77B5">
        <w:t>.</w:t>
      </w:r>
      <w:r w:rsidRPr="007D6C46">
        <w:t xml:space="preserve"> Il a été décidé que l’</w:t>
      </w:r>
      <w:proofErr w:type="spellStart"/>
      <w:r w:rsidRPr="007D6C46">
        <w:t>orthopoxvirus</w:t>
      </w:r>
      <w:proofErr w:type="spellEnd"/>
      <w:r w:rsidRPr="007D6C46">
        <w:t xml:space="preserve"> simien devait être traité comme les autres virus du groupe de risque 3 et donc classé en « catégorie</w:t>
      </w:r>
      <w:r w:rsidR="00125D50">
        <w:t> </w:t>
      </w:r>
      <w:r w:rsidRPr="007D6C46">
        <w:t>A (cultures seulement) »</w:t>
      </w:r>
      <w:r w:rsidR="008B77B5" w:rsidRPr="008B77B5">
        <w:t>.</w:t>
      </w:r>
      <w:r w:rsidRPr="007D6C46">
        <w:t xml:space="preserve"> Le Sous-Comité a adopté les modifications au tableau du 2</w:t>
      </w:r>
      <w:r w:rsidR="008B77B5" w:rsidRPr="008B77B5">
        <w:t>.</w:t>
      </w:r>
      <w:r w:rsidRPr="007D6C46">
        <w:t>6</w:t>
      </w:r>
      <w:r w:rsidR="008B77B5" w:rsidRPr="008B77B5">
        <w:t>.</w:t>
      </w:r>
      <w:r w:rsidRPr="007D6C46">
        <w:t>3</w:t>
      </w:r>
      <w:r w:rsidR="008B77B5" w:rsidRPr="008B77B5">
        <w:t>.</w:t>
      </w:r>
      <w:r w:rsidRPr="007D6C46">
        <w:t>2</w:t>
      </w:r>
      <w:r w:rsidR="008B77B5" w:rsidRPr="008B77B5">
        <w:t>.</w:t>
      </w:r>
      <w:r w:rsidRPr="007D6C46">
        <w:t>2</w:t>
      </w:r>
      <w:r w:rsidR="008B77B5" w:rsidRPr="008B77B5">
        <w:t>.</w:t>
      </w:r>
      <w:r w:rsidRPr="007D6C46">
        <w:t>1 proposées au paragraphe 9 du document informel INF</w:t>
      </w:r>
      <w:r w:rsidR="008B77B5" w:rsidRPr="008B77B5">
        <w:t>.</w:t>
      </w:r>
      <w:r w:rsidRPr="007D6C46">
        <w:t>24 (voir annexe I)</w:t>
      </w:r>
      <w:r w:rsidR="008B77B5" w:rsidRPr="008B77B5">
        <w:t>.</w:t>
      </w:r>
    </w:p>
    <w:p w14:paraId="2BCAD14F" w14:textId="261C48FD" w:rsidR="00564BA0" w:rsidRPr="007D6C46" w:rsidRDefault="00564BA0" w:rsidP="00564BA0">
      <w:pPr>
        <w:pStyle w:val="SingleTxtG"/>
        <w:tabs>
          <w:tab w:val="left" w:pos="2977"/>
        </w:tabs>
      </w:pPr>
      <w:r w:rsidRPr="007D6C46">
        <w:t>49</w:t>
      </w:r>
      <w:r w:rsidR="008B77B5" w:rsidRPr="008B77B5">
        <w:t>.</w:t>
      </w:r>
      <w:r w:rsidRPr="007D6C46">
        <w:tab/>
        <w:t>L’expert de l’Allemagne a annoncé son intention de préparer un accord multilatéral pour que le RID/ADR autorise le transport d’échantillons cliniques et d’autres matériels potentiellement contaminés par l’</w:t>
      </w:r>
      <w:proofErr w:type="spellStart"/>
      <w:r w:rsidRPr="007D6C46">
        <w:t>orthopoxvirus</w:t>
      </w:r>
      <w:proofErr w:type="spellEnd"/>
      <w:r w:rsidRPr="007D6C46">
        <w:t xml:space="preserve"> simien sous les </w:t>
      </w:r>
      <w:r w:rsidR="00125D50">
        <w:t>Nos</w:t>
      </w:r>
      <w:r w:rsidRPr="007D6C46">
        <w:t xml:space="preserve"> ONU 3373 ou 3291 et a invité les États parties contractantes au RID/ADR à le signer</w:t>
      </w:r>
      <w:r w:rsidR="008B77B5" w:rsidRPr="008B77B5">
        <w:t>.</w:t>
      </w:r>
    </w:p>
    <w:p w14:paraId="1ECC9CB7" w14:textId="05FC0584" w:rsidR="00564BA0" w:rsidRPr="007D6C46" w:rsidRDefault="00564BA0" w:rsidP="00564BA0">
      <w:pPr>
        <w:pStyle w:val="SingleTxtG"/>
        <w:tabs>
          <w:tab w:val="left" w:pos="2977"/>
        </w:tabs>
      </w:pPr>
      <w:r w:rsidRPr="007D6C46">
        <w:t>50</w:t>
      </w:r>
      <w:r w:rsidR="008B77B5" w:rsidRPr="008B77B5">
        <w:t>.</w:t>
      </w:r>
      <w:r w:rsidRPr="007D6C46">
        <w:tab/>
        <w:t>Le Sous-Comité a pris acte des préoccupations concernant la note proposée dans le document informel INF</w:t>
      </w:r>
      <w:r w:rsidR="008B77B5" w:rsidRPr="008B77B5">
        <w:t>.</w:t>
      </w:r>
      <w:r w:rsidRPr="007D6C46">
        <w:t>35</w:t>
      </w:r>
      <w:r w:rsidR="008B77B5" w:rsidRPr="008B77B5">
        <w:t>.</w:t>
      </w:r>
      <w:r w:rsidRPr="007D6C46">
        <w:t xml:space="preserve"> Certains experts ont dit avoir besoin de plus de temps pour étudier la proposition et ses incidences sur la classification internationale harmonisée</w:t>
      </w:r>
      <w:r w:rsidR="008B77B5" w:rsidRPr="008B77B5">
        <w:t>.</w:t>
      </w:r>
      <w:r w:rsidRPr="007D6C46">
        <w:t xml:space="preserve"> L’expert des États-Unis d’Amérique a proposé de revoir la proposition en tenant compte des commentaires reçus et de soumettre un nouveau document pour la session suivante</w:t>
      </w:r>
      <w:r w:rsidR="008B77B5" w:rsidRPr="008B77B5">
        <w:t>.</w:t>
      </w:r>
    </w:p>
    <w:p w14:paraId="2AA4EA3B" w14:textId="47C5323A" w:rsidR="00564BA0" w:rsidRPr="007D6C46" w:rsidRDefault="00564BA0" w:rsidP="00564BA0">
      <w:pPr>
        <w:pStyle w:val="H1G"/>
      </w:pPr>
      <w:r w:rsidRPr="007D6C46">
        <w:tab/>
        <w:t>L</w:t>
      </w:r>
      <w:r w:rsidR="008B77B5" w:rsidRPr="008B77B5">
        <w:t>.</w:t>
      </w:r>
      <w:r w:rsidRPr="007D6C46">
        <w:tab/>
        <w:t xml:space="preserve">Ajout de la classe 8 en tant que danger subsidiaire pour le No ONU 1040 OXYDE D’ÉTHYLÈNE, ou OXYDE D’ÉTHYLÈNE AVEC </w:t>
      </w:r>
      <w:bookmarkStart w:id="20" w:name="_Hlk115035119"/>
      <w:r w:rsidRPr="007D6C46">
        <w:t xml:space="preserve">DE L’AZOTE </w:t>
      </w:r>
      <w:bookmarkEnd w:id="20"/>
      <w:r w:rsidRPr="007D6C46">
        <w:t>jusqu’à une pression totale de 1 MPa (10 bars) à 50 °C</w:t>
      </w:r>
    </w:p>
    <w:p w14:paraId="13BA936E" w14:textId="5F9F5E73"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w:t>
      </w:r>
      <w:r w:rsidRPr="007D6C46">
        <w:t> :</w:t>
      </w:r>
      <w:r w:rsidRPr="007D6C46">
        <w:tab/>
        <w:t>INF</w:t>
      </w:r>
      <w:r w:rsidR="008B77B5" w:rsidRPr="008B77B5">
        <w:t>.</w:t>
      </w:r>
      <w:r w:rsidRPr="007D6C46">
        <w:t>25 (Allemagne)</w:t>
      </w:r>
    </w:p>
    <w:p w14:paraId="77B6AD10" w14:textId="303A9499" w:rsidR="00564BA0" w:rsidRPr="007D6C46" w:rsidRDefault="00564BA0" w:rsidP="00564BA0">
      <w:pPr>
        <w:pStyle w:val="SingleTxtG"/>
        <w:tabs>
          <w:tab w:val="left" w:pos="2977"/>
        </w:tabs>
      </w:pPr>
      <w:r w:rsidRPr="007D6C46">
        <w:t>51</w:t>
      </w:r>
      <w:r w:rsidR="008B77B5" w:rsidRPr="008B77B5">
        <w:t>.</w:t>
      </w:r>
      <w:r w:rsidRPr="007D6C46">
        <w:tab/>
        <w:t>En l’absence de fiche de renseignements et compte tenu du manque de temps, la plupart des experts ont dit ne pas être en mesure d’appuyer la proposition figurant dans le document informel INF</w:t>
      </w:r>
      <w:r w:rsidR="008B77B5" w:rsidRPr="008B77B5">
        <w:t>.</w:t>
      </w:r>
      <w:r w:rsidRPr="007D6C46">
        <w:t>25</w:t>
      </w:r>
      <w:r w:rsidR="008B77B5" w:rsidRPr="008B77B5">
        <w:t>.</w:t>
      </w:r>
      <w:r w:rsidRPr="007D6C46">
        <w:t xml:space="preserve"> Après un échange de vues, l’experte de l’Allemagne a dit qu’elle soumettrait un document officiel comportant une fiche détaillée à la session suivante</w:t>
      </w:r>
      <w:r w:rsidR="008B77B5" w:rsidRPr="008B77B5">
        <w:t>.</w:t>
      </w:r>
    </w:p>
    <w:p w14:paraId="361A314E" w14:textId="501C3D94" w:rsidR="00564BA0" w:rsidRPr="007D6C46" w:rsidRDefault="00564BA0" w:rsidP="00564BA0">
      <w:pPr>
        <w:pStyle w:val="H1G"/>
      </w:pPr>
      <w:r w:rsidRPr="007D6C46">
        <w:tab/>
        <w:t>M</w:t>
      </w:r>
      <w:r w:rsidR="008B77B5" w:rsidRPr="008B77B5">
        <w:t>.</w:t>
      </w:r>
      <w:r w:rsidRPr="007D6C46">
        <w:tab/>
        <w:t>Dispositifs d’extinction du feu contenant une matière pyrotechnique</w:t>
      </w:r>
    </w:p>
    <w:p w14:paraId="25E245CB" w14:textId="04800C62" w:rsidR="00564BA0" w:rsidRPr="008B77B5" w:rsidRDefault="00564BA0" w:rsidP="00DE3355">
      <w:pPr>
        <w:pStyle w:val="SingleTxtG"/>
        <w:tabs>
          <w:tab w:val="clear" w:pos="1701"/>
          <w:tab w:val="clear" w:pos="2268"/>
          <w:tab w:val="clear" w:pos="2835"/>
          <w:tab w:val="left" w:pos="3119"/>
        </w:tabs>
        <w:ind w:left="3119" w:hanging="1985"/>
        <w:jc w:val="left"/>
        <w:rPr>
          <w:i/>
          <w:lang w:val="en-US"/>
        </w:rPr>
      </w:pPr>
      <w:proofErr w:type="gramStart"/>
      <w:r w:rsidRPr="008B77B5">
        <w:rPr>
          <w:i/>
          <w:iCs/>
          <w:lang w:val="en-US"/>
        </w:rPr>
        <w:t>Document </w:t>
      </w:r>
      <w:r w:rsidRPr="008B77B5">
        <w:rPr>
          <w:lang w:val="en-US"/>
        </w:rPr>
        <w:t>:</w:t>
      </w:r>
      <w:proofErr w:type="gramEnd"/>
      <w:r w:rsidRPr="008B77B5">
        <w:rPr>
          <w:lang w:val="en-US"/>
        </w:rPr>
        <w:tab/>
        <w:t>ST/SG/AC</w:t>
      </w:r>
      <w:r w:rsidR="008B77B5" w:rsidRPr="008B77B5">
        <w:rPr>
          <w:lang w:val="en-US"/>
        </w:rPr>
        <w:t>.</w:t>
      </w:r>
      <w:r w:rsidRPr="008B77B5">
        <w:rPr>
          <w:lang w:val="en-US"/>
        </w:rPr>
        <w:t>10/C</w:t>
      </w:r>
      <w:r w:rsidR="008B77B5" w:rsidRPr="008B77B5">
        <w:rPr>
          <w:lang w:val="en-US"/>
        </w:rPr>
        <w:t>.</w:t>
      </w:r>
      <w:r w:rsidRPr="008B77B5">
        <w:rPr>
          <w:lang w:val="en-US"/>
        </w:rPr>
        <w:t>3/2022/25 (COSTHA)</w:t>
      </w:r>
    </w:p>
    <w:p w14:paraId="749C4905" w14:textId="2B4B9F27"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Documents informels </w:t>
      </w:r>
      <w:r w:rsidRPr="007D6C46">
        <w:t>:</w:t>
      </w:r>
      <w:r w:rsidRPr="007D6C46">
        <w:tab/>
        <w:t>INF</w:t>
      </w:r>
      <w:r w:rsidR="008B77B5" w:rsidRPr="008B77B5">
        <w:t>.</w:t>
      </w:r>
      <w:r w:rsidRPr="007D6C46">
        <w:t>33, INF</w:t>
      </w:r>
      <w:r w:rsidR="008B77B5" w:rsidRPr="008B77B5">
        <w:t>.</w:t>
      </w:r>
      <w:r w:rsidRPr="007D6C46">
        <w:t>41 et INF</w:t>
      </w:r>
      <w:r w:rsidR="008B77B5" w:rsidRPr="008B77B5">
        <w:t>.</w:t>
      </w:r>
      <w:r w:rsidRPr="007D6C46">
        <w:t>45 (COSTHA)</w:t>
      </w:r>
      <w:r w:rsidRPr="007D6C46">
        <w:br/>
        <w:t>INF</w:t>
      </w:r>
      <w:r w:rsidR="008B77B5" w:rsidRPr="008B77B5">
        <w:t>.</w:t>
      </w:r>
      <w:r w:rsidRPr="007D6C46">
        <w:t>44, par</w:t>
      </w:r>
      <w:r w:rsidR="008B77B5" w:rsidRPr="008B77B5">
        <w:t>.</w:t>
      </w:r>
      <w:r w:rsidRPr="007D6C46">
        <w:t xml:space="preserve"> 15 (Président du GTE)</w:t>
      </w:r>
    </w:p>
    <w:p w14:paraId="2AAA4193" w14:textId="44ABAAC9" w:rsidR="00564BA0" w:rsidRPr="007D6C46" w:rsidRDefault="00564BA0" w:rsidP="00564BA0">
      <w:pPr>
        <w:pStyle w:val="SingleTxtG"/>
      </w:pPr>
      <w:r w:rsidRPr="007D6C46">
        <w:t>52</w:t>
      </w:r>
      <w:r w:rsidR="008B77B5" w:rsidRPr="008B77B5">
        <w:t>.</w:t>
      </w:r>
      <w:r w:rsidRPr="007D6C46">
        <w:tab/>
        <w:t>Le Sous-Comité a suivi avec intérêt la présentation du document informel INF</w:t>
      </w:r>
      <w:r w:rsidR="008B77B5" w:rsidRPr="008B77B5">
        <w:t>.</w:t>
      </w:r>
      <w:r w:rsidRPr="007D6C46">
        <w:t>45 et le débat sur la question durant une réunion informelle tenue à l’heure du déjeuner le lundi 27 juin 2022</w:t>
      </w:r>
      <w:r w:rsidR="008B77B5" w:rsidRPr="008B77B5">
        <w:t>.</w:t>
      </w:r>
      <w:r w:rsidRPr="007D6C46">
        <w:t xml:space="preserve"> Au cours d’un échange de vues sur les amendements proposés dans le document informel INF</w:t>
      </w:r>
      <w:r w:rsidR="008B77B5" w:rsidRPr="008B77B5">
        <w:t>.</w:t>
      </w:r>
      <w:r w:rsidRPr="007D6C46">
        <w:t>41, plusieurs experts ont exprimé leurs préoccupations quant à la nouvelle disposition spéciale et ont signalé que ces dispositifs d’extinction par dispersion pourraient être exclus des classes 1 et 9</w:t>
      </w:r>
      <w:r w:rsidR="008B77B5" w:rsidRPr="008B77B5">
        <w:t>.</w:t>
      </w:r>
      <w:r w:rsidRPr="007D6C46">
        <w:t xml:space="preserve"> D’autres experts se sont interrogés sur la pertinence de ces dispositifs sur les plans de la sécurité et de l’environnement</w:t>
      </w:r>
      <w:r w:rsidR="008B77B5" w:rsidRPr="008B77B5">
        <w:t>.</w:t>
      </w:r>
      <w:r w:rsidRPr="007D6C46">
        <w:t xml:space="preserve"> Il a également été noté que le Groupe de travail des explosifs n’avait pas pu parvenir à un accord sur la proposition, comme indiqué au paragraphe 15 de son rapport présenté dans le document informel INF</w:t>
      </w:r>
      <w:r w:rsidR="008B77B5" w:rsidRPr="008B77B5">
        <w:t>.</w:t>
      </w:r>
      <w:r w:rsidRPr="007D6C46">
        <w:t>44</w:t>
      </w:r>
      <w:r w:rsidR="008B77B5" w:rsidRPr="008B77B5">
        <w:t>.</w:t>
      </w:r>
    </w:p>
    <w:p w14:paraId="60A26883" w14:textId="013CB6A6" w:rsidR="00564BA0" w:rsidRPr="007D6C46" w:rsidRDefault="00564BA0" w:rsidP="00564BA0">
      <w:pPr>
        <w:pStyle w:val="SingleTxtG"/>
      </w:pPr>
      <w:r w:rsidRPr="007D6C46">
        <w:t>53</w:t>
      </w:r>
      <w:r w:rsidR="008B77B5" w:rsidRPr="008B77B5">
        <w:t>.</w:t>
      </w:r>
      <w:r w:rsidRPr="007D6C46">
        <w:tab/>
        <w:t>Le représentant du COSTHA a admis que le débat portait à la fois sur des considérations techniques en ce qui concernait le GTE et sur des considérations politiques en ce qui concernait le Sous-Comité</w:t>
      </w:r>
      <w:r w:rsidR="008B77B5" w:rsidRPr="008B77B5">
        <w:t>.</w:t>
      </w:r>
      <w:r w:rsidRPr="007D6C46">
        <w:t xml:space="preserve"> Il a proposé d’établir pour la session suivante une proposition révisée qui tiendrait compte des observations reçues</w:t>
      </w:r>
      <w:r w:rsidR="008B77B5" w:rsidRPr="008B77B5">
        <w:t>.</w:t>
      </w:r>
    </w:p>
    <w:p w14:paraId="519047B3" w14:textId="1DD7B7EC" w:rsidR="00564BA0" w:rsidRPr="007D6C46" w:rsidRDefault="00564BA0" w:rsidP="00564BA0">
      <w:pPr>
        <w:pStyle w:val="HChG"/>
      </w:pPr>
      <w:r w:rsidRPr="007D6C46">
        <w:tab/>
        <w:t>VI</w:t>
      </w:r>
      <w:r w:rsidR="008B77B5" w:rsidRPr="008B77B5">
        <w:t>.</w:t>
      </w:r>
      <w:r w:rsidRPr="007D6C46">
        <w:tab/>
        <w:t xml:space="preserve">Systèmes de stockage de l’électricité </w:t>
      </w:r>
      <w:r w:rsidRPr="007D6C46">
        <w:br/>
        <w:t>(point 4 de l’ordre du</w:t>
      </w:r>
      <w:r w:rsidR="00125D50">
        <w:t xml:space="preserve"> </w:t>
      </w:r>
      <w:r w:rsidRPr="007D6C46">
        <w:t>jour)</w:t>
      </w:r>
    </w:p>
    <w:p w14:paraId="271B7D43" w14:textId="599A3D8E" w:rsidR="00564BA0" w:rsidRPr="007D6C46" w:rsidRDefault="00564BA0" w:rsidP="00564BA0">
      <w:pPr>
        <w:pStyle w:val="H1G"/>
        <w:spacing w:before="280"/>
      </w:pPr>
      <w:r w:rsidRPr="007D6C46">
        <w:rPr>
          <w:bCs/>
        </w:rPr>
        <w:tab/>
        <w:t>A</w:t>
      </w:r>
      <w:r w:rsidR="008B77B5" w:rsidRPr="008B77B5">
        <w:rPr>
          <w:bCs/>
        </w:rPr>
        <w:t>.</w:t>
      </w:r>
      <w:r w:rsidRPr="007D6C46">
        <w:tab/>
      </w:r>
      <w:r w:rsidRPr="007D6C46">
        <w:rPr>
          <w:bCs/>
        </w:rPr>
        <w:t>Épreuves pour les batteries au lithium</w:t>
      </w:r>
    </w:p>
    <w:p w14:paraId="64A14802" w14:textId="26E7886F" w:rsidR="00564BA0" w:rsidRPr="007D6C46" w:rsidRDefault="00564BA0" w:rsidP="00564BA0">
      <w:pPr>
        <w:pStyle w:val="SingleTxtG"/>
      </w:pPr>
      <w:r w:rsidRPr="007D6C46">
        <w:t>54</w:t>
      </w:r>
      <w:r w:rsidR="008B77B5" w:rsidRPr="008B77B5">
        <w:t>.</w:t>
      </w:r>
      <w:r w:rsidRPr="007D6C46">
        <w:tab/>
        <w:t>Aucun document n’ayant été soumis au titre de ce point de l’ordre du jour, la question n’a pas été abordée</w:t>
      </w:r>
      <w:r w:rsidR="008B77B5" w:rsidRPr="008B77B5">
        <w:t>.</w:t>
      </w:r>
    </w:p>
    <w:p w14:paraId="1A54584F" w14:textId="4332ECAE" w:rsidR="00564BA0" w:rsidRPr="007D6C46" w:rsidRDefault="00564BA0" w:rsidP="00564BA0">
      <w:pPr>
        <w:pStyle w:val="H1G"/>
        <w:spacing w:before="240" w:after="120"/>
      </w:pPr>
      <w:r w:rsidRPr="007D6C46">
        <w:rPr>
          <w:bCs/>
        </w:rPr>
        <w:tab/>
        <w:t>B</w:t>
      </w:r>
      <w:r w:rsidR="008B77B5" w:rsidRPr="008B77B5">
        <w:rPr>
          <w:bCs/>
        </w:rPr>
        <w:t>.</w:t>
      </w:r>
      <w:r w:rsidRPr="007D6C46">
        <w:tab/>
      </w:r>
      <w:r w:rsidRPr="007D6C46">
        <w:rPr>
          <w:bCs/>
        </w:rPr>
        <w:t>Système de classification des batteries au lithium en fonction du danger</w:t>
      </w:r>
    </w:p>
    <w:p w14:paraId="30CC9189" w14:textId="2C64C2BE"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informel </w:t>
      </w:r>
      <w:r w:rsidRPr="007D6C46">
        <w:t>:</w:t>
      </w:r>
      <w:r w:rsidRPr="007D6C46">
        <w:tab/>
        <w:t>INF</w:t>
      </w:r>
      <w:r w:rsidR="008B77B5" w:rsidRPr="008B77B5">
        <w:t>.</w:t>
      </w:r>
      <w:r w:rsidRPr="007D6C46">
        <w:t>11 (France, RECHARGE)</w:t>
      </w:r>
    </w:p>
    <w:p w14:paraId="32F80F82" w14:textId="331CDF32" w:rsidR="00564BA0" w:rsidRPr="007D6C46" w:rsidRDefault="00564BA0" w:rsidP="00564BA0">
      <w:pPr>
        <w:pStyle w:val="SingleTxtG"/>
        <w:tabs>
          <w:tab w:val="left" w:pos="2977"/>
        </w:tabs>
      </w:pPr>
      <w:r w:rsidRPr="007D6C46">
        <w:t>55</w:t>
      </w:r>
      <w:r w:rsidR="008B77B5" w:rsidRPr="008B77B5">
        <w:t>.</w:t>
      </w:r>
      <w:r w:rsidRPr="007D6C46">
        <w:tab/>
        <w:t>Le Sous-Comité a accueilli avec intérêt le document informel INF</w:t>
      </w:r>
      <w:r w:rsidR="008B77B5" w:rsidRPr="008B77B5">
        <w:t>.</w:t>
      </w:r>
      <w:r w:rsidRPr="007D6C46">
        <w:t>11, dans lequel sont présentés les résultats des récentes réunions du groupe de travail informel de la classification des piles et batteries au lithium en fonction du danger</w:t>
      </w:r>
      <w:r w:rsidR="008B77B5" w:rsidRPr="008B77B5">
        <w:t>.</w:t>
      </w:r>
      <w:r w:rsidRPr="007D6C46">
        <w:t xml:space="preserve"> </w:t>
      </w:r>
      <w:r w:rsidRPr="00125D50">
        <w:t xml:space="preserve">Il a été </w:t>
      </w:r>
      <w:r w:rsidR="00125D50" w:rsidRPr="00125D50">
        <w:t xml:space="preserve">noté </w:t>
      </w:r>
      <w:r w:rsidRPr="00125D50">
        <w:t>que le groupe</w:t>
      </w:r>
      <w:r w:rsidRPr="007D6C46">
        <w:t xml:space="preserve"> de laboratoires d’essai faisait porter l’essentiel de ses travaux sur la définition des protocoles d’essai et sur le processus de vérification en deux temps, comme indiqué aux paragraphes 15 et 17 du document informel INF</w:t>
      </w:r>
      <w:r w:rsidR="008B77B5" w:rsidRPr="008B77B5">
        <w:t>.</w:t>
      </w:r>
      <w:r w:rsidRPr="007D6C46">
        <w:t>11</w:t>
      </w:r>
      <w:r w:rsidR="008B77B5" w:rsidRPr="008B77B5">
        <w:t>.</w:t>
      </w:r>
      <w:r w:rsidRPr="007D6C46">
        <w:t xml:space="preserve"> Des travaux supplémentaires étaient toutefois nécessaires pour achever l’élaboration des protocoles d’essai</w:t>
      </w:r>
      <w:r w:rsidR="008B77B5" w:rsidRPr="008B77B5">
        <w:t>.</w:t>
      </w:r>
      <w:r w:rsidRPr="007D6C46">
        <w:t xml:space="preserve"> Les représentants intéressés par la question ont été invités à participer à la réunion suivante du groupe de travail informel, prévue le 7 juillet 2022</w:t>
      </w:r>
      <w:r w:rsidR="008B77B5" w:rsidRPr="008B77B5">
        <w:t>.</w:t>
      </w:r>
      <w:r w:rsidRPr="007D6C46">
        <w:t xml:space="preserve"> Le président du groupe informel a rappelé que les travaux avaient été menés par vidéoconférence pendant toute la durée de la pandémie, ce qui avait ralenti les progrès, et que le groupe avait envisagé de poursuivre ses travaux au-delà du calendrier initial figurant dans le document informel INF</w:t>
      </w:r>
      <w:r w:rsidR="008B77B5" w:rsidRPr="008B77B5">
        <w:t>.</w:t>
      </w:r>
      <w:r w:rsidRPr="007D6C46">
        <w:t>52 (cinquante-cinquième session)</w:t>
      </w:r>
      <w:r w:rsidR="008B77B5" w:rsidRPr="008B77B5">
        <w:t>.</w:t>
      </w:r>
    </w:p>
    <w:p w14:paraId="7177C6CA" w14:textId="4AD77B23" w:rsidR="00564BA0" w:rsidRPr="007D6C46" w:rsidRDefault="00564BA0" w:rsidP="00564BA0">
      <w:pPr>
        <w:pStyle w:val="H1G"/>
      </w:pPr>
      <w:r w:rsidRPr="007D6C46">
        <w:rPr>
          <w:bCs/>
        </w:rPr>
        <w:tab/>
        <w:t>C</w:t>
      </w:r>
      <w:r w:rsidR="008B77B5" w:rsidRPr="008B77B5">
        <w:rPr>
          <w:bCs/>
        </w:rPr>
        <w:t>.</w:t>
      </w:r>
      <w:r w:rsidRPr="007D6C46">
        <w:tab/>
      </w:r>
      <w:r w:rsidRPr="007D6C46">
        <w:rPr>
          <w:bCs/>
        </w:rPr>
        <w:t>Dispositions relatives au transport</w:t>
      </w:r>
    </w:p>
    <w:p w14:paraId="1B12280C" w14:textId="3EE45D04" w:rsidR="00564BA0" w:rsidRPr="007D6C46" w:rsidRDefault="00564BA0" w:rsidP="00564BA0">
      <w:pPr>
        <w:pStyle w:val="H23G"/>
      </w:pPr>
      <w:r w:rsidRPr="007D6C46">
        <w:rPr>
          <w:bCs/>
        </w:rPr>
        <w:tab/>
        <w:t>1</w:t>
      </w:r>
      <w:r w:rsidR="008B77B5" w:rsidRPr="008B77B5">
        <w:rPr>
          <w:bCs/>
        </w:rPr>
        <w:t>.</w:t>
      </w:r>
      <w:r w:rsidRPr="007D6C46">
        <w:tab/>
      </w:r>
      <w:r w:rsidRPr="007D6C46">
        <w:rPr>
          <w:bCs/>
        </w:rPr>
        <w:t>Résumé du procès-verbal d’essai pour les piles au lithium</w:t>
      </w:r>
    </w:p>
    <w:p w14:paraId="22972728" w14:textId="16029E3B"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w:t>
      </w:r>
      <w:r w:rsidRPr="007D6C46">
        <w:t xml:space="preserve">: </w:t>
      </w:r>
      <w:r w:rsidRPr="007D6C46">
        <w:tab/>
        <w:t>ST/SG/AC</w:t>
      </w:r>
      <w:r w:rsidR="008B77B5" w:rsidRPr="008B77B5">
        <w:t>.</w:t>
      </w:r>
      <w:r w:rsidRPr="007D6C46">
        <w:t>10/C</w:t>
      </w:r>
      <w:r w:rsidR="008B77B5" w:rsidRPr="008B77B5">
        <w:t>.</w:t>
      </w:r>
      <w:r w:rsidRPr="007D6C46">
        <w:t>3/2022/38 (PRBA, RECHARGE, MDTC)</w:t>
      </w:r>
    </w:p>
    <w:p w14:paraId="1BC5F85C" w14:textId="2E4EE840" w:rsidR="00564BA0" w:rsidRPr="007D6C46" w:rsidRDefault="00564BA0" w:rsidP="00564BA0">
      <w:pPr>
        <w:pStyle w:val="SingleTxtG"/>
      </w:pPr>
      <w:r w:rsidRPr="007D6C46">
        <w:t>56</w:t>
      </w:r>
      <w:r w:rsidR="008B77B5" w:rsidRPr="008B77B5">
        <w:t>.</w:t>
      </w:r>
      <w:r w:rsidRPr="007D6C46">
        <w:tab/>
        <w:t>Le Sous-Comité n’a pas appuyé la proposition présentée dans le document ST/SG/AC</w:t>
      </w:r>
      <w:r w:rsidR="008B77B5" w:rsidRPr="008B77B5">
        <w:t>.</w:t>
      </w:r>
      <w:r w:rsidRPr="007D6C46">
        <w:t>10/C</w:t>
      </w:r>
      <w:r w:rsidR="008B77B5" w:rsidRPr="008B77B5">
        <w:t>.</w:t>
      </w:r>
      <w:r w:rsidRPr="007D6C46">
        <w:t>3/2022/38, tendant à modifier l’alinéa i) du paragraphe 38</w:t>
      </w:r>
      <w:r w:rsidR="008B77B5" w:rsidRPr="008B77B5">
        <w:t>.</w:t>
      </w:r>
      <w:r w:rsidRPr="007D6C46">
        <w:t>3</w:t>
      </w:r>
      <w:r w:rsidR="008B77B5" w:rsidRPr="008B77B5">
        <w:t>.</w:t>
      </w:r>
      <w:r w:rsidRPr="007D6C46">
        <w:t>5 du Manuel d’épreuves et de critères</w:t>
      </w:r>
      <w:r w:rsidR="008B77B5" w:rsidRPr="008B77B5">
        <w:t>.</w:t>
      </w:r>
      <w:r w:rsidRPr="007D6C46">
        <w:t xml:space="preserve"> Il a en outre été souligné que le texte actuel était suffisamment clair</w:t>
      </w:r>
      <w:r w:rsidR="008B77B5" w:rsidRPr="008B77B5">
        <w:t>.</w:t>
      </w:r>
      <w:r w:rsidRPr="007D6C46">
        <w:t xml:space="preserve"> Le représentant de la PRBA a retiré le document</w:t>
      </w:r>
      <w:r w:rsidR="008B77B5" w:rsidRPr="008B77B5">
        <w:t>.</w:t>
      </w:r>
    </w:p>
    <w:p w14:paraId="14D59833" w14:textId="7BEEBC63" w:rsidR="00564BA0" w:rsidRPr="007D6C46" w:rsidRDefault="00564BA0" w:rsidP="00564BA0">
      <w:pPr>
        <w:pStyle w:val="H23G"/>
      </w:pPr>
      <w:r w:rsidRPr="007D6C46">
        <w:rPr>
          <w:bCs/>
        </w:rPr>
        <w:tab/>
        <w:t>2</w:t>
      </w:r>
      <w:r w:rsidR="008B77B5" w:rsidRPr="008B77B5">
        <w:rPr>
          <w:bCs/>
        </w:rPr>
        <w:t>.</w:t>
      </w:r>
      <w:r w:rsidRPr="007D6C46">
        <w:tab/>
      </w:r>
      <w:r w:rsidRPr="007D6C46">
        <w:rPr>
          <w:bCs/>
        </w:rPr>
        <w:t>Amendements à l’alinéa 2) de l’instruction d’emballage P903</w:t>
      </w:r>
    </w:p>
    <w:p w14:paraId="613C8789" w14:textId="5EE9D19F" w:rsidR="00564BA0" w:rsidRPr="007D6C46" w:rsidRDefault="00564BA0" w:rsidP="00DE3355">
      <w:pPr>
        <w:pStyle w:val="SingleTxtG"/>
        <w:tabs>
          <w:tab w:val="clear" w:pos="1701"/>
          <w:tab w:val="clear" w:pos="2268"/>
          <w:tab w:val="clear" w:pos="2835"/>
          <w:tab w:val="left" w:pos="3119"/>
        </w:tabs>
        <w:ind w:left="3119" w:hanging="1985"/>
        <w:jc w:val="left"/>
        <w:rPr>
          <w:i/>
        </w:rPr>
      </w:pPr>
      <w:r w:rsidRPr="007D6C46">
        <w:rPr>
          <w:i/>
          <w:iCs/>
        </w:rPr>
        <w:t>Document </w:t>
      </w:r>
      <w:r w:rsidRPr="007D6C46">
        <w:t>:</w:t>
      </w:r>
      <w:r w:rsidRPr="007D6C46">
        <w:tab/>
        <w:t>ST/SG/AC</w:t>
      </w:r>
      <w:r w:rsidR="008B77B5" w:rsidRPr="008B77B5">
        <w:t>.</w:t>
      </w:r>
      <w:r w:rsidRPr="007D6C46">
        <w:t>10/C</w:t>
      </w:r>
      <w:r w:rsidR="008B77B5" w:rsidRPr="008B77B5">
        <w:t>.</w:t>
      </w:r>
      <w:r w:rsidRPr="007D6C46">
        <w:t>3/2022/42 (Chine)</w:t>
      </w:r>
    </w:p>
    <w:p w14:paraId="6A2876A6" w14:textId="7C999C87"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informel </w:t>
      </w:r>
      <w:r w:rsidRPr="007D6C46">
        <w:t>:</w:t>
      </w:r>
      <w:r w:rsidRPr="007D6C46">
        <w:tab/>
        <w:t>INF</w:t>
      </w:r>
      <w:r w:rsidR="008B77B5" w:rsidRPr="008B77B5">
        <w:t>.</w:t>
      </w:r>
      <w:r w:rsidRPr="007D6C46">
        <w:t>6 (Chine)</w:t>
      </w:r>
    </w:p>
    <w:p w14:paraId="2D5C9D04" w14:textId="3DA9C4E2" w:rsidR="00564BA0" w:rsidRPr="007D6C46" w:rsidRDefault="00564BA0" w:rsidP="00564BA0">
      <w:pPr>
        <w:pStyle w:val="SingleTxtG"/>
      </w:pPr>
      <w:r w:rsidRPr="007D6C46">
        <w:t>57</w:t>
      </w:r>
      <w:r w:rsidR="008B77B5" w:rsidRPr="008B77B5">
        <w:t>.</w:t>
      </w:r>
      <w:r w:rsidRPr="007D6C46">
        <w:tab/>
        <w:t>Aucune des deux options proposées dans le document ST/SG/AC</w:t>
      </w:r>
      <w:r w:rsidR="008B77B5" w:rsidRPr="008B77B5">
        <w:t>.</w:t>
      </w:r>
      <w:r w:rsidRPr="007D6C46">
        <w:t>10/C</w:t>
      </w:r>
      <w:r w:rsidR="008B77B5" w:rsidRPr="008B77B5">
        <w:t>.</w:t>
      </w:r>
      <w:r w:rsidRPr="007D6C46">
        <w:t>3/2022/42 n’a reçu un appui</w:t>
      </w:r>
      <w:r w:rsidR="008B77B5" w:rsidRPr="008B77B5">
        <w:t>.</w:t>
      </w:r>
      <w:r w:rsidRPr="007D6C46">
        <w:t xml:space="preserve"> Certains experts avaient l’impression que l’amendement proposé autoriserait le transport sans emballage de petites piles ou de batteries</w:t>
      </w:r>
      <w:r w:rsidR="008B77B5" w:rsidRPr="008B77B5">
        <w:t>.</w:t>
      </w:r>
      <w:r w:rsidRPr="007D6C46">
        <w:t xml:space="preserve"> L’expert de la Chine a dit qu’il effectuerait des études supplémentaires et soumettrait une nouvelle proposition à une session ultérieure</w:t>
      </w:r>
      <w:r w:rsidR="008B77B5" w:rsidRPr="008B77B5">
        <w:t>.</w:t>
      </w:r>
    </w:p>
    <w:p w14:paraId="55006CB5" w14:textId="564DCD85" w:rsidR="00564BA0" w:rsidRPr="007D6C46" w:rsidRDefault="00564BA0" w:rsidP="00564BA0">
      <w:pPr>
        <w:pStyle w:val="H23G"/>
      </w:pPr>
      <w:r w:rsidRPr="007D6C46">
        <w:tab/>
        <w:t>3</w:t>
      </w:r>
      <w:r w:rsidR="008B77B5" w:rsidRPr="008B77B5">
        <w:t>.</w:t>
      </w:r>
      <w:r w:rsidRPr="007D6C46">
        <w:tab/>
        <w:t xml:space="preserve">Réutilisation, réparation et reconversion des piles et batteries </w:t>
      </w:r>
      <w:bookmarkStart w:id="21" w:name="_Hlk115035326"/>
      <w:r w:rsidRPr="007D6C46">
        <w:t>au lithium ionique</w:t>
      </w:r>
      <w:bookmarkEnd w:id="21"/>
      <w:r w:rsidR="00125D50">
        <w:t xml:space="preserve"> </w:t>
      </w:r>
      <w:r w:rsidRPr="007D6C46">
        <w:t xml:space="preserve">et incidences sur les dispositions relatives à la sécurité et aux épreuves </w:t>
      </w:r>
      <w:r w:rsidR="00125D50">
        <w:br/>
      </w:r>
      <w:r w:rsidRPr="007D6C46">
        <w:t>de la section 38</w:t>
      </w:r>
      <w:r w:rsidR="008B77B5" w:rsidRPr="008B77B5">
        <w:t>.</w:t>
      </w:r>
      <w:r w:rsidRPr="007D6C46">
        <w:t>3 du Manuel d’épreuves et de critères</w:t>
      </w:r>
    </w:p>
    <w:p w14:paraId="0C5735D2" w14:textId="6A4CA3CB"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Documents informels </w:t>
      </w:r>
      <w:r w:rsidRPr="007D6C46">
        <w:t>:</w:t>
      </w:r>
      <w:r w:rsidRPr="007D6C46">
        <w:tab/>
        <w:t>INF</w:t>
      </w:r>
      <w:r w:rsidR="008B77B5" w:rsidRPr="008B77B5">
        <w:t>.</w:t>
      </w:r>
      <w:r w:rsidRPr="007D6C46">
        <w:t>26 et INF</w:t>
      </w:r>
      <w:r w:rsidR="008B77B5" w:rsidRPr="008B77B5">
        <w:t>.</w:t>
      </w:r>
      <w:r w:rsidRPr="007D6C46">
        <w:t>47 (PRBA, RECHARGE)</w:t>
      </w:r>
    </w:p>
    <w:p w14:paraId="08B87982" w14:textId="6D9AFA36" w:rsidR="00564BA0" w:rsidRPr="007D6C46" w:rsidRDefault="00564BA0" w:rsidP="00564BA0">
      <w:pPr>
        <w:pStyle w:val="SingleTxtG"/>
        <w:spacing w:before="120"/>
      </w:pPr>
      <w:r w:rsidRPr="007D6C46">
        <w:t>58</w:t>
      </w:r>
      <w:r w:rsidR="008B77B5" w:rsidRPr="008B77B5">
        <w:t>.</w:t>
      </w:r>
      <w:r w:rsidRPr="007D6C46">
        <w:tab/>
        <w:t>Le Sous-Comité a accueilli favorablement les informations présentées dans le document informel INF</w:t>
      </w:r>
      <w:r w:rsidR="008B77B5" w:rsidRPr="008B77B5">
        <w:t>.</w:t>
      </w:r>
      <w:r w:rsidRPr="007D6C46">
        <w:t>26</w:t>
      </w:r>
      <w:r w:rsidR="008B77B5" w:rsidRPr="008B77B5">
        <w:t>.</w:t>
      </w:r>
      <w:r w:rsidRPr="007D6C46">
        <w:t xml:space="preserve"> Il a salué l’initiative, prise par les représentants de la PRBA et de RECHARGE, de créer un groupe de travail informel afin de poursuivre le débat sur ce sujet et d’élaborer à cet égard des prescriptions détaillées</w:t>
      </w:r>
      <w:r w:rsidR="008B77B5" w:rsidRPr="008B77B5">
        <w:t>.</w:t>
      </w:r>
      <w:r w:rsidRPr="007D6C46">
        <w:t xml:space="preserve"> Il a été noté que cette activité contribuerait également au débat en cours sur l’économie circulaire</w:t>
      </w:r>
      <w:r w:rsidR="008B77B5" w:rsidRPr="008B77B5">
        <w:t>.</w:t>
      </w:r>
    </w:p>
    <w:p w14:paraId="281A16E4" w14:textId="49D53AD1" w:rsidR="00564BA0" w:rsidRPr="007D6C46" w:rsidRDefault="00564BA0" w:rsidP="00564BA0">
      <w:pPr>
        <w:pStyle w:val="SingleTxtG"/>
        <w:spacing w:before="120"/>
      </w:pPr>
      <w:r w:rsidRPr="007D6C46">
        <w:t>59</w:t>
      </w:r>
      <w:r w:rsidR="008B77B5" w:rsidRPr="008B77B5">
        <w:t>.</w:t>
      </w:r>
      <w:r w:rsidRPr="007D6C46">
        <w:tab/>
        <w:t>Le Sous-Comité a examiné le document informel INF</w:t>
      </w:r>
      <w:r w:rsidR="008B77B5" w:rsidRPr="008B77B5">
        <w:t>.</w:t>
      </w:r>
      <w:r w:rsidRPr="007D6C46">
        <w:t>47 et a adopté le mandat du nouveau groupe de travail informel sur la réutilisation, la réparation et la reconversion des piles et batteries au lithium ionique, tel que modifié (remplacer au paragraphe</w:t>
      </w:r>
      <w:r w:rsidR="009B0C7D" w:rsidRPr="007D6C46">
        <w:t> </w:t>
      </w:r>
      <w:r w:rsidRPr="007D6C46">
        <w:t>4</w:t>
      </w:r>
      <w:r w:rsidR="009B0C7D" w:rsidRPr="007D6C46">
        <w:t> </w:t>
      </w:r>
      <w:r w:rsidRPr="007D6C46">
        <w:t>d) « propositions d’amender » par « examen de »)</w:t>
      </w:r>
      <w:r w:rsidR="008B77B5" w:rsidRPr="008B77B5">
        <w:t>.</w:t>
      </w:r>
    </w:p>
    <w:p w14:paraId="0BECF82E" w14:textId="350200C9" w:rsidR="00564BA0" w:rsidRPr="007D6C46" w:rsidRDefault="00564BA0" w:rsidP="00564BA0">
      <w:pPr>
        <w:pStyle w:val="H23G"/>
      </w:pPr>
      <w:r w:rsidRPr="007D6C46">
        <w:rPr>
          <w:bCs/>
        </w:rPr>
        <w:tab/>
        <w:t>4</w:t>
      </w:r>
      <w:r w:rsidR="008B77B5" w:rsidRPr="008B77B5">
        <w:rPr>
          <w:bCs/>
        </w:rPr>
        <w:t>.</w:t>
      </w:r>
      <w:r w:rsidRPr="007D6C46">
        <w:tab/>
      </w:r>
      <w:bookmarkStart w:id="22" w:name="_Hlk115000011"/>
      <w:r w:rsidRPr="007D6C46">
        <w:rPr>
          <w:bCs/>
        </w:rPr>
        <w:t xml:space="preserve">Mise à l’essai des batteries </w:t>
      </w:r>
      <w:r w:rsidRPr="007D6C46">
        <w:t>au lithium ionique</w:t>
      </w:r>
      <w:r w:rsidRPr="007D6C46">
        <w:rPr>
          <w:bCs/>
        </w:rPr>
        <w:t xml:space="preserve"> − épreuve de protection contre les courts-circuits</w:t>
      </w:r>
      <w:bookmarkEnd w:id="22"/>
    </w:p>
    <w:p w14:paraId="1CF9BDE7" w14:textId="740657C3"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informel </w:t>
      </w:r>
      <w:r w:rsidRPr="007D6C46">
        <w:t>:</w:t>
      </w:r>
      <w:r w:rsidRPr="007D6C46">
        <w:tab/>
        <w:t>INF</w:t>
      </w:r>
      <w:r w:rsidR="008B77B5" w:rsidRPr="008B77B5">
        <w:t>.</w:t>
      </w:r>
      <w:r w:rsidRPr="007D6C46">
        <w:t>27 (RECHARGE)</w:t>
      </w:r>
    </w:p>
    <w:p w14:paraId="33F6FB72" w14:textId="4011BC57" w:rsidR="00564BA0" w:rsidRPr="007D6C46" w:rsidRDefault="00564BA0" w:rsidP="00564BA0">
      <w:pPr>
        <w:pStyle w:val="SingleTxtG"/>
      </w:pPr>
      <w:r w:rsidRPr="007D6C46">
        <w:t>60</w:t>
      </w:r>
      <w:r w:rsidR="008B77B5" w:rsidRPr="008B77B5">
        <w:t>.</w:t>
      </w:r>
      <w:r w:rsidRPr="007D6C46">
        <w:tab/>
        <w:t>Le document a fait l’objet de quelques observations sur les modalités d’exécution de l’épreuve de protection contre les courts-circuits conformément aux dispositions du 38</w:t>
      </w:r>
      <w:r w:rsidR="008B77B5" w:rsidRPr="008B77B5">
        <w:t>.</w:t>
      </w:r>
      <w:r w:rsidRPr="007D6C46">
        <w:t>3</w:t>
      </w:r>
      <w:r w:rsidR="008B77B5" w:rsidRPr="008B77B5">
        <w:t>.</w:t>
      </w:r>
      <w:r w:rsidRPr="007D6C46">
        <w:t>2</w:t>
      </w:r>
      <w:r w:rsidR="008B77B5" w:rsidRPr="008B77B5">
        <w:t>.</w:t>
      </w:r>
      <w:r w:rsidRPr="007D6C46">
        <w:t>1 du Manuel d’épreuves et de critères</w:t>
      </w:r>
      <w:r w:rsidR="008B77B5" w:rsidRPr="008B77B5">
        <w:t>.</w:t>
      </w:r>
      <w:r w:rsidRPr="007D6C46">
        <w:t xml:space="preserve"> Le représentant de RECHARGE a fait part de son intention de mener des travaux supplémentaires sur la question et d’en rendre compte au Sous-Comité à la session suivante</w:t>
      </w:r>
      <w:r w:rsidR="008B77B5" w:rsidRPr="008B77B5">
        <w:t>.</w:t>
      </w:r>
    </w:p>
    <w:p w14:paraId="2519048E" w14:textId="72638E71" w:rsidR="00564BA0" w:rsidRPr="007D6C46" w:rsidRDefault="00564BA0" w:rsidP="00564BA0">
      <w:pPr>
        <w:pStyle w:val="H23G"/>
        <w:ind w:right="1700"/>
      </w:pPr>
      <w:r w:rsidRPr="007D6C46">
        <w:tab/>
        <w:t>5</w:t>
      </w:r>
      <w:r w:rsidR="008B77B5" w:rsidRPr="008B77B5">
        <w:t>.</w:t>
      </w:r>
      <w:r w:rsidRPr="007D6C46">
        <w:tab/>
        <w:t xml:space="preserve">Applicabilité de la « mise à disposition » du procès-verbal d’essai </w:t>
      </w:r>
      <w:r w:rsidR="009B0C7D" w:rsidRPr="007D6C46">
        <w:br/>
      </w:r>
      <w:r w:rsidRPr="007D6C46">
        <w:t>des batteries au lithium</w:t>
      </w:r>
    </w:p>
    <w:p w14:paraId="4BD081A5" w14:textId="05D0D5D4" w:rsidR="00564BA0" w:rsidRPr="007D6C46" w:rsidRDefault="00564BA0" w:rsidP="00DE3355">
      <w:pPr>
        <w:pStyle w:val="SingleTxtG"/>
        <w:tabs>
          <w:tab w:val="clear" w:pos="1701"/>
          <w:tab w:val="clear" w:pos="2268"/>
          <w:tab w:val="clear" w:pos="2835"/>
          <w:tab w:val="left" w:pos="3119"/>
        </w:tabs>
        <w:ind w:left="3119" w:hanging="1985"/>
        <w:jc w:val="left"/>
        <w:rPr>
          <w:i/>
        </w:rPr>
      </w:pPr>
      <w:r w:rsidRPr="007D6C46">
        <w:rPr>
          <w:i/>
          <w:iCs/>
        </w:rPr>
        <w:t>Document </w:t>
      </w:r>
      <w:r w:rsidRPr="007D6C46">
        <w:t>:</w:t>
      </w:r>
      <w:r w:rsidRPr="007D6C46">
        <w:tab/>
        <w:t>ST/SG/AC</w:t>
      </w:r>
      <w:r w:rsidR="008B77B5" w:rsidRPr="008B77B5">
        <w:t>.</w:t>
      </w:r>
      <w:r w:rsidRPr="007D6C46">
        <w:t>10/C</w:t>
      </w:r>
      <w:r w:rsidR="008B77B5" w:rsidRPr="008B77B5">
        <w:t>.</w:t>
      </w:r>
      <w:r w:rsidRPr="007D6C46">
        <w:t>3/2022/20 (IATA)</w:t>
      </w:r>
    </w:p>
    <w:p w14:paraId="190A6A6A" w14:textId="4F7B797D"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Documents informels </w:t>
      </w:r>
      <w:r w:rsidRPr="007D6C46">
        <w:t>:</w:t>
      </w:r>
      <w:r w:rsidRPr="007D6C46">
        <w:tab/>
        <w:t>INF</w:t>
      </w:r>
      <w:r w:rsidR="008B77B5" w:rsidRPr="008B77B5">
        <w:t>.</w:t>
      </w:r>
      <w:r w:rsidRPr="007D6C46">
        <w:t>32/Rev</w:t>
      </w:r>
      <w:r w:rsidR="008B77B5" w:rsidRPr="008B77B5">
        <w:t>.</w:t>
      </w:r>
      <w:r w:rsidRPr="007D6C46">
        <w:t xml:space="preserve">1 (MDTC) </w:t>
      </w:r>
      <w:r w:rsidRPr="007D6C46">
        <w:br/>
        <w:t>INF</w:t>
      </w:r>
      <w:r w:rsidR="008B77B5" w:rsidRPr="008B77B5">
        <w:t>.</w:t>
      </w:r>
      <w:r w:rsidRPr="007D6C46">
        <w:t>43 (IATA)</w:t>
      </w:r>
    </w:p>
    <w:p w14:paraId="3FA12552" w14:textId="3FF08ADE" w:rsidR="00564BA0" w:rsidRPr="007D6C46" w:rsidRDefault="00564BA0" w:rsidP="00564BA0">
      <w:pPr>
        <w:pStyle w:val="SingleTxtG"/>
      </w:pPr>
      <w:r w:rsidRPr="007D6C46">
        <w:t>61</w:t>
      </w:r>
      <w:r w:rsidR="008B77B5" w:rsidRPr="008B77B5">
        <w:t>.</w:t>
      </w:r>
      <w:r w:rsidRPr="007D6C46">
        <w:tab/>
        <w:t>Certains experts ont fait état de problèmes relatifs à la disponibilité du procès-verbal d’épreuve dans la chaîne de transport et ont suggéré que l’expression « mettre à disposition » employée au 2</w:t>
      </w:r>
      <w:r w:rsidR="008B77B5" w:rsidRPr="008B77B5">
        <w:t>.</w:t>
      </w:r>
      <w:r w:rsidRPr="007D6C46">
        <w:t>9</w:t>
      </w:r>
      <w:r w:rsidR="008B77B5" w:rsidRPr="008B77B5">
        <w:t>.</w:t>
      </w:r>
      <w:r w:rsidRPr="007D6C46">
        <w:t>4 g) devait être précisée</w:t>
      </w:r>
      <w:r w:rsidR="008B77B5" w:rsidRPr="008B77B5">
        <w:t>.</w:t>
      </w:r>
      <w:r w:rsidRPr="007D6C46">
        <w:t xml:space="preserve"> Il a été convenu que le procès-verbal d’épreuve devait être disponible publiquement sans démarche pour toutes les parties qui en avaient légitimement besoin</w:t>
      </w:r>
      <w:r w:rsidR="008B77B5" w:rsidRPr="008B77B5">
        <w:t>.</w:t>
      </w:r>
      <w:r w:rsidRPr="007D6C46">
        <w:t xml:space="preserve"> L’expert de la France a fait observer qu’un débat semblable était en cours au niveau de l’Europe et qu’un code QR pour un « passeport des batteries » pourrait être envisagé à l’avenir</w:t>
      </w:r>
      <w:r w:rsidR="008B77B5" w:rsidRPr="008B77B5">
        <w:t>.</w:t>
      </w:r>
      <w:r w:rsidRPr="007D6C46">
        <w:t xml:space="preserve"> Certains experts ont préféré que l’on conserve le texte actuel et que l’on insère une note explicative sur la signification de l’expression « mettre à disposition » et sur la responsabilité concernant les données fournies dans le procès-verbal d’épreuve</w:t>
      </w:r>
      <w:r w:rsidR="008B77B5" w:rsidRPr="008B77B5">
        <w:t>.</w:t>
      </w:r>
    </w:p>
    <w:p w14:paraId="24219933" w14:textId="25A4341D" w:rsidR="00564BA0" w:rsidRPr="007D6C46" w:rsidRDefault="00564BA0" w:rsidP="00564BA0">
      <w:pPr>
        <w:pStyle w:val="SingleTxtG"/>
      </w:pPr>
      <w:r w:rsidRPr="007D6C46">
        <w:t>62</w:t>
      </w:r>
      <w:r w:rsidR="008B77B5" w:rsidRPr="008B77B5">
        <w:t>.</w:t>
      </w:r>
      <w:r w:rsidRPr="007D6C46">
        <w:tab/>
        <w:t>Le Sous-Comité a en définitive adopté la nouvelle note au 2</w:t>
      </w:r>
      <w:r w:rsidR="008B77B5" w:rsidRPr="008B77B5">
        <w:t>.</w:t>
      </w:r>
      <w:r w:rsidRPr="007D6C46">
        <w:t>9</w:t>
      </w:r>
      <w:r w:rsidR="008B77B5" w:rsidRPr="008B77B5">
        <w:t>.</w:t>
      </w:r>
      <w:r w:rsidRPr="007D6C46">
        <w:t>4, proposée dans le document informel INF</w:t>
      </w:r>
      <w:r w:rsidR="008B77B5" w:rsidRPr="008B77B5">
        <w:t>.</w:t>
      </w:r>
      <w:r w:rsidRPr="007D6C46">
        <w:t>43, telle que modifiée (voir l’annexe I)</w:t>
      </w:r>
      <w:r w:rsidR="008B77B5" w:rsidRPr="008B77B5">
        <w:t>.</w:t>
      </w:r>
    </w:p>
    <w:p w14:paraId="37FF0E46" w14:textId="119E77FB" w:rsidR="00564BA0" w:rsidRPr="007D6C46" w:rsidRDefault="00564BA0" w:rsidP="00564BA0">
      <w:pPr>
        <w:pStyle w:val="H23G"/>
      </w:pPr>
      <w:r w:rsidRPr="007D6C46">
        <w:tab/>
        <w:t>6</w:t>
      </w:r>
      <w:r w:rsidR="008B77B5" w:rsidRPr="008B77B5">
        <w:t>.</w:t>
      </w:r>
      <w:r w:rsidRPr="007D6C46">
        <w:tab/>
        <w:t>Propositions d’amendements à l’instruction d’emballage LP903</w:t>
      </w:r>
    </w:p>
    <w:p w14:paraId="4ED3579D" w14:textId="650831CF" w:rsidR="00564BA0" w:rsidRPr="007D6C46" w:rsidRDefault="00564BA0" w:rsidP="00DE3355">
      <w:pPr>
        <w:pStyle w:val="SingleTxtG"/>
        <w:tabs>
          <w:tab w:val="clear" w:pos="1701"/>
          <w:tab w:val="clear" w:pos="2268"/>
          <w:tab w:val="clear" w:pos="2835"/>
          <w:tab w:val="left" w:pos="3119"/>
        </w:tabs>
        <w:ind w:left="3119" w:hanging="1985"/>
        <w:jc w:val="left"/>
        <w:rPr>
          <w:i/>
        </w:rPr>
      </w:pPr>
      <w:r w:rsidRPr="007D6C46">
        <w:rPr>
          <w:i/>
          <w:iCs/>
        </w:rPr>
        <w:t>Document </w:t>
      </w:r>
      <w:r w:rsidRPr="007D6C46">
        <w:t>:</w:t>
      </w:r>
      <w:r w:rsidRPr="007D6C46">
        <w:tab/>
        <w:t>ST/SG/AC</w:t>
      </w:r>
      <w:r w:rsidR="008B77B5" w:rsidRPr="008B77B5">
        <w:t>.</w:t>
      </w:r>
      <w:r w:rsidRPr="007D6C46">
        <w:t>10/C</w:t>
      </w:r>
      <w:r w:rsidR="008B77B5" w:rsidRPr="008B77B5">
        <w:t>.</w:t>
      </w:r>
      <w:r w:rsidRPr="007D6C46">
        <w:t>3/2022/37 (PRBA, RECHARGE)</w:t>
      </w:r>
    </w:p>
    <w:p w14:paraId="1CD5071E" w14:textId="3932B5A9"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Documents informels </w:t>
      </w:r>
      <w:r w:rsidRPr="007D6C46">
        <w:t>:</w:t>
      </w:r>
      <w:r w:rsidRPr="007D6C46">
        <w:tab/>
        <w:t>INF</w:t>
      </w:r>
      <w:r w:rsidR="008B77B5" w:rsidRPr="008B77B5">
        <w:t>.</w:t>
      </w:r>
      <w:r w:rsidRPr="007D6C46">
        <w:t xml:space="preserve">30 (Chine) </w:t>
      </w:r>
      <w:r w:rsidRPr="007D6C46">
        <w:br/>
        <w:t>INF</w:t>
      </w:r>
      <w:r w:rsidR="008B77B5" w:rsidRPr="008B77B5">
        <w:t>.</w:t>
      </w:r>
      <w:r w:rsidRPr="007D6C46">
        <w:t>40 (PRBA, RECHARGE)</w:t>
      </w:r>
    </w:p>
    <w:p w14:paraId="337EBEA6" w14:textId="06DA314E" w:rsidR="00564BA0" w:rsidRPr="007D6C46" w:rsidRDefault="00564BA0" w:rsidP="00564BA0">
      <w:pPr>
        <w:pStyle w:val="SingleTxtG"/>
      </w:pPr>
      <w:r w:rsidRPr="007D6C46">
        <w:t>63</w:t>
      </w:r>
      <w:r w:rsidR="008B77B5" w:rsidRPr="008B77B5">
        <w:t>.</w:t>
      </w:r>
      <w:r w:rsidRPr="007D6C46">
        <w:tab/>
        <w:t>Le Sous-Comité a appuyé la proposition énoncée dans le document ST/SG/AC</w:t>
      </w:r>
      <w:r w:rsidR="008B77B5" w:rsidRPr="008B77B5">
        <w:t>.</w:t>
      </w:r>
      <w:r w:rsidRPr="007D6C46">
        <w:t>10/C</w:t>
      </w:r>
      <w:r w:rsidR="008B77B5" w:rsidRPr="008B77B5">
        <w:t>.</w:t>
      </w:r>
      <w:r w:rsidRPr="007D6C46">
        <w:t>3/2022/37, telle que modifiée par le document informel INF</w:t>
      </w:r>
      <w:r w:rsidR="008B77B5" w:rsidRPr="008B77B5">
        <w:t>.</w:t>
      </w:r>
      <w:r w:rsidRPr="007D6C46">
        <w:t>30</w:t>
      </w:r>
      <w:r w:rsidR="008B77B5" w:rsidRPr="008B77B5">
        <w:t>.</w:t>
      </w:r>
      <w:r w:rsidRPr="007D6C46">
        <w:t xml:space="preserve"> Plusieurs experts ont cependant approuvé la suggestion de l’expert de la Suède tendant à compléter les dispositions générales du point 4</w:t>
      </w:r>
      <w:r w:rsidR="008B77B5" w:rsidRPr="008B77B5">
        <w:t>.</w:t>
      </w:r>
      <w:r w:rsidRPr="007D6C46">
        <w:t>1</w:t>
      </w:r>
      <w:r w:rsidR="008B77B5" w:rsidRPr="008B77B5">
        <w:t>.</w:t>
      </w:r>
      <w:r w:rsidRPr="007D6C46">
        <w:t>1 par un texte explicatif</w:t>
      </w:r>
      <w:r w:rsidR="008B77B5" w:rsidRPr="008B77B5">
        <w:t>.</w:t>
      </w:r>
      <w:r w:rsidRPr="007D6C46">
        <w:t xml:space="preserve"> À l’issue du débat, le Sous</w:t>
      </w:r>
      <w:r w:rsidRPr="007D6C46">
        <w:noBreakHyphen/>
        <w:t>Comité a adopté les amendements à l’instruction d’emballage LP903 proposés dans le document informel INF</w:t>
      </w:r>
      <w:r w:rsidR="008B77B5" w:rsidRPr="008B77B5">
        <w:t>.</w:t>
      </w:r>
      <w:r w:rsidRPr="007D6C46">
        <w:t>40 tels que modifiés (voir l’annexe I)</w:t>
      </w:r>
      <w:r w:rsidR="008B77B5" w:rsidRPr="008B77B5">
        <w:t>.</w:t>
      </w:r>
    </w:p>
    <w:p w14:paraId="2064BB5A" w14:textId="27A74D89" w:rsidR="00564BA0" w:rsidRPr="007D6C46" w:rsidRDefault="00564BA0" w:rsidP="00564BA0">
      <w:pPr>
        <w:pStyle w:val="H23G"/>
      </w:pPr>
      <w:r w:rsidRPr="007D6C46">
        <w:tab/>
      </w:r>
      <w:bookmarkStart w:id="23" w:name="_Hlk115035475"/>
      <w:r w:rsidRPr="007D6C46">
        <w:t>7</w:t>
      </w:r>
      <w:r w:rsidR="008B77B5" w:rsidRPr="008B77B5">
        <w:t>.</w:t>
      </w:r>
      <w:r w:rsidRPr="007D6C46">
        <w:tab/>
        <w:t>Dispositions du 2</w:t>
      </w:r>
      <w:r w:rsidR="008B77B5" w:rsidRPr="008B77B5">
        <w:t>.</w:t>
      </w:r>
      <w:r w:rsidRPr="007D6C46">
        <w:t>9</w:t>
      </w:r>
      <w:r w:rsidR="008B77B5" w:rsidRPr="008B77B5">
        <w:t>.</w:t>
      </w:r>
      <w:r w:rsidRPr="007D6C46">
        <w:t>4 applicables aux piles au lithium transportées conformément à la disposition spéciale 310</w:t>
      </w:r>
      <w:bookmarkEnd w:id="23"/>
    </w:p>
    <w:p w14:paraId="53742564" w14:textId="61F9DB41"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Documents </w:t>
      </w:r>
      <w:r w:rsidRPr="007D6C46">
        <w:t>:</w:t>
      </w:r>
      <w:r w:rsidRPr="007D6C46">
        <w:tab/>
        <w:t>ST/SG/AC</w:t>
      </w:r>
      <w:r w:rsidR="008B77B5" w:rsidRPr="008B77B5">
        <w:t>.</w:t>
      </w:r>
      <w:r w:rsidRPr="007D6C46">
        <w:t>10/C</w:t>
      </w:r>
      <w:r w:rsidR="008B77B5" w:rsidRPr="008B77B5">
        <w:t>.</w:t>
      </w:r>
      <w:r w:rsidRPr="007D6C46">
        <w:t>3/2022/30 (Belgique)</w:t>
      </w:r>
      <w:r w:rsidRPr="007D6C46">
        <w:br/>
        <w:t>ST/SG/AC</w:t>
      </w:r>
      <w:r w:rsidR="008B77B5" w:rsidRPr="008B77B5">
        <w:t>.</w:t>
      </w:r>
      <w:r w:rsidRPr="007D6C46">
        <w:t>10/C</w:t>
      </w:r>
      <w:r w:rsidR="008B77B5" w:rsidRPr="008B77B5">
        <w:t>.</w:t>
      </w:r>
      <w:r w:rsidRPr="007D6C46">
        <w:t>3/2022/32 (PRBA, RECHARGE)</w:t>
      </w:r>
    </w:p>
    <w:p w14:paraId="29CB41ED" w14:textId="1A7C589E"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Documents informels </w:t>
      </w:r>
      <w:r w:rsidRPr="007D6C46">
        <w:t>:</w:t>
      </w:r>
      <w:r w:rsidRPr="007D6C46">
        <w:tab/>
        <w:t>INF</w:t>
      </w:r>
      <w:r w:rsidR="008B77B5" w:rsidRPr="008B77B5">
        <w:t>.</w:t>
      </w:r>
      <w:r w:rsidRPr="007D6C46">
        <w:t xml:space="preserve">21 (Suisse) </w:t>
      </w:r>
      <w:r w:rsidRPr="007D6C46">
        <w:br/>
        <w:t>INF</w:t>
      </w:r>
      <w:r w:rsidR="008B77B5" w:rsidRPr="008B77B5">
        <w:t>.</w:t>
      </w:r>
      <w:r w:rsidRPr="007D6C46">
        <w:t>49 (Belgique)</w:t>
      </w:r>
      <w:r w:rsidRPr="007D6C46">
        <w:br/>
        <w:t>INF</w:t>
      </w:r>
      <w:r w:rsidR="008B77B5" w:rsidRPr="008B77B5">
        <w:t>.</w:t>
      </w:r>
      <w:r w:rsidRPr="007D6C46">
        <w:t>51 (IATA)</w:t>
      </w:r>
    </w:p>
    <w:p w14:paraId="75ACD758" w14:textId="1313E035" w:rsidR="00564BA0" w:rsidRPr="007D6C46" w:rsidRDefault="00564BA0" w:rsidP="00564BA0">
      <w:pPr>
        <w:pStyle w:val="SingleTxtG"/>
      </w:pPr>
      <w:r w:rsidRPr="007D6C46">
        <w:t>64</w:t>
      </w:r>
      <w:r w:rsidR="008B77B5" w:rsidRPr="008B77B5">
        <w:t>.</w:t>
      </w:r>
      <w:r w:rsidRPr="007D6C46">
        <w:tab/>
        <w:t>Les avis étaient partagés au sujet des options proposées</w:t>
      </w:r>
      <w:r w:rsidR="008B77B5" w:rsidRPr="008B77B5">
        <w:t>.</w:t>
      </w:r>
      <w:r w:rsidRPr="007D6C46">
        <w:t xml:space="preserve"> La plupart des experts étaient en faveur de la proposition 1 énoncée dans le document ST/SG/AC</w:t>
      </w:r>
      <w:r w:rsidR="008B77B5" w:rsidRPr="008B77B5">
        <w:t>.</w:t>
      </w:r>
      <w:r w:rsidRPr="007D6C46">
        <w:t>10/C</w:t>
      </w:r>
      <w:r w:rsidR="008B77B5" w:rsidRPr="008B77B5">
        <w:t>.</w:t>
      </w:r>
      <w:r w:rsidRPr="007D6C46">
        <w:t>3/2022/30, compte tenu des éclaircissements présentés dans le document informel INF</w:t>
      </w:r>
      <w:r w:rsidR="008B77B5" w:rsidRPr="008B77B5">
        <w:t>.</w:t>
      </w:r>
      <w:r w:rsidRPr="007D6C46">
        <w:t>21</w:t>
      </w:r>
      <w:r w:rsidR="008B77B5" w:rsidRPr="008B77B5">
        <w:t>.</w:t>
      </w:r>
      <w:r w:rsidRPr="007D6C46">
        <w:t xml:space="preserve"> D’autres préféraient qu’une liste positive soit établie, ou que des précisions soient apportées en ce qui concernait les prototypes de préproduction et la production en petite série de piles et de batteries</w:t>
      </w:r>
      <w:r w:rsidR="008B77B5" w:rsidRPr="008B77B5">
        <w:t>.</w:t>
      </w:r>
      <w:r w:rsidRPr="007D6C46">
        <w:t xml:space="preserve"> À l’issue du débat tenu au titre du point</w:t>
      </w:r>
      <w:r w:rsidR="009B0C7D" w:rsidRPr="007D6C46">
        <w:t> </w:t>
      </w:r>
      <w:r w:rsidRPr="007D6C46">
        <w:t>6</w:t>
      </w:r>
      <w:r w:rsidR="009B0C7D" w:rsidRPr="007D6C46">
        <w:t> </w:t>
      </w:r>
      <w:r w:rsidRPr="007D6C46">
        <w:t>d) de l’ordre du jour sur le document ST/SG/AC</w:t>
      </w:r>
      <w:r w:rsidR="008B77B5" w:rsidRPr="008B77B5">
        <w:t>.</w:t>
      </w:r>
      <w:r w:rsidRPr="007D6C46">
        <w:t>10/C</w:t>
      </w:r>
      <w:r w:rsidR="008B77B5" w:rsidRPr="008B77B5">
        <w:t>.</w:t>
      </w:r>
      <w:r w:rsidRPr="007D6C46">
        <w:t>3/2022/7, dans lequel il est proposé de modifier la disposition spéciale 310, le Sous</w:t>
      </w:r>
      <w:r w:rsidRPr="007D6C46">
        <w:noBreakHyphen/>
        <w:t xml:space="preserve">Comité a adopté l’amendement proposé dans le </w:t>
      </w:r>
      <w:r w:rsidRPr="008D22ED">
        <w:t>document informel INF</w:t>
      </w:r>
      <w:r w:rsidR="00F878B0" w:rsidRPr="008D22ED">
        <w:t>.</w:t>
      </w:r>
      <w:r w:rsidR="008D22ED" w:rsidRPr="008D22ED">
        <w:t>51</w:t>
      </w:r>
      <w:r w:rsidRPr="007D6C46">
        <w:t xml:space="preserve"> (voir par</w:t>
      </w:r>
      <w:r w:rsidR="008B77B5" w:rsidRPr="008B77B5">
        <w:t>.</w:t>
      </w:r>
      <w:r w:rsidRPr="007D6C46">
        <w:t> 88 ci-après et annexe I)</w:t>
      </w:r>
      <w:r w:rsidR="008B77B5" w:rsidRPr="008B77B5">
        <w:t>.</w:t>
      </w:r>
      <w:r w:rsidRPr="007D6C46">
        <w:t xml:space="preserve"> </w:t>
      </w:r>
    </w:p>
    <w:p w14:paraId="02CE384B" w14:textId="49DB8185" w:rsidR="00564BA0" w:rsidRPr="007D6C46" w:rsidRDefault="00564BA0" w:rsidP="00564BA0">
      <w:pPr>
        <w:pStyle w:val="H1G"/>
        <w:rPr>
          <w:bCs/>
        </w:rPr>
      </w:pPr>
      <w:r w:rsidRPr="007D6C46">
        <w:rPr>
          <w:bCs/>
        </w:rPr>
        <w:tab/>
        <w:t>D</w:t>
      </w:r>
      <w:r w:rsidR="008B77B5" w:rsidRPr="008B77B5">
        <w:rPr>
          <w:bCs/>
        </w:rPr>
        <w:t>.</w:t>
      </w:r>
      <w:r w:rsidRPr="007D6C46">
        <w:rPr>
          <w:bCs/>
        </w:rPr>
        <w:tab/>
        <w:t xml:space="preserve">Batteries </w:t>
      </w:r>
      <w:proofErr w:type="gramStart"/>
      <w:r w:rsidRPr="007D6C46">
        <w:rPr>
          <w:bCs/>
        </w:rPr>
        <w:t>au lithium endommagées</w:t>
      </w:r>
      <w:proofErr w:type="gramEnd"/>
      <w:r w:rsidRPr="007D6C46">
        <w:rPr>
          <w:bCs/>
        </w:rPr>
        <w:t xml:space="preserve"> ou défectueuses</w:t>
      </w:r>
    </w:p>
    <w:p w14:paraId="3C524952" w14:textId="7CA50CD3" w:rsidR="00564BA0" w:rsidRPr="007D6C46" w:rsidRDefault="00564BA0" w:rsidP="00564BA0">
      <w:pPr>
        <w:pStyle w:val="SingleTxtG"/>
      </w:pPr>
      <w:r w:rsidRPr="007D6C46">
        <w:t>65</w:t>
      </w:r>
      <w:r w:rsidR="008B77B5" w:rsidRPr="008B77B5">
        <w:t>.</w:t>
      </w:r>
      <w:r w:rsidRPr="007D6C46">
        <w:tab/>
        <w:t>Aucun document n’ayant été soumis au titre de ce point de l’ordre du jour, la question n’a pas été abordée</w:t>
      </w:r>
      <w:r w:rsidR="008B77B5" w:rsidRPr="008B77B5">
        <w:t>.</w:t>
      </w:r>
    </w:p>
    <w:p w14:paraId="3BD3B1D9" w14:textId="453DF5D3" w:rsidR="00564BA0" w:rsidRPr="007D6C46" w:rsidRDefault="00564BA0" w:rsidP="00564BA0">
      <w:pPr>
        <w:pStyle w:val="H1G"/>
        <w:spacing w:before="280"/>
      </w:pPr>
      <w:r w:rsidRPr="007D6C46">
        <w:rPr>
          <w:bCs/>
        </w:rPr>
        <w:tab/>
        <w:t>E</w:t>
      </w:r>
      <w:r w:rsidR="008B77B5" w:rsidRPr="008B77B5">
        <w:rPr>
          <w:bCs/>
        </w:rPr>
        <w:t>.</w:t>
      </w:r>
      <w:r w:rsidRPr="007D6C46">
        <w:tab/>
      </w:r>
      <w:r w:rsidRPr="007D6C46">
        <w:rPr>
          <w:bCs/>
        </w:rPr>
        <w:t>Batteries au sodium ionique</w:t>
      </w:r>
    </w:p>
    <w:p w14:paraId="435AA142" w14:textId="4516B171" w:rsidR="00564BA0" w:rsidRPr="007D6C46" w:rsidRDefault="00564BA0" w:rsidP="00564BA0">
      <w:pPr>
        <w:pStyle w:val="SingleTxtG"/>
      </w:pPr>
      <w:r w:rsidRPr="007D6C46">
        <w:t>66</w:t>
      </w:r>
      <w:r w:rsidR="008B77B5" w:rsidRPr="008B77B5">
        <w:t>.</w:t>
      </w:r>
      <w:r w:rsidRPr="007D6C46">
        <w:tab/>
        <w:t>Aucun document n’ayant été soumis au titre de ce point de l’ordre du jour, la question n’a pas été abordée</w:t>
      </w:r>
      <w:r w:rsidR="008B77B5" w:rsidRPr="008B77B5">
        <w:t>.</w:t>
      </w:r>
    </w:p>
    <w:p w14:paraId="06E92923" w14:textId="6C741CEC" w:rsidR="00564BA0" w:rsidRPr="007D6C46" w:rsidRDefault="00564BA0" w:rsidP="00564BA0">
      <w:pPr>
        <w:pStyle w:val="H1G"/>
      </w:pPr>
      <w:r w:rsidRPr="007D6C46">
        <w:rPr>
          <w:bCs/>
        </w:rPr>
        <w:tab/>
        <w:t>F</w:t>
      </w:r>
      <w:r w:rsidR="008B77B5" w:rsidRPr="008B77B5">
        <w:rPr>
          <w:bCs/>
        </w:rPr>
        <w:t>.</w:t>
      </w:r>
      <w:r w:rsidRPr="007D6C46">
        <w:tab/>
      </w:r>
      <w:r w:rsidRPr="007D6C46">
        <w:rPr>
          <w:bCs/>
        </w:rPr>
        <w:t>Autres questions</w:t>
      </w:r>
    </w:p>
    <w:p w14:paraId="39DBD41F" w14:textId="0DF0FAC1" w:rsidR="00564BA0" w:rsidRPr="007D6C46" w:rsidRDefault="00564BA0" w:rsidP="00564BA0">
      <w:pPr>
        <w:pStyle w:val="H23G"/>
      </w:pPr>
      <w:r w:rsidRPr="007D6C46">
        <w:rPr>
          <w:bCs/>
        </w:rPr>
        <w:tab/>
        <w:t>1</w:t>
      </w:r>
      <w:r w:rsidR="008B77B5" w:rsidRPr="008B77B5">
        <w:rPr>
          <w:bCs/>
        </w:rPr>
        <w:t>.</w:t>
      </w:r>
      <w:r w:rsidRPr="007D6C46">
        <w:tab/>
      </w:r>
      <w:r w:rsidRPr="007D6C46">
        <w:rPr>
          <w:bCs/>
        </w:rPr>
        <w:t xml:space="preserve">Introduction en Chine </w:t>
      </w:r>
      <w:r w:rsidRPr="007D6C46">
        <w:t>d’une épreuve d’aptitude pour les batteries au lithium, conformément à la sous-section 38</w:t>
      </w:r>
      <w:r w:rsidR="008B77B5" w:rsidRPr="008B77B5">
        <w:t>.</w:t>
      </w:r>
      <w:r w:rsidRPr="007D6C46">
        <w:t>3 du Manuel d’épreuves et de critères</w:t>
      </w:r>
    </w:p>
    <w:p w14:paraId="416569C6" w14:textId="05EAB351"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informel </w:t>
      </w:r>
      <w:r w:rsidRPr="007D6C46">
        <w:t>:</w:t>
      </w:r>
      <w:r w:rsidRPr="007D6C46">
        <w:tab/>
        <w:t>INF</w:t>
      </w:r>
      <w:r w:rsidR="008B77B5" w:rsidRPr="008B77B5">
        <w:t>.</w:t>
      </w:r>
      <w:r w:rsidRPr="007D6C46">
        <w:t>19 (Chine)</w:t>
      </w:r>
    </w:p>
    <w:p w14:paraId="6A97B9D4" w14:textId="0763B5DA" w:rsidR="00564BA0" w:rsidRPr="007D6C46" w:rsidRDefault="00564BA0" w:rsidP="00564BA0">
      <w:pPr>
        <w:pStyle w:val="SingleTxtG"/>
      </w:pPr>
      <w:r w:rsidRPr="007D6C46">
        <w:t>67</w:t>
      </w:r>
      <w:r w:rsidR="008B77B5" w:rsidRPr="008B77B5">
        <w:t>.</w:t>
      </w:r>
      <w:r w:rsidRPr="007D6C46">
        <w:tab/>
        <w:t>Le Sous-Comité a pris note des informations fournies et a salué la contribution de la Chine à la réalisation de son projet relatif à une épreuve d’aptitude nationale</w:t>
      </w:r>
      <w:r w:rsidR="008B77B5" w:rsidRPr="008B77B5">
        <w:t>.</w:t>
      </w:r>
      <w:r w:rsidRPr="007D6C46">
        <w:t xml:space="preserve"> Plusieurs délégués ont décidé d’examiner les problèmes d’ordre pratique relevés dans le projet en ce qui concernait les épreuves de choc et de vibration</w:t>
      </w:r>
      <w:r w:rsidR="008B77B5" w:rsidRPr="008B77B5">
        <w:t>.</w:t>
      </w:r>
      <w:r w:rsidRPr="007D6C46">
        <w:t xml:space="preserve"> Les représentants de la PRBA se sont portés volontaires pour entamer un dialogue avec les laboratoires sur ces questions dans le but d’élaborer un bref document d’orientation sur la sous-section 38</w:t>
      </w:r>
      <w:r w:rsidR="008B77B5" w:rsidRPr="008B77B5">
        <w:t>.</w:t>
      </w:r>
      <w:r w:rsidRPr="007D6C46">
        <w:t>3 du Manuel d’épreuves et de critères</w:t>
      </w:r>
      <w:r w:rsidR="008B77B5" w:rsidRPr="008B77B5">
        <w:t>.</w:t>
      </w:r>
    </w:p>
    <w:p w14:paraId="59C0DF3E" w14:textId="73BBCD76" w:rsidR="00564BA0" w:rsidRPr="007D6C46" w:rsidRDefault="00564BA0" w:rsidP="00564BA0">
      <w:pPr>
        <w:pStyle w:val="H23G"/>
        <w:ind w:right="1983"/>
      </w:pPr>
      <w:r w:rsidRPr="007D6C46">
        <w:tab/>
        <w:t>2</w:t>
      </w:r>
      <w:r w:rsidR="008B77B5" w:rsidRPr="008B77B5">
        <w:t>.</w:t>
      </w:r>
      <w:r w:rsidRPr="007D6C46">
        <w:tab/>
        <w:t>Suggestions pour une étude plus approfondie des rubriques de l’épreuve dans la sous-section 38</w:t>
      </w:r>
      <w:r w:rsidR="008B77B5" w:rsidRPr="008B77B5">
        <w:t>.</w:t>
      </w:r>
      <w:r w:rsidRPr="007D6C46">
        <w:t>3 du Manuel d’épreuves et de critères</w:t>
      </w:r>
    </w:p>
    <w:p w14:paraId="57413692" w14:textId="770DF98C"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w:t>
      </w:r>
      <w:r w:rsidRPr="007D6C46">
        <w:t> :</w:t>
      </w:r>
      <w:r w:rsidRPr="007D6C46">
        <w:tab/>
        <w:t>INF</w:t>
      </w:r>
      <w:r w:rsidR="008B77B5" w:rsidRPr="008B77B5">
        <w:t>.</w:t>
      </w:r>
      <w:r w:rsidRPr="007D6C46">
        <w:t>20 (Chine)</w:t>
      </w:r>
    </w:p>
    <w:p w14:paraId="7BD77233" w14:textId="79222606" w:rsidR="00564BA0" w:rsidRPr="007D6C46" w:rsidRDefault="00564BA0" w:rsidP="00564BA0">
      <w:pPr>
        <w:pStyle w:val="SingleTxtG"/>
        <w:tabs>
          <w:tab w:val="left" w:pos="2977"/>
        </w:tabs>
      </w:pPr>
      <w:r w:rsidRPr="007D6C46">
        <w:t>68</w:t>
      </w:r>
      <w:r w:rsidR="008B77B5" w:rsidRPr="008B77B5">
        <w:t>.</w:t>
      </w:r>
      <w:r w:rsidRPr="007D6C46">
        <w:tab/>
        <w:t>Le document a fait l’objet de quelques observations, consistant notamment en informations sur l’historique de la procédure d’essai du 38</w:t>
      </w:r>
      <w:r w:rsidR="008B77B5" w:rsidRPr="008B77B5">
        <w:t>.</w:t>
      </w:r>
      <w:r w:rsidRPr="007D6C46">
        <w:t>3</w:t>
      </w:r>
      <w:r w:rsidR="008B77B5" w:rsidRPr="008B77B5">
        <w:t>.</w:t>
      </w:r>
      <w:r w:rsidRPr="007D6C46">
        <w:t>4</w:t>
      </w:r>
      <w:r w:rsidR="008B77B5" w:rsidRPr="008B77B5">
        <w:t>.</w:t>
      </w:r>
      <w:r w:rsidRPr="007D6C46">
        <w:t>2</w:t>
      </w:r>
      <w:r w:rsidR="008B77B5" w:rsidRPr="008B77B5">
        <w:t>.</w:t>
      </w:r>
      <w:r w:rsidRPr="007D6C46">
        <w:t>2 du Manuel d’épreuves et de critères (voir le document ST/SG/AC</w:t>
      </w:r>
      <w:r w:rsidR="008B77B5" w:rsidRPr="008B77B5">
        <w:t>.</w:t>
      </w:r>
      <w:r w:rsidRPr="007D6C46">
        <w:t>10/C</w:t>
      </w:r>
      <w:r w:rsidR="008B77B5" w:rsidRPr="008B77B5">
        <w:t>.</w:t>
      </w:r>
      <w:r w:rsidRPr="007D6C46">
        <w:t>3/2010/81 et le document informel INF</w:t>
      </w:r>
      <w:r w:rsidR="008B77B5" w:rsidRPr="008B77B5">
        <w:t>.</w:t>
      </w:r>
      <w:r w:rsidRPr="007D6C46">
        <w:t>13 (trente-cinquième session))</w:t>
      </w:r>
      <w:r w:rsidR="008B77B5" w:rsidRPr="008B77B5">
        <w:t>.</w:t>
      </w:r>
      <w:r w:rsidRPr="007D6C46">
        <w:t xml:space="preserve"> Certains experts se sont abstenus de recommencer de longues discussions sur l’épreuve thermique, tandis que d’autres ont approuvé l’idée de revoir les dispositions relatives à l’épreuve pour les adapter au progrès technique et aux conditions climatiques géographiques</w:t>
      </w:r>
      <w:r w:rsidR="008B77B5" w:rsidRPr="008B77B5">
        <w:t>.</w:t>
      </w:r>
      <w:r w:rsidRPr="007D6C46">
        <w:t xml:space="preserve"> L’expert de la Chine a indiqué que son intention, dans ce document, était de sensibiliser le public plutôt que d’essayer de modifier un paramètre d’essai et que, compte tenu des observations reçues, il pourrait revenir lors d’une session ultérieure avec une proposition visant à adapter les dispositions d’essai aux conditions réelles d’utilisation et de transport pour les différents modes de transport et à les rendre plus pratiques</w:t>
      </w:r>
      <w:r w:rsidR="008B77B5" w:rsidRPr="008B77B5">
        <w:t>.</w:t>
      </w:r>
    </w:p>
    <w:p w14:paraId="134515B3" w14:textId="288F035B" w:rsidR="00564BA0" w:rsidRPr="007D6C46" w:rsidRDefault="00564BA0" w:rsidP="00564BA0">
      <w:pPr>
        <w:pStyle w:val="HChG"/>
      </w:pPr>
      <w:r w:rsidRPr="007D6C46">
        <w:tab/>
        <w:t>VII</w:t>
      </w:r>
      <w:r w:rsidR="008B77B5" w:rsidRPr="008B77B5">
        <w:t>.</w:t>
      </w:r>
      <w:r w:rsidRPr="007D6C46">
        <w:tab/>
        <w:t>Transport de gaz (point 5 de l’ordre du jour)</w:t>
      </w:r>
    </w:p>
    <w:p w14:paraId="5C5E4194" w14:textId="077E0C5E" w:rsidR="00564BA0" w:rsidRPr="007D6C46" w:rsidRDefault="00564BA0" w:rsidP="00564BA0">
      <w:pPr>
        <w:pStyle w:val="H1G"/>
      </w:pPr>
      <w:r w:rsidRPr="007D6C46">
        <w:tab/>
        <w:t>A</w:t>
      </w:r>
      <w:r w:rsidR="008B77B5" w:rsidRPr="008B77B5">
        <w:t>.</w:t>
      </w:r>
      <w:r w:rsidRPr="007D6C46">
        <w:tab/>
        <w:t>Reconnaissance universelle des récipients à pression ONU et non ONU</w:t>
      </w:r>
    </w:p>
    <w:p w14:paraId="2706A488" w14:textId="68964170" w:rsidR="00564BA0" w:rsidRPr="007D6C46" w:rsidRDefault="00564BA0" w:rsidP="00564BA0">
      <w:pPr>
        <w:pStyle w:val="SingleTxtG"/>
      </w:pPr>
      <w:r w:rsidRPr="007D6C46">
        <w:t>69</w:t>
      </w:r>
      <w:r w:rsidR="008B77B5" w:rsidRPr="008B77B5">
        <w:t>.</w:t>
      </w:r>
      <w:r w:rsidRPr="007D6C46">
        <w:tab/>
        <w:t>Aucun document n’ayant été soumis au titre de ce point de l’ordre du jour, la question n’a pas été abordée</w:t>
      </w:r>
      <w:r w:rsidR="008B77B5" w:rsidRPr="008B77B5">
        <w:t>.</w:t>
      </w:r>
    </w:p>
    <w:p w14:paraId="44E2C01C" w14:textId="6CDAB2EA" w:rsidR="00564BA0" w:rsidRPr="007D6C46" w:rsidRDefault="00564BA0" w:rsidP="00564BA0">
      <w:pPr>
        <w:pStyle w:val="H1G"/>
      </w:pPr>
      <w:r w:rsidRPr="007D6C46">
        <w:tab/>
        <w:t>B</w:t>
      </w:r>
      <w:r w:rsidR="008B77B5" w:rsidRPr="008B77B5">
        <w:t>.</w:t>
      </w:r>
      <w:r w:rsidRPr="007D6C46">
        <w:tab/>
        <w:t>Gaz de la division 2</w:t>
      </w:r>
      <w:r w:rsidR="008B77B5" w:rsidRPr="008B77B5">
        <w:t>.</w:t>
      </w:r>
      <w:r w:rsidRPr="007D6C46">
        <w:t>2 transportés en quantités limitées</w:t>
      </w:r>
    </w:p>
    <w:p w14:paraId="49F0CFAF" w14:textId="5445D102" w:rsidR="00564BA0" w:rsidRPr="007D6C46" w:rsidRDefault="00564BA0" w:rsidP="00564BA0">
      <w:pPr>
        <w:pStyle w:val="H23G"/>
      </w:pPr>
      <w:r w:rsidRPr="007D6C46">
        <w:tab/>
      </w:r>
      <w:r w:rsidRPr="007D6C46">
        <w:tab/>
        <w:t>Augmentation du volume des gaz comprimés de la division 2</w:t>
      </w:r>
      <w:r w:rsidR="008B77B5" w:rsidRPr="008B77B5">
        <w:t>.</w:t>
      </w:r>
      <w:r w:rsidRPr="007D6C46">
        <w:t>2 transportés en quantités limitées</w:t>
      </w:r>
    </w:p>
    <w:p w14:paraId="365C3A6D" w14:textId="31D94C59" w:rsidR="00564BA0" w:rsidRPr="008B77B5" w:rsidRDefault="00564BA0" w:rsidP="00DE3355">
      <w:pPr>
        <w:pStyle w:val="SingleTxtG"/>
        <w:tabs>
          <w:tab w:val="clear" w:pos="1701"/>
          <w:tab w:val="clear" w:pos="2268"/>
          <w:tab w:val="clear" w:pos="2835"/>
          <w:tab w:val="left" w:pos="3119"/>
        </w:tabs>
        <w:ind w:left="3119" w:hanging="1985"/>
        <w:jc w:val="left"/>
        <w:rPr>
          <w:lang w:val="en-US"/>
        </w:rPr>
      </w:pPr>
      <w:proofErr w:type="gramStart"/>
      <w:r w:rsidRPr="008B77B5">
        <w:rPr>
          <w:i/>
          <w:iCs/>
          <w:lang w:val="en-US"/>
        </w:rPr>
        <w:t>Document</w:t>
      </w:r>
      <w:r w:rsidRPr="008B77B5">
        <w:rPr>
          <w:lang w:val="en-US"/>
        </w:rPr>
        <w:t> :</w:t>
      </w:r>
      <w:proofErr w:type="gramEnd"/>
      <w:r w:rsidRPr="008B77B5">
        <w:rPr>
          <w:lang w:val="en-US"/>
        </w:rPr>
        <w:tab/>
        <w:t>ST/SG/AC</w:t>
      </w:r>
      <w:r w:rsidR="008B77B5" w:rsidRPr="008B77B5">
        <w:rPr>
          <w:lang w:val="en-US"/>
        </w:rPr>
        <w:t>.</w:t>
      </w:r>
      <w:r w:rsidRPr="008B77B5">
        <w:rPr>
          <w:lang w:val="en-US"/>
        </w:rPr>
        <w:t>10/C</w:t>
      </w:r>
      <w:r w:rsidR="008B77B5" w:rsidRPr="008B77B5">
        <w:rPr>
          <w:lang w:val="en-US"/>
        </w:rPr>
        <w:t>.</w:t>
      </w:r>
      <w:r w:rsidRPr="008B77B5">
        <w:rPr>
          <w:lang w:val="en-US"/>
        </w:rPr>
        <w:t>3/2022/26 (COSTHA)</w:t>
      </w:r>
    </w:p>
    <w:p w14:paraId="0B3A36E0" w14:textId="172E16AC"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w:t>
      </w:r>
      <w:r w:rsidRPr="007D6C46">
        <w:t> :</w:t>
      </w:r>
      <w:r w:rsidRPr="007D6C46">
        <w:tab/>
        <w:t>INF</w:t>
      </w:r>
      <w:r w:rsidR="008B77B5" w:rsidRPr="008B77B5">
        <w:t>.</w:t>
      </w:r>
      <w:r w:rsidRPr="007D6C46">
        <w:t>34 (COSTHA)</w:t>
      </w:r>
    </w:p>
    <w:p w14:paraId="5357E998" w14:textId="4F80B0C8" w:rsidR="00564BA0" w:rsidRPr="007D6C46" w:rsidRDefault="00564BA0" w:rsidP="00564BA0">
      <w:pPr>
        <w:pStyle w:val="SingleTxtG"/>
        <w:tabs>
          <w:tab w:val="left" w:pos="2977"/>
        </w:tabs>
      </w:pPr>
      <w:r w:rsidRPr="007D6C46">
        <w:t>70</w:t>
      </w:r>
      <w:r w:rsidR="008B77B5" w:rsidRPr="008B77B5">
        <w:t>.</w:t>
      </w:r>
      <w:r w:rsidRPr="007D6C46">
        <w:tab/>
        <w:t>Certains experts ont reconnu la nécessité d’harmoniser une dérogation pour ce type de bouteilles à gaz</w:t>
      </w:r>
      <w:r w:rsidR="008B77B5" w:rsidRPr="008B77B5">
        <w:t>.</w:t>
      </w:r>
      <w:r w:rsidRPr="007D6C46">
        <w:t xml:space="preserve"> Ils ont estimé que la proposition devait être limitée aux quatre gaz proposés et exprimé leur préférence pour une disposition spéciale supplémentaire</w:t>
      </w:r>
      <w:r w:rsidR="008B77B5" w:rsidRPr="008B77B5">
        <w:t>.</w:t>
      </w:r>
      <w:r w:rsidRPr="007D6C46">
        <w:t xml:space="preserve"> D’autres ont demandé de plus amples informations sur une liste des gaz concernés et recommandé de faire la distinction entre le transport de surface et le transport aérien</w:t>
      </w:r>
      <w:r w:rsidR="008B77B5" w:rsidRPr="008B77B5">
        <w:t>.</w:t>
      </w:r>
      <w:r w:rsidRPr="007D6C46">
        <w:t xml:space="preserve"> Certains experts n’ont pas appuyé l’augmentation du volume de la quantité limitée de 120 ml à 1 000 ml pour les gaz comprimés de la division 2</w:t>
      </w:r>
      <w:r w:rsidR="008B77B5" w:rsidRPr="008B77B5">
        <w:t>.</w:t>
      </w:r>
      <w:r w:rsidRPr="007D6C46">
        <w:t>2</w:t>
      </w:r>
      <w:r w:rsidR="008B77B5" w:rsidRPr="008B77B5">
        <w:t>.</w:t>
      </w:r>
      <w:r w:rsidRPr="007D6C46">
        <w:t xml:space="preserve"> Le représentant du COSTHA a dit qu’il travaillerait avec les délégations qui avaient fait des observations et soumettrait une proposition plus détaillée à la session suivante</w:t>
      </w:r>
      <w:r w:rsidR="008B77B5" w:rsidRPr="008B77B5">
        <w:t>.</w:t>
      </w:r>
    </w:p>
    <w:p w14:paraId="6EA94B3A" w14:textId="12E59309" w:rsidR="00564BA0" w:rsidRPr="007D6C46" w:rsidRDefault="00564BA0" w:rsidP="00564BA0">
      <w:pPr>
        <w:pStyle w:val="H1G"/>
      </w:pPr>
      <w:r w:rsidRPr="007D6C46">
        <w:tab/>
        <w:t>C</w:t>
      </w:r>
      <w:r w:rsidR="008B77B5" w:rsidRPr="008B77B5">
        <w:t>.</w:t>
      </w:r>
      <w:r w:rsidRPr="007D6C46">
        <w:tab/>
        <w:t>Autres questions</w:t>
      </w:r>
    </w:p>
    <w:p w14:paraId="6FB7D632" w14:textId="07CD214D" w:rsidR="00564BA0" w:rsidRPr="007D6C46" w:rsidRDefault="00564BA0" w:rsidP="00564BA0">
      <w:pPr>
        <w:pStyle w:val="H23G"/>
      </w:pPr>
      <w:r w:rsidRPr="007D6C46">
        <w:tab/>
        <w:t>1</w:t>
      </w:r>
      <w:r w:rsidR="008B77B5" w:rsidRPr="008B77B5">
        <w:t>.</w:t>
      </w:r>
      <w:r w:rsidRPr="007D6C46">
        <w:tab/>
        <w:t>Normes ISO mises à jour dans la classe 2</w:t>
      </w:r>
    </w:p>
    <w:p w14:paraId="7AA12C2E" w14:textId="68B5605C"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3/2022/14 (ISO)</w:t>
      </w:r>
    </w:p>
    <w:p w14:paraId="1428CFD5" w14:textId="268A730A" w:rsidR="00564BA0" w:rsidRPr="007D6C46" w:rsidRDefault="00564BA0" w:rsidP="00564BA0">
      <w:pPr>
        <w:pStyle w:val="SingleTxtG"/>
      </w:pPr>
      <w:r w:rsidRPr="007D6C46">
        <w:t>71</w:t>
      </w:r>
      <w:r w:rsidR="008B77B5" w:rsidRPr="008B77B5">
        <w:t>.</w:t>
      </w:r>
      <w:r w:rsidRPr="007D6C46">
        <w:tab/>
        <w:t>Le Sous-Comité a adopté les propositions 1 et 3 et l’amendement d’ordre rédactionnel énoncé au paragraphe 12 du document ST/SG/AC</w:t>
      </w:r>
      <w:r w:rsidR="008B77B5" w:rsidRPr="008B77B5">
        <w:t>.</w:t>
      </w:r>
      <w:r w:rsidRPr="007D6C46">
        <w:t>10/C</w:t>
      </w:r>
      <w:r w:rsidR="008B77B5" w:rsidRPr="008B77B5">
        <w:t>.</w:t>
      </w:r>
      <w:r w:rsidRPr="007D6C46">
        <w:t>3/2022/14 (voir annexe I)</w:t>
      </w:r>
      <w:r w:rsidR="008B77B5" w:rsidRPr="008B77B5">
        <w:t>.</w:t>
      </w:r>
      <w:r w:rsidRPr="007D6C46">
        <w:t xml:space="preserve"> L’examen des propositions 2 et 4 a été reporté à la session suivante, tout comme celui de modifications supplémentaires d’ordre rédactionnel au 4</w:t>
      </w:r>
      <w:r w:rsidR="008B77B5" w:rsidRPr="008B77B5">
        <w:t>.</w:t>
      </w:r>
      <w:r w:rsidRPr="007D6C46">
        <w:t>1</w:t>
      </w:r>
      <w:r w:rsidR="008B77B5" w:rsidRPr="008B77B5">
        <w:t>.</w:t>
      </w:r>
      <w:r w:rsidRPr="007D6C46">
        <w:t>6</w:t>
      </w:r>
      <w:r w:rsidR="008B77B5" w:rsidRPr="008B77B5">
        <w:t>.</w:t>
      </w:r>
      <w:r w:rsidRPr="007D6C46">
        <w:t>1</w:t>
      </w:r>
      <w:r w:rsidR="008B77B5" w:rsidRPr="008B77B5">
        <w:t>.</w:t>
      </w:r>
      <w:r w:rsidRPr="007D6C46">
        <w:t>2, au 4</w:t>
      </w:r>
      <w:r w:rsidR="008B77B5" w:rsidRPr="008B77B5">
        <w:t>.</w:t>
      </w:r>
      <w:r w:rsidRPr="007D6C46">
        <w:t>1</w:t>
      </w:r>
      <w:r w:rsidR="008B77B5" w:rsidRPr="008B77B5">
        <w:t>.</w:t>
      </w:r>
      <w:r w:rsidRPr="007D6C46">
        <w:t>6</w:t>
      </w:r>
      <w:r w:rsidR="008B77B5" w:rsidRPr="008B77B5">
        <w:t>.</w:t>
      </w:r>
      <w:r w:rsidRPr="007D6C46">
        <w:t>1</w:t>
      </w:r>
      <w:r w:rsidR="008B77B5" w:rsidRPr="008B77B5">
        <w:t>.</w:t>
      </w:r>
      <w:r w:rsidRPr="007D6C46">
        <w:t>8 e) et au 6</w:t>
      </w:r>
      <w:r w:rsidR="008B77B5" w:rsidRPr="008B77B5">
        <w:t>.</w:t>
      </w:r>
      <w:r w:rsidRPr="007D6C46">
        <w:t>2</w:t>
      </w:r>
      <w:r w:rsidR="008B77B5" w:rsidRPr="008B77B5">
        <w:t>.</w:t>
      </w:r>
      <w:r w:rsidRPr="007D6C46">
        <w:t>1</w:t>
      </w:r>
      <w:r w:rsidR="008B77B5" w:rsidRPr="008B77B5">
        <w:t>.</w:t>
      </w:r>
      <w:r w:rsidRPr="007D6C46">
        <w:t>6</w:t>
      </w:r>
      <w:r w:rsidR="008B77B5" w:rsidRPr="008B77B5">
        <w:t>.</w:t>
      </w:r>
      <w:r w:rsidRPr="007D6C46">
        <w:t>1 d)</w:t>
      </w:r>
      <w:r w:rsidR="008B77B5" w:rsidRPr="008B77B5">
        <w:t>.</w:t>
      </w:r>
      <w:r w:rsidRPr="007D6C46">
        <w:t xml:space="preserve"> En ce qui concernait les propositions 2 et 4, le représentant de l’ISO a proposé d’ajouter des informations plus détaillées sur la signification des « petites quantités » à l’article 9</w:t>
      </w:r>
      <w:r w:rsidR="008B77B5" w:rsidRPr="008B77B5">
        <w:t>.</w:t>
      </w:r>
      <w:r w:rsidRPr="007D6C46">
        <w:t>4 de la norme ISO 9809-</w:t>
      </w:r>
      <w:proofErr w:type="gramStart"/>
      <w:r w:rsidRPr="007D6C46">
        <w:t>4:</w:t>
      </w:r>
      <w:proofErr w:type="gramEnd"/>
      <w:r w:rsidRPr="007D6C46">
        <w:t>2021 (proposition 2) et sur l’utilisation des robinets à boisseau sphérique (proposition 4), étant donné que ces questions n’entraient pas dans le champ d’application des autres normes énumérées au 6</w:t>
      </w:r>
      <w:r w:rsidR="008B77B5" w:rsidRPr="008B77B5">
        <w:t>.</w:t>
      </w:r>
      <w:r w:rsidRPr="007D6C46">
        <w:t>2</w:t>
      </w:r>
      <w:r w:rsidR="008B77B5" w:rsidRPr="008B77B5">
        <w:t>.</w:t>
      </w:r>
      <w:r w:rsidRPr="007D6C46">
        <w:t>2</w:t>
      </w:r>
      <w:r w:rsidR="008B77B5" w:rsidRPr="008B77B5">
        <w:t>.</w:t>
      </w:r>
      <w:r w:rsidRPr="007D6C46">
        <w:t>3</w:t>
      </w:r>
      <w:r w:rsidR="008B77B5" w:rsidRPr="008B77B5">
        <w:t>.</w:t>
      </w:r>
    </w:p>
    <w:p w14:paraId="7CB9E03D" w14:textId="56745BA5" w:rsidR="00564BA0" w:rsidRPr="007D6C46" w:rsidRDefault="00564BA0" w:rsidP="00564BA0">
      <w:pPr>
        <w:pStyle w:val="H23G"/>
      </w:pPr>
      <w:r w:rsidRPr="007D6C46">
        <w:tab/>
        <w:t>2</w:t>
      </w:r>
      <w:r w:rsidR="008B77B5" w:rsidRPr="008B77B5">
        <w:t>.</w:t>
      </w:r>
      <w:r w:rsidRPr="007D6C46">
        <w:tab/>
        <w:t>Renvois à des normes obsolètes</w:t>
      </w:r>
    </w:p>
    <w:p w14:paraId="01DC7767" w14:textId="3CE7F964"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informel </w:t>
      </w:r>
      <w:r w:rsidRPr="007D6C46">
        <w:t>:</w:t>
      </w:r>
      <w:r w:rsidRPr="007D6C46">
        <w:tab/>
        <w:t>INF</w:t>
      </w:r>
      <w:r w:rsidR="008B77B5" w:rsidRPr="008B77B5">
        <w:t>.</w:t>
      </w:r>
      <w:r w:rsidRPr="007D6C46">
        <w:t>31 (ISO)</w:t>
      </w:r>
    </w:p>
    <w:p w14:paraId="01DD6BFC" w14:textId="60294FA1" w:rsidR="00564BA0" w:rsidRPr="007D6C46" w:rsidRDefault="00564BA0" w:rsidP="00564BA0">
      <w:pPr>
        <w:pStyle w:val="SingleTxtG"/>
        <w:tabs>
          <w:tab w:val="left" w:pos="2977"/>
        </w:tabs>
      </w:pPr>
      <w:r w:rsidRPr="007D6C46">
        <w:t>72</w:t>
      </w:r>
      <w:r w:rsidR="008B77B5" w:rsidRPr="008B77B5">
        <w:t>.</w:t>
      </w:r>
      <w:r w:rsidRPr="007D6C46">
        <w:tab/>
        <w:t>Le Sous-Comité n’a pas appuyé la proposition visant à insérer dans les Principes directeurs un nouveau paragraphe sur la suppression des rubriques dans les tableaux de normes</w:t>
      </w:r>
      <w:r w:rsidR="008B77B5" w:rsidRPr="008B77B5">
        <w:t>.</w:t>
      </w:r>
      <w:r w:rsidRPr="007D6C46">
        <w:t xml:space="preserve"> La plupart des experts étaient d’avis que la suppression de renvois à des normes devait être envisagée au cas par cas</w:t>
      </w:r>
      <w:r w:rsidR="008B77B5" w:rsidRPr="008B77B5">
        <w:t>.</w:t>
      </w:r>
      <w:r w:rsidRPr="007D6C46">
        <w:t xml:space="preserve"> Le représentant de l’ISO a précisé que le nouveau paragraphe visait uniquement les normes de conception et de construction applicables aux nouveaux récipients à pression</w:t>
      </w:r>
      <w:r w:rsidR="008B77B5" w:rsidRPr="008B77B5">
        <w:t>.</w:t>
      </w:r>
    </w:p>
    <w:p w14:paraId="2684538E" w14:textId="681B0205" w:rsidR="00564BA0" w:rsidRPr="007D6C46" w:rsidRDefault="00564BA0" w:rsidP="00564BA0">
      <w:pPr>
        <w:pStyle w:val="H23G"/>
      </w:pPr>
      <w:r w:rsidRPr="007D6C46">
        <w:tab/>
        <w:t>3</w:t>
      </w:r>
      <w:r w:rsidR="008B77B5" w:rsidRPr="008B77B5">
        <w:t>.</w:t>
      </w:r>
      <w:r w:rsidRPr="007D6C46">
        <w:tab/>
        <w:t xml:space="preserve">Rapport du groupe de travail intersessions de la limite du produit </w:t>
      </w:r>
      <w:proofErr w:type="spellStart"/>
      <w:r w:rsidRPr="007D6C46">
        <w:t>pV</w:t>
      </w:r>
      <w:proofErr w:type="spellEnd"/>
      <w:r w:rsidRPr="007D6C46">
        <w:t xml:space="preserve"> pour les récipients à pression</w:t>
      </w:r>
    </w:p>
    <w:p w14:paraId="3D86311E" w14:textId="200DBF1C"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informel </w:t>
      </w:r>
      <w:r w:rsidRPr="007D6C46">
        <w:t>:</w:t>
      </w:r>
      <w:r w:rsidRPr="007D6C46">
        <w:tab/>
        <w:t>INF</w:t>
      </w:r>
      <w:r w:rsidR="008B77B5" w:rsidRPr="008B77B5">
        <w:t>.</w:t>
      </w:r>
      <w:r w:rsidRPr="007D6C46">
        <w:t>37 (Allemagne)</w:t>
      </w:r>
    </w:p>
    <w:p w14:paraId="6017297B" w14:textId="31AA982C" w:rsidR="00564BA0" w:rsidRPr="007D6C46" w:rsidRDefault="00564BA0" w:rsidP="00564BA0">
      <w:pPr>
        <w:pStyle w:val="SingleTxtG"/>
        <w:tabs>
          <w:tab w:val="left" w:pos="2977"/>
        </w:tabs>
        <w:rPr>
          <w:rFonts w:asciiTheme="majorBidi" w:hAnsiTheme="majorBidi" w:cstheme="majorBidi"/>
        </w:rPr>
      </w:pPr>
      <w:r w:rsidRPr="007D6C46">
        <w:t>73</w:t>
      </w:r>
      <w:r w:rsidR="008B77B5" w:rsidRPr="008B77B5">
        <w:t>.</w:t>
      </w:r>
      <w:r w:rsidRPr="007D6C46">
        <w:tab/>
        <w:t xml:space="preserve">Le Sous-Comité a pris note du rapport du groupe de travail intersessions de la limite du produit </w:t>
      </w:r>
      <w:proofErr w:type="spellStart"/>
      <w:r w:rsidRPr="007D6C46">
        <w:t>pV</w:t>
      </w:r>
      <w:proofErr w:type="spellEnd"/>
      <w:r w:rsidRPr="007D6C46">
        <w:t xml:space="preserve"> pour les récipients à pression</w:t>
      </w:r>
      <w:r w:rsidR="008B77B5" w:rsidRPr="008B77B5">
        <w:t>.</w:t>
      </w:r>
      <w:r w:rsidRPr="007D6C46">
        <w:t xml:space="preserve"> Il a confirmé que les travaux du groupe devaient se poursuivre et a invité celui-ci à lui rendre compte de ses activités à la session suivante</w:t>
      </w:r>
      <w:r w:rsidR="008B77B5" w:rsidRPr="008B77B5">
        <w:t>.</w:t>
      </w:r>
    </w:p>
    <w:p w14:paraId="739F4EDD" w14:textId="2D0956E1" w:rsidR="00564BA0" w:rsidRPr="007D6C46" w:rsidRDefault="00564BA0" w:rsidP="00564BA0">
      <w:pPr>
        <w:pStyle w:val="HChG"/>
      </w:pPr>
      <w:r w:rsidRPr="007D6C46">
        <w:tab/>
        <w:t>VIII</w:t>
      </w:r>
      <w:r w:rsidR="008B77B5" w:rsidRPr="008B77B5">
        <w:t>.</w:t>
      </w:r>
      <w:r w:rsidRPr="007D6C46">
        <w:tab/>
        <w:t>Propositions diverses d’amendements au Règlement type pour le transport des marchandises dangereuses (point 6 de l’ordre du jour)</w:t>
      </w:r>
    </w:p>
    <w:p w14:paraId="41A165CD" w14:textId="4B446207" w:rsidR="00564BA0" w:rsidRPr="007D6C46" w:rsidRDefault="00564BA0" w:rsidP="00564BA0">
      <w:pPr>
        <w:pStyle w:val="H1G"/>
      </w:pPr>
      <w:r w:rsidRPr="007D6C46">
        <w:tab/>
        <w:t>A</w:t>
      </w:r>
      <w:r w:rsidR="008B77B5" w:rsidRPr="008B77B5">
        <w:t>.</w:t>
      </w:r>
      <w:r w:rsidRPr="007D6C46">
        <w:tab/>
        <w:t>Marquage et étiquetage</w:t>
      </w:r>
    </w:p>
    <w:p w14:paraId="67CB4A81" w14:textId="77777777" w:rsidR="00564BA0" w:rsidRPr="007D6C46" w:rsidRDefault="00564BA0" w:rsidP="00564BA0">
      <w:pPr>
        <w:pStyle w:val="H23G"/>
      </w:pPr>
      <w:r w:rsidRPr="007D6C46">
        <w:tab/>
      </w:r>
      <w:r w:rsidRPr="007D6C46">
        <w:tab/>
      </w:r>
      <w:bookmarkStart w:id="24" w:name="_Hlk115035859"/>
      <w:r w:rsidRPr="007D6C46">
        <w:t xml:space="preserve">Utilisation de l’étiquette de danger de la classe 9 (modèle </w:t>
      </w:r>
      <w:r w:rsidRPr="007D6C46">
        <w:rPr>
          <w:rFonts w:eastAsia="MS Mincho"/>
        </w:rPr>
        <w:t>n</w:t>
      </w:r>
      <w:r w:rsidRPr="007D6C46">
        <w:rPr>
          <w:rFonts w:eastAsia="MS Mincho"/>
          <w:vertAlign w:val="superscript"/>
        </w:rPr>
        <w:t>o</w:t>
      </w:r>
      <w:r w:rsidRPr="007D6C46">
        <w:t> 9A) pour les piles au lithium sur les véhicules alimentés par des piles au lithium</w:t>
      </w:r>
      <w:bookmarkEnd w:id="24"/>
    </w:p>
    <w:p w14:paraId="7CF61951" w14:textId="35539EE0"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informel </w:t>
      </w:r>
      <w:r w:rsidRPr="007D6C46">
        <w:t>:</w:t>
      </w:r>
      <w:r w:rsidRPr="007D6C46">
        <w:tab/>
        <w:t>INF</w:t>
      </w:r>
      <w:r w:rsidR="008B77B5" w:rsidRPr="008B77B5">
        <w:t>.</w:t>
      </w:r>
      <w:r w:rsidRPr="007D6C46">
        <w:t>9 (IATA)</w:t>
      </w:r>
    </w:p>
    <w:p w14:paraId="08362C32" w14:textId="60DCAAFC" w:rsidR="00564BA0" w:rsidRPr="007D6C46" w:rsidRDefault="00564BA0" w:rsidP="00564BA0">
      <w:pPr>
        <w:pStyle w:val="SingleTxtG"/>
        <w:tabs>
          <w:tab w:val="left" w:pos="2977"/>
        </w:tabs>
      </w:pPr>
      <w:r w:rsidRPr="007D6C46">
        <w:t>74</w:t>
      </w:r>
      <w:r w:rsidR="008B77B5" w:rsidRPr="008B77B5">
        <w:t>.</w:t>
      </w:r>
      <w:r w:rsidRPr="007D6C46">
        <w:tab/>
        <w:t>La plupart des experts ont estimé que l’option 2 était préférable</w:t>
      </w:r>
      <w:r w:rsidR="008B77B5" w:rsidRPr="008B77B5">
        <w:t>.</w:t>
      </w:r>
      <w:r w:rsidRPr="007D6C46">
        <w:t xml:space="preserve"> L’expert de la France a déclaré que l’option 1 permettrait néanmoins d’inclure d’autres types de batteries</w:t>
      </w:r>
      <w:r w:rsidR="008B77B5" w:rsidRPr="008B77B5">
        <w:t>.</w:t>
      </w:r>
      <w:r w:rsidRPr="007D6C46">
        <w:t xml:space="preserve"> Après un échange de vues, le représentant de l’IATA a proposé de se mettre en contact avec les représentants qui avaient fait des commentaires et d’établir un document pour la session suivante</w:t>
      </w:r>
      <w:r w:rsidR="008B77B5" w:rsidRPr="008B77B5">
        <w:t>.</w:t>
      </w:r>
    </w:p>
    <w:p w14:paraId="214A1FB5" w14:textId="4FC085E8" w:rsidR="00564BA0" w:rsidRPr="007D6C46" w:rsidRDefault="00564BA0" w:rsidP="00564BA0">
      <w:pPr>
        <w:pStyle w:val="H1G"/>
      </w:pPr>
      <w:r w:rsidRPr="007D6C46">
        <w:tab/>
        <w:t>B</w:t>
      </w:r>
      <w:r w:rsidR="008B77B5" w:rsidRPr="008B77B5">
        <w:t>.</w:t>
      </w:r>
      <w:r w:rsidRPr="007D6C46">
        <w:tab/>
        <w:t>Emballages, y compris l’utilisation des matières plastiques recyclées</w:t>
      </w:r>
    </w:p>
    <w:p w14:paraId="33AF164E" w14:textId="0AEE6A1F" w:rsidR="00564BA0" w:rsidRPr="007D6C46" w:rsidRDefault="00564BA0" w:rsidP="00564BA0">
      <w:pPr>
        <w:pStyle w:val="H23G"/>
        <w:ind w:right="3542"/>
      </w:pPr>
      <w:r w:rsidRPr="007D6C46">
        <w:tab/>
        <w:t>1</w:t>
      </w:r>
      <w:r w:rsidR="008B77B5" w:rsidRPr="008B77B5">
        <w:t>.</w:t>
      </w:r>
      <w:r w:rsidRPr="007D6C46">
        <w:tab/>
        <w:t>Correction à apporter à l’instruction d’emballage P200 pour les Nos ONU 1001 et 3374</w:t>
      </w:r>
    </w:p>
    <w:p w14:paraId="5EF786F9" w14:textId="39C9236E" w:rsidR="00564BA0" w:rsidRPr="008B77B5" w:rsidRDefault="00564BA0" w:rsidP="00DE3355">
      <w:pPr>
        <w:pStyle w:val="SingleTxtG"/>
        <w:tabs>
          <w:tab w:val="clear" w:pos="1701"/>
          <w:tab w:val="clear" w:pos="2268"/>
          <w:tab w:val="clear" w:pos="2835"/>
          <w:tab w:val="left" w:pos="3119"/>
        </w:tabs>
        <w:ind w:left="3119" w:hanging="1985"/>
        <w:jc w:val="left"/>
        <w:rPr>
          <w:lang w:val="en-US"/>
        </w:rPr>
      </w:pPr>
      <w:proofErr w:type="gramStart"/>
      <w:r w:rsidRPr="008B77B5">
        <w:rPr>
          <w:i/>
          <w:iCs/>
          <w:lang w:val="en-US"/>
        </w:rPr>
        <w:t xml:space="preserve">Document </w:t>
      </w:r>
      <w:r w:rsidRPr="008B77B5">
        <w:rPr>
          <w:lang w:val="en-US"/>
        </w:rPr>
        <w:t>:</w:t>
      </w:r>
      <w:proofErr w:type="gramEnd"/>
      <w:r w:rsidRPr="008B77B5">
        <w:rPr>
          <w:lang w:val="en-US"/>
        </w:rPr>
        <w:tab/>
        <w:t>ST/SG/AC</w:t>
      </w:r>
      <w:r w:rsidR="008B77B5" w:rsidRPr="008B77B5">
        <w:rPr>
          <w:lang w:val="en-US"/>
        </w:rPr>
        <w:t>.</w:t>
      </w:r>
      <w:r w:rsidRPr="008B77B5">
        <w:rPr>
          <w:lang w:val="en-US"/>
        </w:rPr>
        <w:t>10/C</w:t>
      </w:r>
      <w:r w:rsidR="008B77B5" w:rsidRPr="008B77B5">
        <w:rPr>
          <w:lang w:val="en-US"/>
        </w:rPr>
        <w:t>.</w:t>
      </w:r>
      <w:r w:rsidRPr="008B77B5">
        <w:rPr>
          <w:lang w:val="en-US"/>
        </w:rPr>
        <w:t>3/2022/8 (EIGA)</w:t>
      </w:r>
    </w:p>
    <w:p w14:paraId="5901FA16" w14:textId="639F26F6" w:rsidR="00564BA0" w:rsidRPr="007D6C46" w:rsidRDefault="00564BA0" w:rsidP="00564BA0">
      <w:pPr>
        <w:pStyle w:val="SingleTxtG"/>
      </w:pPr>
      <w:r w:rsidRPr="007D6C46">
        <w:t>75</w:t>
      </w:r>
      <w:r w:rsidR="008B77B5" w:rsidRPr="008B77B5">
        <w:t>.</w:t>
      </w:r>
      <w:r w:rsidRPr="007D6C46">
        <w:tab/>
        <w:t>Le Sous-Comité a adopté les corrections à l’instruction d’emballage P200 proposées dans le document ST/SG/AC</w:t>
      </w:r>
      <w:r w:rsidR="008B77B5" w:rsidRPr="008B77B5">
        <w:t>.</w:t>
      </w:r>
      <w:r w:rsidRPr="007D6C46">
        <w:t>10/C</w:t>
      </w:r>
      <w:r w:rsidR="008B77B5" w:rsidRPr="008B77B5">
        <w:t>.</w:t>
      </w:r>
      <w:r w:rsidRPr="007D6C46">
        <w:t>3/2022/8 (voir annexe II)</w:t>
      </w:r>
      <w:r w:rsidR="008B77B5" w:rsidRPr="008B77B5">
        <w:t>.</w:t>
      </w:r>
      <w:r w:rsidRPr="007D6C46">
        <w:t xml:space="preserve"> Il a été noté que l’amendement initial visait à appliquer les dispositions spéciales d’emballage à toutes les pressions d’essai énumérées</w:t>
      </w:r>
      <w:r w:rsidR="008B77B5" w:rsidRPr="008B77B5">
        <w:t>.</w:t>
      </w:r>
      <w:r w:rsidRPr="007D6C46">
        <w:t xml:space="preserve"> Le représentant de l’EIGA s’est porté volontaire pour travailler en coordination avec le secrétariat en vue de soumettre, à la session suivante, une proposition contenant d’autres modifications d’ordre rédactionnel qui pourraient aider à éviter que les tableaux de l’instruction d’emballage P200 soient mal interprétés</w:t>
      </w:r>
      <w:r w:rsidR="008B77B5" w:rsidRPr="008B77B5">
        <w:t>.</w:t>
      </w:r>
    </w:p>
    <w:p w14:paraId="3BE412F5" w14:textId="7F6FFDFE" w:rsidR="00564BA0" w:rsidRPr="007D6C46" w:rsidRDefault="00564BA0" w:rsidP="00564BA0">
      <w:pPr>
        <w:pStyle w:val="H23G"/>
      </w:pPr>
      <w:r w:rsidRPr="007D6C46">
        <w:tab/>
        <w:t>2</w:t>
      </w:r>
      <w:r w:rsidR="008B77B5" w:rsidRPr="008B77B5">
        <w:t>.</w:t>
      </w:r>
      <w:r w:rsidRPr="007D6C46">
        <w:tab/>
        <w:t>Révision des instructions d’emballage figurant aux 5</w:t>
      </w:r>
      <w:r w:rsidR="008B77B5" w:rsidRPr="008B77B5">
        <w:t>.</w:t>
      </w:r>
      <w:r w:rsidRPr="007D6C46">
        <w:t>5</w:t>
      </w:r>
      <w:r w:rsidR="008B77B5" w:rsidRPr="008B77B5">
        <w:t>.</w:t>
      </w:r>
      <w:r w:rsidRPr="007D6C46">
        <w:t>3</w:t>
      </w:r>
      <w:r w:rsidR="008B77B5" w:rsidRPr="008B77B5">
        <w:t>.</w:t>
      </w:r>
      <w:r w:rsidRPr="007D6C46">
        <w:t>3</w:t>
      </w:r>
      <w:r w:rsidR="008B77B5" w:rsidRPr="008B77B5">
        <w:t>.</w:t>
      </w:r>
      <w:r w:rsidRPr="007D6C46">
        <w:t>1 et 5</w:t>
      </w:r>
      <w:r w:rsidR="008B77B5" w:rsidRPr="008B77B5">
        <w:t>.</w:t>
      </w:r>
      <w:r w:rsidRPr="007D6C46">
        <w:t>5</w:t>
      </w:r>
      <w:r w:rsidR="008B77B5" w:rsidRPr="008B77B5">
        <w:t>.</w:t>
      </w:r>
      <w:r w:rsidRPr="007D6C46">
        <w:t>3</w:t>
      </w:r>
      <w:r w:rsidR="008B77B5" w:rsidRPr="008B77B5">
        <w:t>.</w:t>
      </w:r>
      <w:r w:rsidRPr="007D6C46">
        <w:t>3</w:t>
      </w:r>
      <w:r w:rsidR="008B77B5" w:rsidRPr="008B77B5">
        <w:t>.</w:t>
      </w:r>
      <w:r w:rsidRPr="007D6C46">
        <w:t>2</w:t>
      </w:r>
    </w:p>
    <w:p w14:paraId="37B8093C" w14:textId="67ECE549"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3/2022/12 (Espagne)</w:t>
      </w:r>
    </w:p>
    <w:p w14:paraId="2A472089" w14:textId="4ADE3FF5" w:rsidR="00564BA0" w:rsidRPr="007D6C46" w:rsidRDefault="00564BA0" w:rsidP="00564BA0">
      <w:pPr>
        <w:pStyle w:val="SingleTxtG"/>
      </w:pPr>
      <w:r w:rsidRPr="007D6C46">
        <w:t>76</w:t>
      </w:r>
      <w:r w:rsidR="008B77B5" w:rsidRPr="008B77B5">
        <w:t>.</w:t>
      </w:r>
      <w:r w:rsidRPr="007D6C46">
        <w:tab/>
        <w:t>Le Sous-Comité a adopté l’amendement proposé dans le document ST/SG/AC</w:t>
      </w:r>
      <w:r w:rsidR="008B77B5" w:rsidRPr="008B77B5">
        <w:t>.</w:t>
      </w:r>
      <w:r w:rsidRPr="007D6C46">
        <w:t>10/C</w:t>
      </w:r>
      <w:r w:rsidR="008B77B5" w:rsidRPr="008B77B5">
        <w:t>.</w:t>
      </w:r>
      <w:r w:rsidRPr="007D6C46">
        <w:t>3/2022/12, tel que modifié, y compris un amendement supplémentaire à la disposition spéciale d’emballage PP41 (voir annexe I)</w:t>
      </w:r>
      <w:r w:rsidR="008B77B5" w:rsidRPr="008B77B5">
        <w:t>.</w:t>
      </w:r>
    </w:p>
    <w:p w14:paraId="05B7E42A" w14:textId="384897D8" w:rsidR="00564BA0" w:rsidRPr="007D6C46" w:rsidRDefault="00564BA0" w:rsidP="00564BA0">
      <w:pPr>
        <w:pStyle w:val="H23G"/>
      </w:pPr>
      <w:r w:rsidRPr="007D6C46">
        <w:tab/>
        <w:t>3</w:t>
      </w:r>
      <w:r w:rsidR="008B77B5" w:rsidRPr="008B77B5">
        <w:t>.</w:t>
      </w:r>
      <w:r w:rsidRPr="007D6C46">
        <w:tab/>
        <w:t xml:space="preserve">Modification à apporter à la </w:t>
      </w:r>
      <w:bookmarkStart w:id="25" w:name="_Hlk115008053"/>
      <w:r w:rsidRPr="007D6C46">
        <w:t>disposition spéciale d’emballage</w:t>
      </w:r>
      <w:bookmarkEnd w:id="25"/>
      <w:r w:rsidRPr="007D6C46">
        <w:t xml:space="preserve"> B11 de l’instruction d’emballage IBC03</w:t>
      </w:r>
    </w:p>
    <w:p w14:paraId="7AB8E22A" w14:textId="49FD1355"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w:t>
      </w:r>
      <w:r w:rsidRPr="007D6C46">
        <w:t> :</w:t>
      </w:r>
      <w:r w:rsidRPr="007D6C46">
        <w:tab/>
        <w:t>ST/SG/AC</w:t>
      </w:r>
      <w:r w:rsidR="008B77B5" w:rsidRPr="008B77B5">
        <w:t>.</w:t>
      </w:r>
      <w:r w:rsidRPr="007D6C46">
        <w:t>10/C</w:t>
      </w:r>
      <w:r w:rsidR="008B77B5" w:rsidRPr="008B77B5">
        <w:t>.</w:t>
      </w:r>
      <w:r w:rsidRPr="007D6C46">
        <w:t>3/2022/35 (Royaume-Uni)</w:t>
      </w:r>
    </w:p>
    <w:p w14:paraId="21C96D54" w14:textId="614507A3" w:rsidR="00564BA0" w:rsidRPr="007D6C46" w:rsidRDefault="00564BA0" w:rsidP="00564BA0">
      <w:pPr>
        <w:pStyle w:val="SingleTxtG"/>
        <w:tabs>
          <w:tab w:val="left" w:pos="2977"/>
        </w:tabs>
      </w:pPr>
      <w:r w:rsidRPr="007D6C46">
        <w:t>77</w:t>
      </w:r>
      <w:r w:rsidR="008B77B5" w:rsidRPr="008B77B5">
        <w:t>.</w:t>
      </w:r>
      <w:r w:rsidRPr="007D6C46">
        <w:tab/>
        <w:t>Le Sous-Comité s’est penché sur l’historique de l’instruction d’emballage IBC03 du</w:t>
      </w:r>
      <w:r w:rsidR="003F1A66">
        <w:t> </w:t>
      </w:r>
      <w:r w:rsidRPr="007D6C46">
        <w:t>4</w:t>
      </w:r>
      <w:r w:rsidR="008B77B5" w:rsidRPr="008B77B5">
        <w:t>.</w:t>
      </w:r>
      <w:r w:rsidRPr="007D6C46">
        <w:t>1</w:t>
      </w:r>
      <w:r w:rsidR="008B77B5" w:rsidRPr="008B77B5">
        <w:t>.</w:t>
      </w:r>
      <w:r w:rsidRPr="007D6C46">
        <w:t>4</w:t>
      </w:r>
      <w:r w:rsidR="008B77B5" w:rsidRPr="008B77B5">
        <w:t>.</w:t>
      </w:r>
      <w:r w:rsidRPr="007D6C46">
        <w:t>1 du Règlement type</w:t>
      </w:r>
      <w:r w:rsidR="008B77B5" w:rsidRPr="008B77B5">
        <w:t>.</w:t>
      </w:r>
      <w:r w:rsidRPr="007D6C46">
        <w:t xml:space="preserve"> Certaines délégations, qui n’étaient pas favorables à la disposition spéciale d’emballage B11, ont souligné qu’elle n’avait pas été transposée dans le RID, l’ADR et l’ADN, tout en faisant valoir qu’il était préférable, étant donné qu’elle resterait dans le Règlement type, de la modifier comme proposé</w:t>
      </w:r>
      <w:r w:rsidR="008B77B5" w:rsidRPr="008B77B5">
        <w:t>.</w:t>
      </w:r>
      <w:r w:rsidRPr="007D6C46">
        <w:t xml:space="preserve"> Le Sous-Comité a en définitive</w:t>
      </w:r>
      <w:r w:rsidR="003F1A66">
        <w:t>ment</w:t>
      </w:r>
      <w:r w:rsidRPr="007D6C46">
        <w:t xml:space="preserve"> adopté les modifications à la disposition spéciale d’emballage B11 proposées dans le document ST/SG/AC</w:t>
      </w:r>
      <w:r w:rsidR="008B77B5" w:rsidRPr="008B77B5">
        <w:t>.</w:t>
      </w:r>
      <w:r w:rsidRPr="007D6C46">
        <w:t>10/C</w:t>
      </w:r>
      <w:r w:rsidR="008B77B5" w:rsidRPr="008B77B5">
        <w:t>.</w:t>
      </w:r>
      <w:r w:rsidRPr="007D6C46">
        <w:t>3/2022/35 tel que modifié (voir annexe I)</w:t>
      </w:r>
      <w:r w:rsidR="008B77B5" w:rsidRPr="008B77B5">
        <w:t>.</w:t>
      </w:r>
    </w:p>
    <w:p w14:paraId="477403F6" w14:textId="761823C0" w:rsidR="00564BA0" w:rsidRPr="007D6C46" w:rsidRDefault="00564BA0" w:rsidP="00564BA0">
      <w:pPr>
        <w:pStyle w:val="H23G"/>
      </w:pPr>
      <w:r w:rsidRPr="007D6C46">
        <w:tab/>
        <w:t>4</w:t>
      </w:r>
      <w:r w:rsidR="008B77B5" w:rsidRPr="008B77B5">
        <w:t>.</w:t>
      </w:r>
      <w:r w:rsidRPr="007D6C46">
        <w:tab/>
      </w:r>
      <w:r w:rsidRPr="007D6C46">
        <w:tab/>
        <w:t xml:space="preserve">Proposition </w:t>
      </w:r>
      <w:r w:rsidRPr="007D6C46">
        <w:rPr>
          <w:color w:val="000000" w:themeColor="text1"/>
        </w:rPr>
        <w:t xml:space="preserve">d’amendement </w:t>
      </w:r>
      <w:r w:rsidRPr="007D6C46">
        <w:t>au paragraphe 6</w:t>
      </w:r>
      <w:r w:rsidR="008B77B5" w:rsidRPr="008B77B5">
        <w:t>.</w:t>
      </w:r>
      <w:r w:rsidRPr="007D6C46">
        <w:t>1</w:t>
      </w:r>
      <w:r w:rsidR="008B77B5" w:rsidRPr="008B77B5">
        <w:t>.</w:t>
      </w:r>
      <w:r w:rsidRPr="007D6C46">
        <w:t>5</w:t>
      </w:r>
      <w:r w:rsidR="008B77B5" w:rsidRPr="008B77B5">
        <w:t>.</w:t>
      </w:r>
      <w:r w:rsidRPr="007D6C46">
        <w:t>2</w:t>
      </w:r>
      <w:r w:rsidR="008B77B5" w:rsidRPr="008B77B5">
        <w:t>.</w:t>
      </w:r>
      <w:r w:rsidRPr="007D6C46">
        <w:t>4 du chapitre 6</w:t>
      </w:r>
      <w:r w:rsidR="008B77B5" w:rsidRPr="008B77B5">
        <w:t>.</w:t>
      </w:r>
      <w:r w:rsidRPr="007D6C46">
        <w:t>1 du Règlement type concernant l’épreuve préliminaire des emballages en matière plastique</w:t>
      </w:r>
    </w:p>
    <w:p w14:paraId="48C8C30B" w14:textId="5097FA27"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 </w:t>
      </w:r>
      <w:r w:rsidRPr="007D6C46">
        <w:t>:</w:t>
      </w:r>
      <w:r w:rsidRPr="007D6C46">
        <w:tab/>
        <w:t>INF</w:t>
      </w:r>
      <w:r w:rsidR="008B77B5" w:rsidRPr="008B77B5">
        <w:t>.</w:t>
      </w:r>
      <w:r w:rsidRPr="007D6C46">
        <w:t>4 (IDGCA)</w:t>
      </w:r>
    </w:p>
    <w:p w14:paraId="58EF4C32" w14:textId="4AE7B4CB" w:rsidR="00564BA0" w:rsidRPr="007D6C46" w:rsidRDefault="00564BA0" w:rsidP="00564BA0">
      <w:pPr>
        <w:pStyle w:val="SingleTxtG"/>
        <w:tabs>
          <w:tab w:val="left" w:pos="2977"/>
        </w:tabs>
      </w:pPr>
      <w:r w:rsidRPr="007D6C46">
        <w:t>78</w:t>
      </w:r>
      <w:r w:rsidR="008B77B5" w:rsidRPr="008B77B5">
        <w:t>.</w:t>
      </w:r>
      <w:r w:rsidRPr="007D6C46">
        <w:tab/>
        <w:t>Les avis étaient partagés quant à la proposition tendant à préciser les dispositions du 6</w:t>
      </w:r>
      <w:r w:rsidR="008B77B5" w:rsidRPr="008B77B5">
        <w:t>.</w:t>
      </w:r>
      <w:r w:rsidRPr="007D6C46">
        <w:t>1</w:t>
      </w:r>
      <w:r w:rsidR="008B77B5" w:rsidRPr="008B77B5">
        <w:t>.</w:t>
      </w:r>
      <w:r w:rsidRPr="007D6C46">
        <w:t>5</w:t>
      </w:r>
      <w:r w:rsidR="008B77B5" w:rsidRPr="008B77B5">
        <w:t>.</w:t>
      </w:r>
      <w:r w:rsidRPr="007D6C46">
        <w:t>2</w:t>
      </w:r>
      <w:r w:rsidR="008B77B5" w:rsidRPr="008B77B5">
        <w:t>.</w:t>
      </w:r>
      <w:r w:rsidRPr="007D6C46">
        <w:t>4</w:t>
      </w:r>
      <w:r w:rsidR="008B77B5" w:rsidRPr="008B77B5">
        <w:t>.</w:t>
      </w:r>
      <w:r w:rsidRPr="007D6C46">
        <w:t xml:space="preserve"> Certains experts estimaient qu’il était acceptable de recourir à autre chose qu’à une norme à condition qu’un niveau de sécurité au moins équivalent soit exigé</w:t>
      </w:r>
      <w:r w:rsidR="008B77B5" w:rsidRPr="008B77B5">
        <w:t>.</w:t>
      </w:r>
      <w:r w:rsidRPr="007D6C46">
        <w:t xml:space="preserve"> À cet égard, il a également été question de la norme ISO 13274</w:t>
      </w:r>
      <w:r w:rsidR="008B77B5" w:rsidRPr="008B77B5">
        <w:t>.</w:t>
      </w:r>
      <w:r w:rsidRPr="007D6C46">
        <w:t xml:space="preserve"> D’autres experts pensaient que le texte actuel était suffisamment clair et que davantage d’informations étaient nécessaires en ce qui concernait les préoccupations formulées</w:t>
      </w:r>
      <w:r w:rsidR="008B77B5" w:rsidRPr="008B77B5">
        <w:t>.</w:t>
      </w:r>
      <w:r w:rsidRPr="007D6C46">
        <w:t xml:space="preserve"> Le représentant de l’IDGCA a dit qu’il reviendrait volontiers avec une proposition plus détaillée à la session suivante</w:t>
      </w:r>
      <w:r w:rsidR="008B77B5" w:rsidRPr="008B77B5">
        <w:t>.</w:t>
      </w:r>
    </w:p>
    <w:p w14:paraId="6F4AF3C7" w14:textId="1173D678" w:rsidR="00564BA0" w:rsidRPr="007D6C46" w:rsidRDefault="00564BA0" w:rsidP="00564BA0">
      <w:pPr>
        <w:pStyle w:val="H23G"/>
      </w:pPr>
      <w:r w:rsidRPr="007D6C46">
        <w:tab/>
        <w:t>5</w:t>
      </w:r>
      <w:r w:rsidR="008B77B5" w:rsidRPr="008B77B5">
        <w:t>.</w:t>
      </w:r>
      <w:r w:rsidRPr="007D6C46">
        <w:tab/>
        <w:t>Difficultés liées à la mise en œuvre pratique de l’instruction d’emballage P650</w:t>
      </w:r>
    </w:p>
    <w:p w14:paraId="2976FC6D" w14:textId="2BF965B6"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w:t>
      </w:r>
      <w:r w:rsidRPr="007D6C46">
        <w:t>:</w:t>
      </w:r>
      <w:r w:rsidRPr="007D6C46">
        <w:tab/>
        <w:t>ST/SG/AC</w:t>
      </w:r>
      <w:r w:rsidR="008B77B5" w:rsidRPr="008B77B5">
        <w:t>.</w:t>
      </w:r>
      <w:r w:rsidRPr="007D6C46">
        <w:t>10/C</w:t>
      </w:r>
      <w:r w:rsidR="008B77B5" w:rsidRPr="008B77B5">
        <w:t>.</w:t>
      </w:r>
      <w:r w:rsidRPr="007D6C46">
        <w:t>3/2022/15 (Espagne)</w:t>
      </w:r>
    </w:p>
    <w:p w14:paraId="54BEA110" w14:textId="6A0BAEDC"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 </w:t>
      </w:r>
      <w:r w:rsidRPr="007D6C46">
        <w:t>:</w:t>
      </w:r>
      <w:r w:rsidRPr="007D6C46">
        <w:tab/>
        <w:t>INF</w:t>
      </w:r>
      <w:r w:rsidR="008B77B5" w:rsidRPr="008B77B5">
        <w:t>.</w:t>
      </w:r>
      <w:r w:rsidRPr="007D6C46">
        <w:t>46 (Espagne)</w:t>
      </w:r>
    </w:p>
    <w:p w14:paraId="3035B6E2" w14:textId="3E57FC58" w:rsidR="00564BA0" w:rsidRPr="007D6C46" w:rsidRDefault="00564BA0" w:rsidP="00564BA0">
      <w:pPr>
        <w:pStyle w:val="SingleTxtG"/>
        <w:tabs>
          <w:tab w:val="left" w:pos="2977"/>
        </w:tabs>
      </w:pPr>
      <w:r w:rsidRPr="007D6C46">
        <w:t>79</w:t>
      </w:r>
      <w:r w:rsidR="008B77B5" w:rsidRPr="008B77B5">
        <w:t>.</w:t>
      </w:r>
      <w:r w:rsidRPr="007D6C46">
        <w:tab/>
        <w:t>Le Sous-Comité a appuyé dans son principe la proposition énoncée dans le document ST/SG/AC</w:t>
      </w:r>
      <w:r w:rsidR="008B77B5" w:rsidRPr="008B77B5">
        <w:t>.</w:t>
      </w:r>
      <w:r w:rsidRPr="007D6C46">
        <w:t>10/C</w:t>
      </w:r>
      <w:r w:rsidR="008B77B5" w:rsidRPr="008B77B5">
        <w:t>.</w:t>
      </w:r>
      <w:r w:rsidRPr="007D6C46">
        <w:t>3/2022/15, consistant à préciser l’instruction d’emballage P650</w:t>
      </w:r>
      <w:r w:rsidR="008B77B5" w:rsidRPr="008B77B5">
        <w:t>.</w:t>
      </w:r>
      <w:r w:rsidRPr="007D6C46">
        <w:t xml:space="preserve"> À l’issue d’un échange de vues, il a adopté les amendements proposés dans le document informel INF</w:t>
      </w:r>
      <w:r w:rsidR="008B77B5" w:rsidRPr="008B77B5">
        <w:t>.</w:t>
      </w:r>
      <w:r w:rsidRPr="007D6C46">
        <w:t>46 tels que modifiés (voir annexe I)</w:t>
      </w:r>
      <w:r w:rsidR="008B77B5" w:rsidRPr="008B77B5">
        <w:t>.</w:t>
      </w:r>
      <w:r w:rsidRPr="007D6C46">
        <w:t xml:space="preserve"> Certaines délégations ont demandé à pouvoir étudier la cohérence de la note sur la « capacité » dans d’autres parties du Règlement type</w:t>
      </w:r>
      <w:r w:rsidR="008B77B5" w:rsidRPr="008B77B5">
        <w:t>.</w:t>
      </w:r>
      <w:r w:rsidRPr="007D6C46">
        <w:t xml:space="preserve"> Il a été convenu de maintenir les amendements adoptés entre crochets sous réserve de confirmation par le Sous-Comité à sa session suivante</w:t>
      </w:r>
      <w:r w:rsidR="008B77B5" w:rsidRPr="008B77B5">
        <w:t>.</w:t>
      </w:r>
    </w:p>
    <w:p w14:paraId="17B5CE4D" w14:textId="3EA4A606" w:rsidR="00564BA0" w:rsidRPr="007D6C46" w:rsidRDefault="00564BA0" w:rsidP="00564BA0">
      <w:pPr>
        <w:pStyle w:val="H23G"/>
      </w:pPr>
      <w:r w:rsidRPr="007D6C46">
        <w:tab/>
        <w:t>6</w:t>
      </w:r>
      <w:r w:rsidR="008B77B5" w:rsidRPr="008B77B5">
        <w:t>.</w:t>
      </w:r>
      <w:r w:rsidRPr="007D6C46">
        <w:tab/>
        <w:t>Utilisation de matières plastiques recyclées</w:t>
      </w:r>
    </w:p>
    <w:p w14:paraId="34B81D6A" w14:textId="53D4BABB"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w:t>
      </w:r>
      <w:r w:rsidRPr="007D6C46">
        <w:t>:</w:t>
      </w:r>
      <w:r w:rsidRPr="007D6C46">
        <w:tab/>
        <w:t>ST/SG/AC</w:t>
      </w:r>
      <w:r w:rsidR="008B77B5" w:rsidRPr="008B77B5">
        <w:t>.</w:t>
      </w:r>
      <w:r w:rsidRPr="007D6C46">
        <w:t>10/C</w:t>
      </w:r>
      <w:r w:rsidR="008B77B5" w:rsidRPr="008B77B5">
        <w:t>.</w:t>
      </w:r>
      <w:r w:rsidRPr="007D6C46">
        <w:t>3/2022/29 (Belgique)</w:t>
      </w:r>
    </w:p>
    <w:p w14:paraId="164D4340" w14:textId="2F028FC7" w:rsidR="00564BA0" w:rsidRPr="007D6C46" w:rsidRDefault="00564BA0" w:rsidP="00564BA0">
      <w:pPr>
        <w:pStyle w:val="SingleTxtG"/>
        <w:tabs>
          <w:tab w:val="left" w:pos="2977"/>
        </w:tabs>
      </w:pPr>
      <w:r w:rsidRPr="007D6C46">
        <w:t>80</w:t>
      </w:r>
      <w:r w:rsidR="008B77B5" w:rsidRPr="008B77B5">
        <w:t>.</w:t>
      </w:r>
      <w:r w:rsidRPr="007D6C46">
        <w:tab/>
        <w:t>Sur proposition de la Belgique, le Sous-Comité a examiné la question de l’utilisation de matières plastiques recyclées au cours d’une réunion informelle tenue à l’heure du déjeuner, et a ensuite pris note des résultats suivants :</w:t>
      </w:r>
    </w:p>
    <w:p w14:paraId="2D19BCA0" w14:textId="6F9E97B9" w:rsidR="00564BA0" w:rsidRPr="007D6C46" w:rsidRDefault="00564BA0" w:rsidP="00564BA0">
      <w:pPr>
        <w:pStyle w:val="SingleTxtG"/>
      </w:pPr>
      <w:r w:rsidRPr="007D6C46">
        <w:tab/>
        <w:t>a)</w:t>
      </w:r>
      <w:r w:rsidRPr="007D6C46">
        <w:tab/>
        <w:t>La plupart des experts ont admis la nécessité d’examiner avec soin l’utilisation de matières plastiques recyclées pour les emballages destinés à transporter en toute sécurité des marchandises dangereuses dans le monde entier, et d’améliorer et actualiser le Règlement type</w:t>
      </w:r>
      <w:r w:rsidR="008B77B5" w:rsidRPr="008B77B5">
        <w:t>.</w:t>
      </w:r>
      <w:r w:rsidRPr="007D6C46">
        <w:t xml:space="preserve"> Il a été suggéré de promouvoir l’utilisation de matières plastiques recyclées en évaluant les normes et pratiques pertinentes en vue de moderniser le Règlement type afin de mieux refléter les progrès techniques réalisés à ce jour en matière de recyclage des polymères</w:t>
      </w:r>
      <w:r w:rsidR="008B77B5" w:rsidRPr="008B77B5">
        <w:t>.</w:t>
      </w:r>
      <w:r w:rsidRPr="007D6C46">
        <w:t xml:space="preserve"> Il a aussi été proposé d’étendre le champ d’utilisation des matières plastiques recyclées en introduisant dans le Règlement type un cadre et une description des nouvelles dispositions liées à cette utilisation</w:t>
      </w:r>
      <w:r w:rsidR="008B77B5" w:rsidRPr="008B77B5">
        <w:t>.</w:t>
      </w:r>
      <w:r w:rsidRPr="007D6C46">
        <w:t xml:space="preserve"> Plusieurs représentants ont parlé de leur expérience et ont fait valoir qu’il fallait davantage d’informations, d’exemples pratiques et de données de la part des professionnels de l’emballage et des polymères qui exploitent déjà des technologies novatrices afin de produire des matières plastiques recyclées pour des emballages non destinés au transport de marchandises dangereuses ;</w:t>
      </w:r>
    </w:p>
    <w:p w14:paraId="4F661FD0" w14:textId="46C84E83" w:rsidR="00564BA0" w:rsidRPr="007D6C46" w:rsidRDefault="00564BA0" w:rsidP="00564BA0">
      <w:pPr>
        <w:pStyle w:val="SingleTxtG"/>
      </w:pPr>
      <w:r w:rsidRPr="007D6C46">
        <w:tab/>
        <w:t>b)</w:t>
      </w:r>
      <w:r w:rsidRPr="007D6C46">
        <w:tab/>
        <w:t xml:space="preserve">Au sein du groupe de travail chargé de réviser la norme ISO </w:t>
      </w:r>
      <w:proofErr w:type="gramStart"/>
      <w:r w:rsidRPr="007D6C46">
        <w:t>16103:</w:t>
      </w:r>
      <w:proofErr w:type="gramEnd"/>
      <w:r w:rsidRPr="007D6C46">
        <w:t>2005, il a été suggéré que le Sous-Comité œuvre en parallèle pour anticiper efficacement d’éventuels amendements au Règlement type</w:t>
      </w:r>
      <w:r w:rsidR="008B77B5" w:rsidRPr="008B77B5">
        <w:t>.</w:t>
      </w:r>
      <w:r w:rsidRPr="007D6C46">
        <w:t xml:space="preserve"> Le Sous-Comité devrait par conséquent être régulièrement informé de l’état d’avancement des travaux du groupe de travail de l’ISO</w:t>
      </w:r>
      <w:r w:rsidR="008B77B5" w:rsidRPr="008B77B5">
        <w:t>.</w:t>
      </w:r>
      <w:r w:rsidRPr="007D6C46">
        <w:t xml:space="preserve"> Les experts ont reconnu que des prescriptions et des spécifications détaillées sur l’utilisation des matières plastiques recyclées existaient déjà et répondaient aux objectifs d’efficience économique, de qualité et, surtout, de sécurité</w:t>
      </w:r>
      <w:r w:rsidR="008B77B5" w:rsidRPr="008B77B5">
        <w:t>.</w:t>
      </w:r>
    </w:p>
    <w:p w14:paraId="1BDF58AA" w14:textId="4CA60ADB" w:rsidR="00564BA0" w:rsidRPr="007D6C46" w:rsidRDefault="00564BA0" w:rsidP="00564BA0">
      <w:pPr>
        <w:pStyle w:val="SingleTxtG"/>
      </w:pPr>
      <w:r w:rsidRPr="007D6C46">
        <w:t>81</w:t>
      </w:r>
      <w:r w:rsidR="008B77B5" w:rsidRPr="008B77B5">
        <w:t>.</w:t>
      </w:r>
      <w:r w:rsidRPr="007D6C46">
        <w:tab/>
        <w:t>Pour des raisons pratiques, le Sous-Comité a invité tous les représentants à fournir davantage de données détaillées et d’expériences concrètes lors de sessions ultérieures</w:t>
      </w:r>
      <w:r w:rsidR="008B77B5" w:rsidRPr="008B77B5">
        <w:t>.</w:t>
      </w:r>
      <w:r w:rsidRPr="007D6C46">
        <w:t xml:space="preserve"> Les experts ont été invités à proposer à leurs organismes de normalisation de participer au groupe de travail de l’ISO, qui a lui-même été invité à rendre compte régulièrement au Sous</w:t>
      </w:r>
      <w:r w:rsidRPr="007D6C46">
        <w:noBreakHyphen/>
        <w:t>Comité aux fins de l’examen d’éventuels amendements au Règlement type qui permettraient de renforcer la sécurité du transport des marchandises dangereuses dans des emballages fabriqués à partir de matières plastiques recyclées</w:t>
      </w:r>
      <w:r w:rsidR="008B77B5" w:rsidRPr="008B77B5">
        <w:t>.</w:t>
      </w:r>
    </w:p>
    <w:p w14:paraId="62592D06" w14:textId="79DE0A5B" w:rsidR="00564BA0" w:rsidRPr="007D6C46" w:rsidRDefault="00564BA0" w:rsidP="00564BA0">
      <w:pPr>
        <w:pStyle w:val="H23G"/>
      </w:pPr>
      <w:r w:rsidRPr="007D6C46">
        <w:tab/>
        <w:t>7</w:t>
      </w:r>
      <w:r w:rsidR="008B77B5" w:rsidRPr="008B77B5">
        <w:t>.</w:t>
      </w:r>
      <w:r w:rsidRPr="007D6C46">
        <w:tab/>
        <w:t>Observations sur les dispositions du Programme 2030 des Nations Unies ayant une incidence sur l’utilisation d’emballages plastiques pour des matières dangereuses</w:t>
      </w:r>
    </w:p>
    <w:p w14:paraId="12213306" w14:textId="6AD29BBC" w:rsidR="00564BA0" w:rsidRPr="007D6C46" w:rsidRDefault="00564BA0" w:rsidP="00DE3355">
      <w:pPr>
        <w:pStyle w:val="SingleTxtG"/>
        <w:tabs>
          <w:tab w:val="clear" w:pos="1701"/>
          <w:tab w:val="clear" w:pos="2268"/>
          <w:tab w:val="clear" w:pos="2835"/>
          <w:tab w:val="left" w:pos="3108"/>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3/2022/34 (ICPP, ICCR et ICIBCA)</w:t>
      </w:r>
    </w:p>
    <w:p w14:paraId="1EAF199D" w14:textId="2B4D04A8" w:rsidR="00564BA0" w:rsidRPr="007D6C46" w:rsidRDefault="00564BA0" w:rsidP="00564BA0">
      <w:pPr>
        <w:pStyle w:val="SingleTxtG"/>
        <w:tabs>
          <w:tab w:val="left" w:pos="2977"/>
        </w:tabs>
      </w:pPr>
      <w:r w:rsidRPr="007D6C46">
        <w:t>82</w:t>
      </w:r>
      <w:r w:rsidR="008B77B5" w:rsidRPr="008B77B5">
        <w:t>.</w:t>
      </w:r>
      <w:r w:rsidRPr="007D6C46">
        <w:tab/>
        <w:t>Le Sous-Comité a pris note de l’appui général en faveur de la promotion de l’utilisation de matières plastiques recyclées tout en garantissant une utilisation sûre des emballages en plastique pour les marchandises dangereuses, conformément aux objectifs du Programme 2030 des Nations Unies</w:t>
      </w:r>
      <w:r w:rsidR="008B77B5" w:rsidRPr="008B77B5">
        <w:t>.</w:t>
      </w:r>
      <w:r w:rsidRPr="007D6C46">
        <w:t xml:space="preserve"> Toutefois, la plupart des experts préféraient moderniser les dispositions de sécurité existantes plutôt que d’adopter les modifications proposées dans le document ST/SG/AC</w:t>
      </w:r>
      <w:r w:rsidR="008B77B5" w:rsidRPr="008B77B5">
        <w:t>.</w:t>
      </w:r>
      <w:r w:rsidRPr="007D6C46">
        <w:t>10/C</w:t>
      </w:r>
      <w:r w:rsidR="008B77B5" w:rsidRPr="008B77B5">
        <w:t>.</w:t>
      </w:r>
      <w:r w:rsidRPr="007D6C46">
        <w:t>3/2022/34</w:t>
      </w:r>
      <w:r w:rsidR="008B77B5" w:rsidRPr="008B77B5">
        <w:t>.</w:t>
      </w:r>
      <w:r w:rsidRPr="007D6C46">
        <w:t xml:space="preserve"> Il a été décidé que des travaux supplémentaires étaient nécessaires compte tenu des résultats de la réunion informelle sur l’utilisation des matières plastiques recyclées</w:t>
      </w:r>
      <w:r w:rsidR="008B77B5" w:rsidRPr="008B77B5">
        <w:t>.</w:t>
      </w:r>
      <w:r w:rsidRPr="007D6C46">
        <w:t xml:space="preserve"> Le représentant de l’ICPP s’est porté volontaire pour établir une nouvelle proposition pour la session suivante</w:t>
      </w:r>
      <w:r w:rsidR="008B77B5" w:rsidRPr="008B77B5">
        <w:t>.</w:t>
      </w:r>
    </w:p>
    <w:p w14:paraId="3E766ADC" w14:textId="709159BF" w:rsidR="00564BA0" w:rsidRPr="007D6C46" w:rsidRDefault="00564BA0" w:rsidP="00564BA0">
      <w:pPr>
        <w:pStyle w:val="H1G"/>
      </w:pPr>
      <w:r w:rsidRPr="007D6C46">
        <w:tab/>
        <w:t>C</w:t>
      </w:r>
      <w:r w:rsidR="008B77B5" w:rsidRPr="008B77B5">
        <w:t>.</w:t>
      </w:r>
      <w:r w:rsidRPr="007D6C46">
        <w:tab/>
        <w:t>Citernes mobiles</w:t>
      </w:r>
    </w:p>
    <w:p w14:paraId="5FEE570E" w14:textId="3D4E866F" w:rsidR="00564BA0" w:rsidRPr="007D6C46" w:rsidRDefault="00564BA0" w:rsidP="00564BA0">
      <w:pPr>
        <w:pStyle w:val="H23G"/>
      </w:pPr>
      <w:r w:rsidRPr="007D6C46">
        <w:tab/>
        <w:t>1</w:t>
      </w:r>
      <w:r w:rsidR="008B77B5" w:rsidRPr="008B77B5">
        <w:t>.</w:t>
      </w:r>
      <w:r w:rsidRPr="007D6C46">
        <w:tab/>
        <w:t>Transport dans des citernes mobiles de certaines DISPERSIONS DE MÉTAUX ALCALINS (No ONU 1391) et DISPERSIONS DE MÉTAUX ALCALINS INFLAMMABLES (No ONU 3482)</w:t>
      </w:r>
      <w:bookmarkStart w:id="26" w:name="_Hlk80278488"/>
      <w:bookmarkEnd w:id="26"/>
    </w:p>
    <w:p w14:paraId="558EABD2" w14:textId="6BEE719B"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 </w:t>
      </w:r>
      <w:r w:rsidRPr="007D6C46">
        <w:t>:</w:t>
      </w:r>
      <w:r w:rsidRPr="007D6C46">
        <w:tab/>
        <w:t>INF</w:t>
      </w:r>
      <w:r w:rsidR="008B77B5" w:rsidRPr="008B77B5">
        <w:t>.</w:t>
      </w:r>
      <w:r w:rsidRPr="007D6C46">
        <w:t>13 (États-Unis d’Amérique)</w:t>
      </w:r>
    </w:p>
    <w:p w14:paraId="5D627B2B" w14:textId="7909CAE8" w:rsidR="00564BA0" w:rsidRPr="007D6C46" w:rsidRDefault="00564BA0" w:rsidP="00564BA0">
      <w:pPr>
        <w:pStyle w:val="SingleTxtG"/>
        <w:tabs>
          <w:tab w:val="left" w:pos="2977"/>
        </w:tabs>
      </w:pPr>
      <w:r w:rsidRPr="007D6C46">
        <w:t>83</w:t>
      </w:r>
      <w:r w:rsidR="008B77B5" w:rsidRPr="008B77B5">
        <w:t>.</w:t>
      </w:r>
      <w:r w:rsidRPr="007D6C46">
        <w:tab/>
        <w:t>La proposition a bénéficié d’un soutien général</w:t>
      </w:r>
      <w:r w:rsidR="008B77B5" w:rsidRPr="008B77B5">
        <w:t>.</w:t>
      </w:r>
      <w:r w:rsidRPr="007D6C46">
        <w:t xml:space="preserve"> Certains experts ont dit qu’il serait bon d’examiner aussi les éléments suivants : i) le remplacement de la disposition spéciale TP2 par la TP1 ; ii) la disposition spéciale TE5 du 6</w:t>
      </w:r>
      <w:r w:rsidR="008B77B5" w:rsidRPr="008B77B5">
        <w:t>.</w:t>
      </w:r>
      <w:r w:rsidRPr="007D6C46">
        <w:t>8</w:t>
      </w:r>
      <w:r w:rsidR="008B77B5" w:rsidRPr="008B77B5">
        <w:t>.</w:t>
      </w:r>
      <w:r w:rsidRPr="007D6C46">
        <w:t>4 de l’ADR ; iii) les prescriptions pertinentes des Principes directeurs du Règlement type</w:t>
      </w:r>
      <w:r w:rsidR="008B77B5" w:rsidRPr="008B77B5">
        <w:t>.</w:t>
      </w:r>
      <w:r w:rsidRPr="007D6C46">
        <w:t xml:space="preserve"> D’autres experts ont proposé d’étendre le champ d’application de la proposition à d’autres dispersions</w:t>
      </w:r>
      <w:r w:rsidR="008B77B5" w:rsidRPr="008B77B5">
        <w:t>.</w:t>
      </w:r>
      <w:r w:rsidRPr="007D6C46">
        <w:t xml:space="preserve"> L’expert des États</w:t>
      </w:r>
      <w:r w:rsidR="003F1A66">
        <w:noBreakHyphen/>
      </w:r>
      <w:r w:rsidRPr="007D6C46">
        <w:t>Unis d’Amérique a proposé de réviser la proposition en tenant compte des observations reçues et de soumettre un document officiel pour examen à la session suivante</w:t>
      </w:r>
      <w:r w:rsidR="008B77B5" w:rsidRPr="008B77B5">
        <w:t>.</w:t>
      </w:r>
    </w:p>
    <w:p w14:paraId="261BFF55" w14:textId="0AF5F9B6" w:rsidR="00564BA0" w:rsidRPr="007D6C46" w:rsidRDefault="00564BA0" w:rsidP="00564BA0">
      <w:pPr>
        <w:pStyle w:val="H23G"/>
      </w:pPr>
      <w:r w:rsidRPr="007D6C46">
        <w:tab/>
        <w:t>2</w:t>
      </w:r>
      <w:r w:rsidR="008B77B5" w:rsidRPr="008B77B5">
        <w:t>.</w:t>
      </w:r>
      <w:r w:rsidRPr="007D6C46">
        <w:tab/>
        <w:t xml:space="preserve">Rapport du groupe de travail informel des équipements de service en </w:t>
      </w:r>
      <w:r w:rsidRPr="007D6C46">
        <w:rPr>
          <w:color w:val="000000" w:themeColor="text1"/>
        </w:rPr>
        <w:t>matière plastique renforcée de fibres pour les citernes mobiles</w:t>
      </w:r>
    </w:p>
    <w:p w14:paraId="1B1F2A23" w14:textId="64075E35"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 </w:t>
      </w:r>
      <w:r w:rsidRPr="007D6C46">
        <w:t>:</w:t>
      </w:r>
      <w:r w:rsidRPr="007D6C46">
        <w:tab/>
        <w:t>INF</w:t>
      </w:r>
      <w:r w:rsidR="008B77B5" w:rsidRPr="008B77B5">
        <w:t>.</w:t>
      </w:r>
      <w:r w:rsidRPr="007D6C46">
        <w:t>39 (Président du groupe de travail informel des équipements de service en plastique renforcé de fibres)</w:t>
      </w:r>
    </w:p>
    <w:p w14:paraId="15A0346B" w14:textId="57AFAE2A" w:rsidR="00564BA0" w:rsidRPr="007D6C46" w:rsidRDefault="00564BA0" w:rsidP="00564BA0">
      <w:pPr>
        <w:pStyle w:val="SingleTxtG"/>
        <w:tabs>
          <w:tab w:val="left" w:pos="2977"/>
        </w:tabs>
      </w:pPr>
      <w:r w:rsidRPr="007D6C46">
        <w:t>84</w:t>
      </w:r>
      <w:r w:rsidR="008B77B5" w:rsidRPr="008B77B5">
        <w:t>.</w:t>
      </w:r>
      <w:r w:rsidRPr="007D6C46">
        <w:tab/>
        <w:t>Le Sous-Comité a pris note du rapport figurant dans le document informel INF</w:t>
      </w:r>
      <w:r w:rsidR="008B77B5" w:rsidRPr="008B77B5">
        <w:t>.</w:t>
      </w:r>
      <w:r w:rsidRPr="007D6C46">
        <w:t>39, y compris les progrès satisfaisants accomplis pendant la période intersessions, ainsi que de la réunion virtuelle du lundi 27 juin 2022</w:t>
      </w:r>
      <w:r w:rsidR="008B77B5" w:rsidRPr="008B77B5">
        <w:t>.</w:t>
      </w:r>
      <w:r w:rsidRPr="007D6C46">
        <w:t xml:space="preserve"> Le Sous-Comité s’est félicité de l’intention qu’avait le groupe informel de soumettre pour la session suivante un document officiel dans lequel seraient énoncées des propositions d’amendements au Règlement type</w:t>
      </w:r>
      <w:r w:rsidR="008B77B5" w:rsidRPr="008B77B5">
        <w:t>.</w:t>
      </w:r>
    </w:p>
    <w:p w14:paraId="3E07AD16" w14:textId="2AAE744D" w:rsidR="00564BA0" w:rsidRPr="007D6C46" w:rsidRDefault="00564BA0" w:rsidP="00564BA0">
      <w:pPr>
        <w:pStyle w:val="H1G"/>
      </w:pPr>
      <w:r w:rsidRPr="007D6C46">
        <w:tab/>
        <w:t>D</w:t>
      </w:r>
      <w:r w:rsidR="008B77B5" w:rsidRPr="008B77B5">
        <w:t>.</w:t>
      </w:r>
      <w:r w:rsidRPr="007D6C46">
        <w:tab/>
      </w:r>
      <w:r w:rsidRPr="007D6C46">
        <w:tab/>
        <w:t>Autres propositions diverses</w:t>
      </w:r>
    </w:p>
    <w:p w14:paraId="4787F205" w14:textId="6BBBCF37" w:rsidR="00564BA0" w:rsidRPr="007D6C46" w:rsidRDefault="00564BA0" w:rsidP="00564BA0">
      <w:pPr>
        <w:pStyle w:val="H23G"/>
      </w:pPr>
      <w:r w:rsidRPr="007D6C46">
        <w:tab/>
        <w:t>1</w:t>
      </w:r>
      <w:r w:rsidR="008B77B5" w:rsidRPr="008B77B5">
        <w:t>.</w:t>
      </w:r>
      <w:r w:rsidRPr="007D6C46">
        <w:tab/>
        <w:t>Nouvelles mesures transitoires pour les récipients à pression</w:t>
      </w:r>
    </w:p>
    <w:p w14:paraId="455C792A" w14:textId="29C5500E" w:rsidR="00564BA0" w:rsidRPr="008B77B5" w:rsidRDefault="00564BA0" w:rsidP="00DE3355">
      <w:pPr>
        <w:pStyle w:val="SingleTxtG"/>
        <w:tabs>
          <w:tab w:val="clear" w:pos="1701"/>
          <w:tab w:val="clear" w:pos="2268"/>
          <w:tab w:val="clear" w:pos="2835"/>
          <w:tab w:val="left" w:pos="3119"/>
        </w:tabs>
        <w:ind w:left="3119" w:hanging="1985"/>
        <w:jc w:val="left"/>
        <w:rPr>
          <w:lang w:val="en-US"/>
        </w:rPr>
      </w:pPr>
      <w:proofErr w:type="gramStart"/>
      <w:r w:rsidRPr="008B77B5">
        <w:rPr>
          <w:i/>
          <w:iCs/>
          <w:lang w:val="en-US"/>
        </w:rPr>
        <w:t>Document</w:t>
      </w:r>
      <w:r w:rsidRPr="008B77B5">
        <w:rPr>
          <w:lang w:val="en-US"/>
        </w:rPr>
        <w:t> :</w:t>
      </w:r>
      <w:proofErr w:type="gramEnd"/>
      <w:r w:rsidRPr="008B77B5">
        <w:rPr>
          <w:lang w:val="en-US"/>
        </w:rPr>
        <w:tab/>
        <w:t>ST/SG/AC</w:t>
      </w:r>
      <w:r w:rsidR="008B77B5" w:rsidRPr="008B77B5">
        <w:rPr>
          <w:lang w:val="en-US"/>
        </w:rPr>
        <w:t>.</w:t>
      </w:r>
      <w:r w:rsidRPr="008B77B5">
        <w:rPr>
          <w:lang w:val="en-US"/>
        </w:rPr>
        <w:t>10/C</w:t>
      </w:r>
      <w:r w:rsidR="008B77B5" w:rsidRPr="008B77B5">
        <w:rPr>
          <w:lang w:val="en-US"/>
        </w:rPr>
        <w:t>.</w:t>
      </w:r>
      <w:r w:rsidRPr="008B77B5">
        <w:rPr>
          <w:lang w:val="en-US"/>
        </w:rPr>
        <w:t>3/2022/6 (EIGA)</w:t>
      </w:r>
    </w:p>
    <w:p w14:paraId="07A127D0" w14:textId="5D6972FC" w:rsidR="00564BA0" w:rsidRPr="007D6C46" w:rsidRDefault="00564BA0" w:rsidP="00564BA0">
      <w:pPr>
        <w:pStyle w:val="SingleTxtG"/>
        <w:tabs>
          <w:tab w:val="left" w:pos="2977"/>
        </w:tabs>
      </w:pPr>
      <w:r w:rsidRPr="007D6C46">
        <w:t>85</w:t>
      </w:r>
      <w:r w:rsidR="008B77B5" w:rsidRPr="008B77B5">
        <w:t>.</w:t>
      </w:r>
      <w:r w:rsidRPr="007D6C46">
        <w:tab/>
        <w:t>Le Sous-Comité a rappelé le débat tenu à la session précédente et adopté les mesures transitoires proposées aux paragraphes</w:t>
      </w:r>
      <w:r w:rsidR="000E1457" w:rsidRPr="007D6C46">
        <w:t> </w:t>
      </w:r>
      <w:r w:rsidRPr="007D6C46">
        <w:t>4 à 6 du document, telles que modifiées (voir annexe I)</w:t>
      </w:r>
      <w:r w:rsidR="008B77B5" w:rsidRPr="008B77B5">
        <w:t>.</w:t>
      </w:r>
    </w:p>
    <w:p w14:paraId="4C810B16" w14:textId="5355C3AE" w:rsidR="00564BA0" w:rsidRPr="007D6C46" w:rsidRDefault="00564BA0" w:rsidP="00564BA0">
      <w:pPr>
        <w:pStyle w:val="H23G"/>
      </w:pPr>
      <w:r w:rsidRPr="007D6C46">
        <w:rPr>
          <w:bCs/>
        </w:rPr>
        <w:tab/>
        <w:t>2</w:t>
      </w:r>
      <w:r w:rsidR="008B77B5" w:rsidRPr="008B77B5">
        <w:rPr>
          <w:bCs/>
        </w:rPr>
        <w:t>.</w:t>
      </w:r>
      <w:r w:rsidRPr="007D6C46">
        <w:tab/>
      </w:r>
      <w:r w:rsidRPr="007D6C46">
        <w:rPr>
          <w:bCs/>
        </w:rPr>
        <w:t>Correction d’une référence au 6</w:t>
      </w:r>
      <w:r w:rsidR="008B77B5" w:rsidRPr="008B77B5">
        <w:rPr>
          <w:bCs/>
        </w:rPr>
        <w:t>.</w:t>
      </w:r>
      <w:r w:rsidRPr="007D6C46">
        <w:rPr>
          <w:bCs/>
        </w:rPr>
        <w:t>4</w:t>
      </w:r>
      <w:r w:rsidR="008B77B5" w:rsidRPr="008B77B5">
        <w:rPr>
          <w:bCs/>
        </w:rPr>
        <w:t>.</w:t>
      </w:r>
      <w:r w:rsidRPr="007D6C46">
        <w:rPr>
          <w:bCs/>
        </w:rPr>
        <w:t>23</w:t>
      </w:r>
      <w:r w:rsidR="008B77B5" w:rsidRPr="008B77B5">
        <w:rPr>
          <w:bCs/>
        </w:rPr>
        <w:t>.</w:t>
      </w:r>
      <w:r w:rsidRPr="007D6C46">
        <w:rPr>
          <w:bCs/>
        </w:rPr>
        <w:t>2 c)</w:t>
      </w:r>
    </w:p>
    <w:p w14:paraId="0D93317F" w14:textId="7DAE4C25" w:rsidR="00564BA0" w:rsidRPr="007D6C46" w:rsidRDefault="00564BA0" w:rsidP="00DE3355">
      <w:pPr>
        <w:pStyle w:val="SingleTxtG"/>
        <w:tabs>
          <w:tab w:val="clear" w:pos="1701"/>
          <w:tab w:val="clear" w:pos="2268"/>
          <w:tab w:val="clear" w:pos="2835"/>
          <w:tab w:val="left" w:pos="3108"/>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3/2022/16 (Allemagne)</w:t>
      </w:r>
    </w:p>
    <w:p w14:paraId="62DE9B31" w14:textId="30C8E8CD" w:rsidR="00564BA0" w:rsidRPr="007D6C46" w:rsidRDefault="00564BA0" w:rsidP="00564BA0">
      <w:pPr>
        <w:pStyle w:val="SingleTxtG"/>
      </w:pPr>
      <w:r w:rsidRPr="007D6C46">
        <w:t>86</w:t>
      </w:r>
      <w:r w:rsidR="008B77B5" w:rsidRPr="008B77B5">
        <w:t>.</w:t>
      </w:r>
      <w:r w:rsidRPr="007D6C46">
        <w:tab/>
        <w:t>Le Sous-Comité a adopté la correction proposée (voir annexe II)</w:t>
      </w:r>
      <w:r w:rsidR="008B77B5" w:rsidRPr="008B77B5">
        <w:t>.</w:t>
      </w:r>
    </w:p>
    <w:p w14:paraId="10F4A0A3" w14:textId="2B2BDA66" w:rsidR="00564BA0" w:rsidRPr="007D6C46" w:rsidRDefault="00564BA0" w:rsidP="00564BA0">
      <w:pPr>
        <w:pStyle w:val="H23G"/>
      </w:pPr>
      <w:r w:rsidRPr="007D6C46">
        <w:rPr>
          <w:bCs/>
        </w:rPr>
        <w:tab/>
        <w:t>3</w:t>
      </w:r>
      <w:r w:rsidR="008B77B5" w:rsidRPr="008B77B5">
        <w:rPr>
          <w:bCs/>
        </w:rPr>
        <w:t>.</w:t>
      </w:r>
      <w:r w:rsidRPr="007D6C46">
        <w:tab/>
      </w:r>
      <w:r w:rsidRPr="007D6C46">
        <w:rPr>
          <w:bCs/>
        </w:rPr>
        <w:t>Taux de remplissage et degré de remplissage</w:t>
      </w:r>
    </w:p>
    <w:p w14:paraId="13C34E08" w14:textId="2A369F7C" w:rsidR="00564BA0" w:rsidRPr="007D6C46" w:rsidRDefault="00564BA0" w:rsidP="00DE3355">
      <w:pPr>
        <w:pStyle w:val="SingleTxtG"/>
        <w:tabs>
          <w:tab w:val="clear" w:pos="1701"/>
          <w:tab w:val="clear" w:pos="2268"/>
          <w:tab w:val="clear" w:pos="2835"/>
          <w:tab w:val="left" w:pos="3108"/>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3/2022/23 (Espagne)</w:t>
      </w:r>
    </w:p>
    <w:p w14:paraId="469540F4" w14:textId="36C6BF12" w:rsidR="00564BA0" w:rsidRPr="007D6C46" w:rsidRDefault="00564BA0" w:rsidP="00DE3355">
      <w:pPr>
        <w:pStyle w:val="SingleTxtG"/>
        <w:tabs>
          <w:tab w:val="clear" w:pos="1701"/>
          <w:tab w:val="clear" w:pos="2268"/>
          <w:tab w:val="clear" w:pos="2835"/>
          <w:tab w:val="left" w:pos="3108"/>
        </w:tabs>
        <w:ind w:left="3119" w:hanging="1985"/>
        <w:jc w:val="left"/>
      </w:pPr>
      <w:r w:rsidRPr="007D6C46">
        <w:rPr>
          <w:i/>
          <w:iCs/>
        </w:rPr>
        <w:t xml:space="preserve">Document informel </w:t>
      </w:r>
      <w:r w:rsidRPr="007D6C46">
        <w:t>:</w:t>
      </w:r>
      <w:r w:rsidRPr="007D6C46">
        <w:tab/>
        <w:t>INF</w:t>
      </w:r>
      <w:r w:rsidR="008B77B5" w:rsidRPr="008B77B5">
        <w:t>.</w:t>
      </w:r>
      <w:r w:rsidRPr="007D6C46">
        <w:t>18 (Espagne)</w:t>
      </w:r>
    </w:p>
    <w:p w14:paraId="66E9A562" w14:textId="6291582B" w:rsidR="00564BA0" w:rsidRPr="007D6C46" w:rsidRDefault="00564BA0" w:rsidP="00564BA0">
      <w:pPr>
        <w:pStyle w:val="SingleTxtG"/>
      </w:pPr>
      <w:r w:rsidRPr="007D6C46">
        <w:t>87</w:t>
      </w:r>
      <w:r w:rsidR="008B77B5" w:rsidRPr="008B77B5">
        <w:t>.</w:t>
      </w:r>
      <w:r w:rsidRPr="007D6C46">
        <w:tab/>
        <w:t>Après un échange de vues sur la définition des termes « taux de remplissage » et « degré de remplissage », le Sous-Comité a adopté les amendements regroupés dans l’annexe 1 du document informel INF</w:t>
      </w:r>
      <w:r w:rsidR="008B77B5" w:rsidRPr="008B77B5">
        <w:t>.</w:t>
      </w:r>
      <w:r w:rsidRPr="007D6C46">
        <w:t>18 tels que modifiée (voir annexe I)</w:t>
      </w:r>
      <w:r w:rsidR="008B77B5" w:rsidRPr="008B77B5">
        <w:t>.</w:t>
      </w:r>
      <w:r w:rsidRPr="007D6C46">
        <w:t xml:space="preserve"> Il a été décidé de maintenir les modifications adoptées entre crochets, en attendant une confirmation à la session suivante</w:t>
      </w:r>
      <w:r w:rsidR="008B77B5" w:rsidRPr="008B77B5">
        <w:t>.</w:t>
      </w:r>
    </w:p>
    <w:p w14:paraId="2C7A8B27" w14:textId="028569C7" w:rsidR="00564BA0" w:rsidRPr="007D6C46" w:rsidRDefault="00564BA0" w:rsidP="00564BA0">
      <w:pPr>
        <w:pStyle w:val="H23G"/>
      </w:pPr>
      <w:r w:rsidRPr="007D6C46">
        <w:tab/>
        <w:t>4</w:t>
      </w:r>
      <w:r w:rsidR="008B77B5" w:rsidRPr="008B77B5">
        <w:t>.</w:t>
      </w:r>
      <w:r w:rsidRPr="007D6C46">
        <w:tab/>
        <w:t>Amendement au 2</w:t>
      </w:r>
      <w:r w:rsidR="008B77B5" w:rsidRPr="008B77B5">
        <w:t>.</w:t>
      </w:r>
      <w:r w:rsidRPr="007D6C46">
        <w:t>0</w:t>
      </w:r>
      <w:r w:rsidR="008B77B5" w:rsidRPr="008B77B5">
        <w:t>.</w:t>
      </w:r>
      <w:r w:rsidRPr="007D6C46">
        <w:t>5</w:t>
      </w:r>
      <w:r w:rsidR="008B77B5" w:rsidRPr="008B77B5">
        <w:t>.</w:t>
      </w:r>
      <w:r w:rsidRPr="007D6C46">
        <w:t>2</w:t>
      </w:r>
    </w:p>
    <w:p w14:paraId="743915E1" w14:textId="70FE121C"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w:t>
      </w:r>
      <w:r w:rsidRPr="007D6C46">
        <w:t>:</w:t>
      </w:r>
      <w:r w:rsidRPr="007D6C46">
        <w:tab/>
        <w:t>ST/SG/AC</w:t>
      </w:r>
      <w:r w:rsidR="008B77B5" w:rsidRPr="008B77B5">
        <w:t>.</w:t>
      </w:r>
      <w:r w:rsidRPr="007D6C46">
        <w:t>10/C</w:t>
      </w:r>
      <w:r w:rsidR="008B77B5" w:rsidRPr="008B77B5">
        <w:t>.</w:t>
      </w:r>
      <w:r w:rsidRPr="007D6C46">
        <w:t>3/2022/7 (IATA)</w:t>
      </w:r>
    </w:p>
    <w:p w14:paraId="4D095A37" w14:textId="36672261"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Document informel </w:t>
      </w:r>
      <w:r w:rsidRPr="007D6C46">
        <w:t>:</w:t>
      </w:r>
      <w:r w:rsidRPr="007D6C46">
        <w:tab/>
        <w:t>INF</w:t>
      </w:r>
      <w:r w:rsidR="008B77B5" w:rsidRPr="008B77B5">
        <w:t>.</w:t>
      </w:r>
      <w:r w:rsidRPr="007D6C46">
        <w:t>51 (IATA)</w:t>
      </w:r>
    </w:p>
    <w:p w14:paraId="7AD6C505" w14:textId="7F996ED5" w:rsidR="00564BA0" w:rsidRPr="007D6C46" w:rsidRDefault="00564BA0" w:rsidP="00564BA0">
      <w:pPr>
        <w:pStyle w:val="SingleTxtG"/>
      </w:pPr>
      <w:r w:rsidRPr="007D6C46">
        <w:t>88</w:t>
      </w:r>
      <w:r w:rsidR="008B77B5" w:rsidRPr="008B77B5">
        <w:t>.</w:t>
      </w:r>
      <w:r w:rsidRPr="007D6C46">
        <w:tab/>
        <w:t>S’agissant du classement des objets contenant des piles ou batteries au lithium produites en petite quantité ou correspondant à des prototypes de préproduction, le Sous</w:t>
      </w:r>
      <w:r w:rsidRPr="007D6C46">
        <w:noBreakHyphen/>
        <w:t>Comité a adopté les amendements proposés dans le document informel INF</w:t>
      </w:r>
      <w:r w:rsidR="008B77B5" w:rsidRPr="008B77B5">
        <w:t>.</w:t>
      </w:r>
      <w:r w:rsidRPr="007D6C46">
        <w:t>51, tels que modifiés (voir l’annexe I)</w:t>
      </w:r>
      <w:r w:rsidR="008B77B5" w:rsidRPr="008B77B5">
        <w:t>.</w:t>
      </w:r>
      <w:r w:rsidRPr="007D6C46">
        <w:t xml:space="preserve"> Il a été noté que les amendements apportés à la disposition spéciale 310 étaient conformes à ceux adoptés, au titre du point 4 c), sur la base du document ST/SG/AC</w:t>
      </w:r>
      <w:r w:rsidR="008B77B5" w:rsidRPr="008B77B5">
        <w:t>.</w:t>
      </w:r>
      <w:r w:rsidRPr="007D6C46">
        <w:t>10/C</w:t>
      </w:r>
      <w:r w:rsidR="008B77B5" w:rsidRPr="008B77B5">
        <w:t>.</w:t>
      </w:r>
      <w:r w:rsidRPr="007D6C46">
        <w:t>3/2022/30 et du document informel INF</w:t>
      </w:r>
      <w:r w:rsidR="008B77B5" w:rsidRPr="008B77B5">
        <w:t>.</w:t>
      </w:r>
      <w:r w:rsidRPr="007D6C46">
        <w:t>49 tels que modifiés</w:t>
      </w:r>
      <w:r w:rsidR="008B77B5" w:rsidRPr="008B77B5">
        <w:t>.</w:t>
      </w:r>
    </w:p>
    <w:p w14:paraId="1C51573E" w14:textId="796B3208" w:rsidR="00564BA0" w:rsidRPr="007D6C46" w:rsidRDefault="00564BA0" w:rsidP="00564BA0">
      <w:pPr>
        <w:pStyle w:val="SingleTxtG"/>
      </w:pPr>
      <w:r w:rsidRPr="007D6C46">
        <w:t>89</w:t>
      </w:r>
      <w:r w:rsidR="008B77B5" w:rsidRPr="008B77B5">
        <w:t>.</w:t>
      </w:r>
      <w:r w:rsidRPr="007D6C46">
        <w:tab/>
        <w:t>En ce qui concernait la proposition visant à prendre en compte également les batteries sodium-ion, le Sous-Comité a préféré procéder en deux temps et examiner ainsi, à sa session suivante, une nouvelle proposition sur la question</w:t>
      </w:r>
      <w:r w:rsidR="008B77B5" w:rsidRPr="008B77B5">
        <w:t>.</w:t>
      </w:r>
      <w:r w:rsidRPr="007D6C46">
        <w:t xml:space="preserve"> Le représentant de l’IATA s’est porté volontaire pour établir un document officiel</w:t>
      </w:r>
      <w:r w:rsidR="008B77B5" w:rsidRPr="008B77B5">
        <w:t>.</w:t>
      </w:r>
    </w:p>
    <w:p w14:paraId="778C93E7" w14:textId="513354AD" w:rsidR="00564BA0" w:rsidRPr="007D6C46" w:rsidRDefault="00564BA0" w:rsidP="00564BA0">
      <w:pPr>
        <w:pStyle w:val="HChG"/>
      </w:pPr>
      <w:bookmarkStart w:id="27" w:name="_Hlk13481034"/>
      <w:r w:rsidRPr="007D6C46">
        <w:tab/>
        <w:t>IX</w:t>
      </w:r>
      <w:r w:rsidR="008B77B5" w:rsidRPr="008B77B5">
        <w:t>.</w:t>
      </w:r>
      <w:r w:rsidRPr="007D6C46">
        <w:tab/>
        <w:t>Harmonisation générale des règlements relatifs au transport des marchandises dangereuses avec le Règlement type (point 7 de l’ordre du jour)</w:t>
      </w:r>
    </w:p>
    <w:p w14:paraId="6712EF77" w14:textId="0F7B8AE0" w:rsidR="00564BA0" w:rsidRPr="007D6C46" w:rsidRDefault="00564BA0" w:rsidP="00564BA0">
      <w:pPr>
        <w:pStyle w:val="H23G"/>
        <w:ind w:right="2408"/>
      </w:pPr>
      <w:r w:rsidRPr="007D6C46">
        <w:tab/>
        <w:t>1</w:t>
      </w:r>
      <w:r w:rsidR="008B77B5" w:rsidRPr="008B77B5">
        <w:t>.</w:t>
      </w:r>
      <w:r w:rsidRPr="007D6C46">
        <w:tab/>
        <w:t>Propositions d’amendements découlant de la trente-cinquième session du Groupe des questions techniques et éditoriales</w:t>
      </w:r>
    </w:p>
    <w:p w14:paraId="5C798D75" w14:textId="11E2AD79" w:rsidR="00564BA0" w:rsidRPr="007D6C46" w:rsidRDefault="00564BA0" w:rsidP="00DE3355">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3/2022/31 (OMI)</w:t>
      </w:r>
    </w:p>
    <w:p w14:paraId="3E34AA8E" w14:textId="790DF449" w:rsidR="00564BA0" w:rsidRPr="007D6C46" w:rsidRDefault="00564BA0" w:rsidP="00564BA0">
      <w:pPr>
        <w:pStyle w:val="SingleTxtG"/>
        <w:tabs>
          <w:tab w:val="left" w:pos="2977"/>
        </w:tabs>
        <w:spacing w:after="0"/>
      </w:pPr>
      <w:r w:rsidRPr="007D6C46">
        <w:t>90</w:t>
      </w:r>
      <w:r w:rsidR="008B77B5" w:rsidRPr="008B77B5">
        <w:t>.</w:t>
      </w:r>
      <w:r w:rsidRPr="007D6C46">
        <w:tab/>
        <w:t>Le Sous-Comité a adopté les amendements proposés dans le document ST/SG/AC</w:t>
      </w:r>
      <w:r w:rsidR="008B77B5" w:rsidRPr="008B77B5">
        <w:t>.</w:t>
      </w:r>
      <w:r w:rsidRPr="007D6C46">
        <w:t>10/C</w:t>
      </w:r>
      <w:r w:rsidR="008B77B5" w:rsidRPr="008B77B5">
        <w:t>.</w:t>
      </w:r>
      <w:r w:rsidRPr="007D6C46">
        <w:t>3/2022/31 en vue de l’harmonisation entre le Règlement type et le Code maritime international des marchandises dangereuses (Code IMDG) (voir annexe I)</w:t>
      </w:r>
      <w:r w:rsidR="008B77B5" w:rsidRPr="008B77B5">
        <w:t>.</w:t>
      </w:r>
    </w:p>
    <w:p w14:paraId="057FD664" w14:textId="631F6668" w:rsidR="00564BA0" w:rsidRPr="007D6C46" w:rsidRDefault="00564BA0" w:rsidP="00564BA0">
      <w:pPr>
        <w:pStyle w:val="H23G"/>
      </w:pPr>
      <w:r w:rsidRPr="007D6C46">
        <w:tab/>
        <w:t>2</w:t>
      </w:r>
      <w:r w:rsidR="008B77B5" w:rsidRPr="008B77B5">
        <w:t>.</w:t>
      </w:r>
      <w:r w:rsidRPr="007D6C46">
        <w:tab/>
        <w:t xml:space="preserve">Proposition d’un </w:t>
      </w:r>
      <w:bookmarkStart w:id="28" w:name="_Hlk115190283"/>
      <w:r w:rsidRPr="007D6C46">
        <w:t xml:space="preserve">libellé de substitution </w:t>
      </w:r>
      <w:bookmarkEnd w:id="28"/>
      <w:r w:rsidRPr="007D6C46">
        <w:t>pour le paragraphe 2</w:t>
      </w:r>
      <w:r w:rsidR="008B77B5" w:rsidRPr="008B77B5">
        <w:t>.</w:t>
      </w:r>
      <w:r w:rsidRPr="007D6C46">
        <w:t>9</w:t>
      </w:r>
      <w:r w:rsidR="008B77B5" w:rsidRPr="008B77B5">
        <w:t>.</w:t>
      </w:r>
      <w:r w:rsidRPr="007D6C46">
        <w:t>2 à</w:t>
      </w:r>
      <w:r w:rsidR="000E1457" w:rsidRPr="007D6C46">
        <w:t xml:space="preserve"> </w:t>
      </w:r>
      <w:r w:rsidRPr="007D6C46">
        <w:t>propos</w:t>
      </w:r>
      <w:r w:rsidR="000E1457" w:rsidRPr="007D6C46">
        <w:t xml:space="preserve"> </w:t>
      </w:r>
      <w:r w:rsidR="000E1457" w:rsidRPr="007D6C46">
        <w:br/>
      </w:r>
      <w:r w:rsidRPr="007D6C46">
        <w:t>des</w:t>
      </w:r>
      <w:bookmarkStart w:id="29" w:name="_Hlk115190389"/>
      <w:r w:rsidR="000E1457" w:rsidRPr="007D6C46">
        <w:t xml:space="preserve"> </w:t>
      </w:r>
      <w:r w:rsidRPr="007D6C46">
        <w:t xml:space="preserve">organismes et micro-organismes </w:t>
      </w:r>
      <w:bookmarkEnd w:id="29"/>
      <w:r w:rsidRPr="007D6C46">
        <w:t>génétiquement modifiés</w:t>
      </w:r>
    </w:p>
    <w:p w14:paraId="145074C6" w14:textId="4D98BE6F"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3/2022/33 (Pays-Bas)</w:t>
      </w:r>
    </w:p>
    <w:p w14:paraId="6D9C9D7A" w14:textId="48F6F055" w:rsidR="00564BA0" w:rsidRPr="007D6C46" w:rsidRDefault="00564BA0" w:rsidP="00657122">
      <w:pPr>
        <w:pStyle w:val="SingleTxtG"/>
        <w:tabs>
          <w:tab w:val="clear" w:pos="1701"/>
          <w:tab w:val="clear" w:pos="2268"/>
          <w:tab w:val="clear" w:pos="2835"/>
          <w:tab w:val="left" w:pos="3119"/>
        </w:tabs>
        <w:ind w:left="3119" w:hanging="1985"/>
        <w:jc w:val="left"/>
      </w:pPr>
      <w:bookmarkStart w:id="30" w:name="_Hlk115011036"/>
      <w:r w:rsidRPr="007D6C46">
        <w:rPr>
          <w:i/>
          <w:iCs/>
        </w:rPr>
        <w:t xml:space="preserve">Document informel </w:t>
      </w:r>
      <w:r w:rsidRPr="007D6C46">
        <w:t>:</w:t>
      </w:r>
      <w:r w:rsidRPr="007D6C46">
        <w:tab/>
        <w:t>INF</w:t>
      </w:r>
      <w:r w:rsidR="008B77B5" w:rsidRPr="008B77B5">
        <w:t>.</w:t>
      </w:r>
      <w:r w:rsidRPr="007D6C46">
        <w:t>48 (Pays-Bas)</w:t>
      </w:r>
    </w:p>
    <w:bookmarkEnd w:id="30"/>
    <w:p w14:paraId="2C525173" w14:textId="14050F4C" w:rsidR="00564BA0" w:rsidRPr="007D6C46" w:rsidRDefault="00564BA0" w:rsidP="00564BA0">
      <w:pPr>
        <w:pStyle w:val="SingleTxtG"/>
        <w:tabs>
          <w:tab w:val="left" w:pos="2977"/>
        </w:tabs>
      </w:pPr>
      <w:r w:rsidRPr="007D6C46">
        <w:t>91</w:t>
      </w:r>
      <w:r w:rsidR="008B77B5" w:rsidRPr="008B77B5">
        <w:t>.</w:t>
      </w:r>
      <w:r w:rsidRPr="007D6C46">
        <w:tab/>
      </w:r>
      <w:proofErr w:type="gramStart"/>
      <w:r w:rsidRPr="007D6C46">
        <w:t>Suite aux</w:t>
      </w:r>
      <w:proofErr w:type="gramEnd"/>
      <w:r w:rsidRPr="007D6C46">
        <w:t xml:space="preserve"> observations reçues concernant la proposition figurant dans le document ST/SG/AC</w:t>
      </w:r>
      <w:r w:rsidR="008B77B5" w:rsidRPr="008B77B5">
        <w:t>.</w:t>
      </w:r>
      <w:r w:rsidRPr="007D6C46">
        <w:t>10/C</w:t>
      </w:r>
      <w:r w:rsidR="008B77B5" w:rsidRPr="008B77B5">
        <w:t>.</w:t>
      </w:r>
      <w:r w:rsidRPr="007D6C46">
        <w:t>3/2022/33, les Pays-Bas ont présenté le document informel INF</w:t>
      </w:r>
      <w:r w:rsidR="008B77B5" w:rsidRPr="008B77B5">
        <w:t>.</w:t>
      </w:r>
      <w:r w:rsidRPr="007D6C46">
        <w:t>48, dans lequel est énoncée une modification visant à éviter tout malentendu à propos de l’expression « prêts à l’emploi »</w:t>
      </w:r>
      <w:r w:rsidR="008B77B5" w:rsidRPr="008B77B5">
        <w:t>.</w:t>
      </w:r>
      <w:r w:rsidRPr="007D6C46">
        <w:t xml:space="preserve"> Cette modification a été adoptée par le Sous-Comité (voir annexe I)</w:t>
      </w:r>
      <w:r w:rsidR="008B77B5" w:rsidRPr="008B77B5">
        <w:t>.</w:t>
      </w:r>
    </w:p>
    <w:bookmarkEnd w:id="27"/>
    <w:p w14:paraId="6D0B73A1" w14:textId="2BDBB8F1" w:rsidR="00564BA0" w:rsidRPr="007D6C46" w:rsidRDefault="00564BA0" w:rsidP="00564BA0">
      <w:pPr>
        <w:pStyle w:val="HChG"/>
      </w:pPr>
      <w:r w:rsidRPr="007D6C46">
        <w:tab/>
        <w:t>X</w:t>
      </w:r>
      <w:r w:rsidR="008B77B5" w:rsidRPr="008B77B5">
        <w:t>.</w:t>
      </w:r>
      <w:r w:rsidRPr="007D6C46">
        <w:tab/>
        <w:t>Coopération avec l’Agence internationale de l’énergie atomique (point 8 de l’ordre du jour)</w:t>
      </w:r>
    </w:p>
    <w:p w14:paraId="6B5FD2EF" w14:textId="7B058A81" w:rsidR="00564BA0" w:rsidRPr="007D6C46" w:rsidRDefault="00564BA0" w:rsidP="00564BA0">
      <w:pPr>
        <w:pStyle w:val="SingleTxtG"/>
      </w:pPr>
      <w:r w:rsidRPr="007D6C46">
        <w:t>92</w:t>
      </w:r>
      <w:r w:rsidR="008B77B5" w:rsidRPr="008B77B5">
        <w:t>.</w:t>
      </w:r>
      <w:r w:rsidRPr="007D6C46">
        <w:tab/>
        <w:t>Aucun document n’ayant été soumis au titre de ce point de l’ordre du jour, la question n’a pas été abordée</w:t>
      </w:r>
      <w:r w:rsidR="008B77B5" w:rsidRPr="008B77B5">
        <w:t>.</w:t>
      </w:r>
    </w:p>
    <w:p w14:paraId="562C06F2" w14:textId="650F6B49" w:rsidR="00564BA0" w:rsidRPr="007D6C46" w:rsidRDefault="00564BA0" w:rsidP="00564BA0">
      <w:pPr>
        <w:pStyle w:val="HChG"/>
        <w:ind w:right="3684"/>
      </w:pPr>
      <w:r w:rsidRPr="007D6C46">
        <w:tab/>
        <w:t>XI</w:t>
      </w:r>
      <w:r w:rsidR="008B77B5" w:rsidRPr="008B77B5">
        <w:t>.</w:t>
      </w:r>
      <w:r w:rsidRPr="007D6C46">
        <w:tab/>
        <w:t>Principes directeurs du Règlement type (point 9 de l’ordre du jour)</w:t>
      </w:r>
    </w:p>
    <w:p w14:paraId="72134FF2" w14:textId="0D44C409" w:rsidR="00564BA0" w:rsidRPr="007D6C46" w:rsidRDefault="00564BA0" w:rsidP="00564BA0">
      <w:pPr>
        <w:pStyle w:val="H23G"/>
      </w:pPr>
      <w:r w:rsidRPr="007D6C46">
        <w:tab/>
        <w:t>1</w:t>
      </w:r>
      <w:r w:rsidR="008B77B5" w:rsidRPr="008B77B5">
        <w:t>.</w:t>
      </w:r>
      <w:r w:rsidRPr="007D6C46">
        <w:tab/>
        <w:t>Affectation de l’instruction d’emballage au No ONU 3550 (dihydroxyde de cobalt en poudre) pour le transport en grands récipients pour vrac souples</w:t>
      </w:r>
    </w:p>
    <w:p w14:paraId="69EEF58A" w14:textId="2CA605E0"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3/2022/3 (ICPP et RPMASA)</w:t>
      </w:r>
    </w:p>
    <w:p w14:paraId="0F4EAE70" w14:textId="4CB76F67" w:rsidR="00564BA0" w:rsidRPr="007D6C46" w:rsidRDefault="00564BA0" w:rsidP="00564BA0">
      <w:pPr>
        <w:pStyle w:val="SingleTxtG"/>
        <w:tabs>
          <w:tab w:val="left" w:pos="2977"/>
        </w:tabs>
        <w:spacing w:after="0"/>
      </w:pPr>
      <w:r w:rsidRPr="007D6C46">
        <w:t>93</w:t>
      </w:r>
      <w:r w:rsidR="008B77B5" w:rsidRPr="008B77B5">
        <w:t>.</w:t>
      </w:r>
      <w:r w:rsidRPr="007D6C46">
        <w:tab/>
        <w:t>Le Sous-Comité a adopté les modifications des Principes directeurs proposées dans le document ST/SG/AC</w:t>
      </w:r>
      <w:r w:rsidR="008B77B5" w:rsidRPr="008B77B5">
        <w:t>.</w:t>
      </w:r>
      <w:r w:rsidRPr="007D6C46">
        <w:t>10/C</w:t>
      </w:r>
      <w:r w:rsidR="008B77B5" w:rsidRPr="008B77B5">
        <w:t>.</w:t>
      </w:r>
      <w:r w:rsidRPr="007D6C46">
        <w:t>3/2022/3 tel que modifié (voir annexe III)</w:t>
      </w:r>
      <w:r w:rsidR="008B77B5" w:rsidRPr="008B77B5">
        <w:t>.</w:t>
      </w:r>
    </w:p>
    <w:p w14:paraId="5886C977" w14:textId="2390A61B" w:rsidR="00564BA0" w:rsidRPr="007D6C46" w:rsidRDefault="00564BA0" w:rsidP="00564BA0">
      <w:pPr>
        <w:pStyle w:val="H23G"/>
      </w:pPr>
      <w:r w:rsidRPr="007D6C46">
        <w:tab/>
        <w:t>2</w:t>
      </w:r>
      <w:r w:rsidR="008B77B5" w:rsidRPr="008B77B5">
        <w:t>.</w:t>
      </w:r>
      <w:r w:rsidRPr="007D6C46">
        <w:tab/>
        <w:t>Questions diverses relatives aux instructions de transport en citernes mobiles et aux dispositions spéciales applicables au transport en citernes mobiles</w:t>
      </w:r>
    </w:p>
    <w:p w14:paraId="45EBBEB6" w14:textId="3966A120"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3/2022/39 (secrétariat)</w:t>
      </w:r>
    </w:p>
    <w:p w14:paraId="000015DA" w14:textId="22450C72"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 xml:space="preserve">Document informel </w:t>
      </w:r>
      <w:r w:rsidRPr="007D6C46">
        <w:t>:</w:t>
      </w:r>
      <w:r w:rsidRPr="007D6C46">
        <w:tab/>
        <w:t>INF</w:t>
      </w:r>
      <w:r w:rsidR="008B77B5" w:rsidRPr="008B77B5">
        <w:t>.</w:t>
      </w:r>
      <w:r w:rsidRPr="007D6C46">
        <w:t>44, par</w:t>
      </w:r>
      <w:r w:rsidR="008B77B5" w:rsidRPr="008B77B5">
        <w:t>.</w:t>
      </w:r>
      <w:r w:rsidRPr="007D6C46">
        <w:t xml:space="preserve"> 16 (Président du GTE)</w:t>
      </w:r>
    </w:p>
    <w:p w14:paraId="1E52F57C" w14:textId="4024F866" w:rsidR="00564BA0" w:rsidRPr="007D6C46" w:rsidRDefault="00564BA0" w:rsidP="00564BA0">
      <w:pPr>
        <w:pStyle w:val="SingleTxtG"/>
        <w:tabs>
          <w:tab w:val="left" w:pos="2977"/>
        </w:tabs>
      </w:pPr>
      <w:r w:rsidRPr="007D6C46">
        <w:t>94</w:t>
      </w:r>
      <w:r w:rsidR="008B77B5" w:rsidRPr="008B77B5">
        <w:t>.</w:t>
      </w:r>
      <w:r w:rsidRPr="007D6C46">
        <w:tab/>
        <w:t>Rappelant qu’il avait recommandé, lors de sessions précédentes, la mise à jour régulière des Principes directeurs, le Sous-Comité a accueilli favorablement les informations données par le secrétariat, y compris les modifications proposées</w:t>
      </w:r>
      <w:r w:rsidR="008B77B5" w:rsidRPr="008B77B5">
        <w:t>.</w:t>
      </w:r>
      <w:r w:rsidRPr="007D6C46">
        <w:t xml:space="preserve"> Il a adopté les propositions 1 et 2 énoncées dans le document ST/SG/AC</w:t>
      </w:r>
      <w:r w:rsidR="008B77B5" w:rsidRPr="008B77B5">
        <w:t>.</w:t>
      </w:r>
      <w:r w:rsidRPr="007D6C46">
        <w:t>10/C</w:t>
      </w:r>
      <w:r w:rsidR="008B77B5" w:rsidRPr="008B77B5">
        <w:t>.</w:t>
      </w:r>
      <w:r w:rsidRPr="007D6C46">
        <w:t>3/2022/39 tel que modifié (voir annexe III)</w:t>
      </w:r>
      <w:r w:rsidR="008B77B5" w:rsidRPr="008B77B5">
        <w:t>.</w:t>
      </w:r>
    </w:p>
    <w:p w14:paraId="6FA04CBE" w14:textId="1A549149" w:rsidR="00564BA0" w:rsidRPr="007D6C46" w:rsidRDefault="00564BA0" w:rsidP="00564BA0">
      <w:pPr>
        <w:pStyle w:val="SingleTxtG"/>
        <w:tabs>
          <w:tab w:val="left" w:pos="2977"/>
        </w:tabs>
      </w:pPr>
      <w:r w:rsidRPr="007D6C46">
        <w:t>95</w:t>
      </w:r>
      <w:r w:rsidR="008B77B5" w:rsidRPr="008B77B5">
        <w:t>.</w:t>
      </w:r>
      <w:r w:rsidRPr="007D6C46">
        <w:tab/>
        <w:t>En ce qui concernait l’affectation de l’instruction de transport en citernes mobiles TP1 (sect</w:t>
      </w:r>
      <w:r w:rsidR="008B77B5" w:rsidRPr="008B77B5">
        <w:t>.</w:t>
      </w:r>
      <w:r w:rsidRPr="007D6C46">
        <w:t> IV du document ST/SG/AC</w:t>
      </w:r>
      <w:r w:rsidR="008B77B5" w:rsidRPr="008B77B5">
        <w:t>.</w:t>
      </w:r>
      <w:r w:rsidRPr="007D6C46">
        <w:t>10/C</w:t>
      </w:r>
      <w:r w:rsidR="008B77B5" w:rsidRPr="008B77B5">
        <w:t>.</w:t>
      </w:r>
      <w:r w:rsidRPr="007D6C46">
        <w:t>3/2022/39), le Sous-Comité a approuvé la conclusion du Groupe de travail des explosifs tendant à retirer du Règlement type la référence au No ONU 0331</w:t>
      </w:r>
      <w:r w:rsidR="008B77B5" w:rsidRPr="008B77B5">
        <w:t>.</w:t>
      </w:r>
      <w:r w:rsidRPr="007D6C46">
        <w:t xml:space="preserve"> En ce qui concerne la proposition de la section V, il a été décidé de modifier les Nos ONU 1442 et 1381 de façon à supprimer l’affectation de l’instruction de transport en citernes mobiles TP31</w:t>
      </w:r>
      <w:r w:rsidR="008B77B5" w:rsidRPr="008B77B5">
        <w:t>.</w:t>
      </w:r>
      <w:r w:rsidRPr="007D6C46">
        <w:t xml:space="preserve"> Le Sous-Comité a préféré conserver les instructions relatives aux citernes mobiles inutilisées dans le Règlement type (sect</w:t>
      </w:r>
      <w:r w:rsidR="008B77B5" w:rsidRPr="008B77B5">
        <w:t>.</w:t>
      </w:r>
      <w:r w:rsidRPr="007D6C46">
        <w:t> VI) et décidé de mettre une note explicative dans les Principes directeurs</w:t>
      </w:r>
      <w:r w:rsidR="008B77B5" w:rsidRPr="008B77B5">
        <w:t>.</w:t>
      </w:r>
      <w:r w:rsidRPr="007D6C46">
        <w:t xml:space="preserve"> Il a demandé au secrétariat d’établir un document officiel pour la session suivante</w:t>
      </w:r>
      <w:r w:rsidR="008B77B5" w:rsidRPr="008B77B5">
        <w:t>.</w:t>
      </w:r>
    </w:p>
    <w:p w14:paraId="73AD1393" w14:textId="3FCCF40B" w:rsidR="00564BA0" w:rsidRPr="007D6C46" w:rsidRDefault="00564BA0" w:rsidP="00564BA0">
      <w:pPr>
        <w:pStyle w:val="HChG"/>
      </w:pPr>
      <w:r w:rsidRPr="007D6C46">
        <w:tab/>
        <w:t>XII</w:t>
      </w:r>
      <w:r w:rsidR="008B77B5" w:rsidRPr="008B77B5">
        <w:t>.</w:t>
      </w:r>
      <w:r w:rsidRPr="007D6C46">
        <w:tab/>
        <w:t xml:space="preserve">Questions relatives au Système général harmonisé de classification et d’étiquetage des produits </w:t>
      </w:r>
      <w:r w:rsidR="000E1457" w:rsidRPr="007D6C46">
        <w:br/>
      </w:r>
      <w:r w:rsidRPr="007D6C46">
        <w:t>chimiques (point 10 de l’ordre du jour)</w:t>
      </w:r>
    </w:p>
    <w:p w14:paraId="51D4E6A9" w14:textId="07275F47" w:rsidR="00564BA0" w:rsidRPr="007D6C46" w:rsidRDefault="00564BA0" w:rsidP="00564BA0">
      <w:pPr>
        <w:pStyle w:val="H1G"/>
      </w:pPr>
      <w:r w:rsidRPr="007D6C46">
        <w:tab/>
        <w:t>A</w:t>
      </w:r>
      <w:r w:rsidR="008B77B5" w:rsidRPr="008B77B5">
        <w:t>.</w:t>
      </w:r>
      <w:r w:rsidRPr="007D6C46">
        <w:tab/>
        <w:t>Épreuves relatives aux matières comburantes</w:t>
      </w:r>
    </w:p>
    <w:p w14:paraId="6FA1CFC3" w14:textId="3488CDF0" w:rsidR="00564BA0" w:rsidRPr="007D6C46" w:rsidRDefault="00564BA0" w:rsidP="00564BA0">
      <w:pPr>
        <w:pStyle w:val="SingleTxtG"/>
      </w:pPr>
      <w:r w:rsidRPr="007D6C46">
        <w:t>96</w:t>
      </w:r>
      <w:r w:rsidR="008B77B5" w:rsidRPr="008B77B5">
        <w:t>.</w:t>
      </w:r>
      <w:r w:rsidRPr="007D6C46">
        <w:tab/>
        <w:t>Aucun document n’ayant été soumis au titre de ce point de l’ordre du jour, la question n’a pas été abordée</w:t>
      </w:r>
      <w:r w:rsidR="008B77B5" w:rsidRPr="008B77B5">
        <w:t>.</w:t>
      </w:r>
    </w:p>
    <w:p w14:paraId="2DAC5B09" w14:textId="6A7278A8" w:rsidR="00564BA0" w:rsidRPr="007D6C46" w:rsidRDefault="00564BA0" w:rsidP="00564BA0">
      <w:pPr>
        <w:pStyle w:val="H1G"/>
      </w:pPr>
      <w:r w:rsidRPr="007D6C46">
        <w:tab/>
        <w:t>B</w:t>
      </w:r>
      <w:r w:rsidR="008B77B5" w:rsidRPr="008B77B5">
        <w:t>.</w:t>
      </w:r>
      <w:r w:rsidRPr="007D6C46">
        <w:tab/>
      </w:r>
      <w:r w:rsidRPr="007D6C46">
        <w:tab/>
        <w:t>Affectation à plusieurs classes de danger physique et hiérarchisation des dangers</w:t>
      </w:r>
    </w:p>
    <w:p w14:paraId="482D3106" w14:textId="15898C60" w:rsidR="00564BA0" w:rsidRPr="007D6C46" w:rsidRDefault="00564BA0" w:rsidP="00564BA0">
      <w:pPr>
        <w:pStyle w:val="SingleTxtG"/>
      </w:pPr>
      <w:r w:rsidRPr="007D6C46">
        <w:t>97</w:t>
      </w:r>
      <w:r w:rsidR="008B77B5" w:rsidRPr="008B77B5">
        <w:t>.</w:t>
      </w:r>
      <w:r w:rsidRPr="007D6C46">
        <w:tab/>
        <w:t>Aucun document n’ayant été soumis au titre de ce point de l’ordre du jour, la question n’a pas été abordée</w:t>
      </w:r>
      <w:r w:rsidR="008B77B5" w:rsidRPr="008B77B5">
        <w:t>.</w:t>
      </w:r>
    </w:p>
    <w:p w14:paraId="08BE9B55" w14:textId="61C7016B" w:rsidR="00564BA0" w:rsidRPr="007D6C46" w:rsidRDefault="00564BA0" w:rsidP="00564BA0">
      <w:pPr>
        <w:pStyle w:val="H1G"/>
      </w:pPr>
      <w:r w:rsidRPr="007D6C46">
        <w:tab/>
        <w:t>C</w:t>
      </w:r>
      <w:r w:rsidR="008B77B5" w:rsidRPr="008B77B5">
        <w:t>.</w:t>
      </w:r>
      <w:r w:rsidRPr="007D6C46">
        <w:tab/>
      </w:r>
      <w:r w:rsidRPr="007D6C46">
        <w:tab/>
        <w:t>Autres questions</w:t>
      </w:r>
    </w:p>
    <w:p w14:paraId="1359D1CA" w14:textId="311A592A" w:rsidR="00564BA0" w:rsidRPr="007D6C46" w:rsidRDefault="00564BA0" w:rsidP="00564BA0">
      <w:pPr>
        <w:pStyle w:val="H23G"/>
      </w:pPr>
      <w:r w:rsidRPr="007D6C46">
        <w:tab/>
        <w:t>1</w:t>
      </w:r>
      <w:r w:rsidR="008B77B5" w:rsidRPr="008B77B5">
        <w:t>.</w:t>
      </w:r>
      <w:r w:rsidRPr="007D6C46">
        <w:tab/>
        <w:t xml:space="preserve">Modification du Manuel d’épreuves et de critères visant à prendre en considération de manière appropriée le Système général harmonisé de classification </w:t>
      </w:r>
      <w:r w:rsidR="00150D8B">
        <w:br/>
      </w:r>
      <w:r w:rsidRPr="007D6C46">
        <w:t>et d’étiquetage des produits chimiques</w:t>
      </w:r>
    </w:p>
    <w:p w14:paraId="77D1F7EA" w14:textId="45668C2C"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Document</w:t>
      </w:r>
      <w:r w:rsidRPr="007D6C46">
        <w:t xml:space="preserve"> :</w:t>
      </w:r>
      <w:r w:rsidRPr="007D6C46">
        <w:tab/>
        <w:t>ST/SG/AC</w:t>
      </w:r>
      <w:r w:rsidR="008B77B5" w:rsidRPr="008B77B5">
        <w:t>.</w:t>
      </w:r>
      <w:r w:rsidRPr="007D6C46">
        <w:t>10/C</w:t>
      </w:r>
      <w:r w:rsidR="008B77B5" w:rsidRPr="008B77B5">
        <w:t>.</w:t>
      </w:r>
      <w:r w:rsidRPr="007D6C46">
        <w:t>3/2022/11 (Allemagne)</w:t>
      </w:r>
    </w:p>
    <w:p w14:paraId="4D20BB6D" w14:textId="61F52C39" w:rsidR="00564BA0" w:rsidRPr="007D6C46" w:rsidRDefault="00564BA0" w:rsidP="00657122">
      <w:pPr>
        <w:pStyle w:val="SingleTxtG"/>
        <w:tabs>
          <w:tab w:val="clear" w:pos="1701"/>
          <w:tab w:val="clear" w:pos="2268"/>
          <w:tab w:val="clear" w:pos="2835"/>
          <w:tab w:val="left" w:pos="3119"/>
        </w:tabs>
        <w:ind w:left="3119" w:hanging="1985"/>
        <w:jc w:val="left"/>
        <w:rPr>
          <w:rFonts w:eastAsia="SimSun"/>
          <w:lang w:eastAsia="zh-CN"/>
        </w:rPr>
      </w:pPr>
      <w:r w:rsidRPr="007D6C46">
        <w:rPr>
          <w:i/>
          <w:iCs/>
        </w:rPr>
        <w:t>Document i</w:t>
      </w:r>
      <w:r w:rsidRPr="007D6C46">
        <w:rPr>
          <w:rFonts w:eastAsia="SimSun"/>
          <w:i/>
          <w:iCs/>
          <w:lang w:eastAsia="zh-CN"/>
        </w:rPr>
        <w:t>nformel </w:t>
      </w:r>
      <w:r w:rsidRPr="007D6C46">
        <w:rPr>
          <w:rFonts w:eastAsia="SimSun"/>
          <w:lang w:eastAsia="zh-CN"/>
        </w:rPr>
        <w:t>:</w:t>
      </w:r>
      <w:r w:rsidRPr="007D6C46">
        <w:rPr>
          <w:rFonts w:eastAsia="SimSun"/>
          <w:lang w:eastAsia="zh-CN"/>
        </w:rPr>
        <w:tab/>
        <w:t>INF</w:t>
      </w:r>
      <w:r w:rsidR="008B77B5" w:rsidRPr="008B77B5">
        <w:rPr>
          <w:rFonts w:eastAsia="SimSun"/>
          <w:lang w:eastAsia="zh-CN"/>
        </w:rPr>
        <w:t>.</w:t>
      </w:r>
      <w:r w:rsidRPr="007D6C46">
        <w:rPr>
          <w:rFonts w:eastAsia="SimSun"/>
          <w:lang w:eastAsia="zh-CN"/>
        </w:rPr>
        <w:t>44, par</w:t>
      </w:r>
      <w:r w:rsidR="008B77B5" w:rsidRPr="008B77B5">
        <w:rPr>
          <w:rFonts w:eastAsia="SimSun"/>
          <w:lang w:eastAsia="zh-CN"/>
        </w:rPr>
        <w:t>.</w:t>
      </w:r>
      <w:r w:rsidRPr="007D6C46">
        <w:rPr>
          <w:rFonts w:eastAsia="SimSun"/>
          <w:lang w:eastAsia="zh-CN"/>
        </w:rPr>
        <w:t xml:space="preserve"> 17 (Président du GTE)</w:t>
      </w:r>
    </w:p>
    <w:p w14:paraId="7BC32254" w14:textId="60FC04C2" w:rsidR="00564BA0" w:rsidRPr="007D6C46" w:rsidRDefault="00564BA0" w:rsidP="00564BA0">
      <w:pPr>
        <w:pStyle w:val="SingleTxtG"/>
      </w:pPr>
      <w:r w:rsidRPr="007D6C46">
        <w:t>98</w:t>
      </w:r>
      <w:r w:rsidR="008B77B5" w:rsidRPr="008B77B5">
        <w:t>.</w:t>
      </w:r>
      <w:r w:rsidRPr="007D6C46">
        <w:tab/>
        <w:t>Compte tenu des conclusions du Groupe de travail des explosifs sur le document ST/SG/AC</w:t>
      </w:r>
      <w:r w:rsidR="008B77B5" w:rsidRPr="008B77B5">
        <w:t>.</w:t>
      </w:r>
      <w:r w:rsidRPr="007D6C46">
        <w:t>10/C</w:t>
      </w:r>
      <w:r w:rsidR="008B77B5" w:rsidRPr="008B77B5">
        <w:t>.</w:t>
      </w:r>
      <w:r w:rsidRPr="007D6C46">
        <w:t>3/2022/11, le Sous-Comité TMD a adopté les propositions de modification des paragraphes 5 et 9 du document (voir annexe IV), sous réserve de confirmation par le Sous-Comité SGH (voir le rapport ST/SG/AC</w:t>
      </w:r>
      <w:r w:rsidR="008B77B5" w:rsidRPr="008B77B5">
        <w:t>.</w:t>
      </w:r>
      <w:r w:rsidRPr="007D6C46">
        <w:t>10/C</w:t>
      </w:r>
      <w:r w:rsidR="008B77B5" w:rsidRPr="008B77B5">
        <w:t>.</w:t>
      </w:r>
      <w:r w:rsidRPr="007D6C46">
        <w:t>4/84, par</w:t>
      </w:r>
      <w:r w:rsidR="008B77B5" w:rsidRPr="008B77B5">
        <w:t>.</w:t>
      </w:r>
      <w:r w:rsidR="000E1457" w:rsidRPr="007D6C46">
        <w:t> </w:t>
      </w:r>
      <w:r w:rsidRPr="007D6C46">
        <w:t>9</w:t>
      </w:r>
      <w:r w:rsidR="000E1457" w:rsidRPr="007D6C46">
        <w:t xml:space="preserve"> à </w:t>
      </w:r>
      <w:r w:rsidRPr="007D6C46">
        <w:t>12)</w:t>
      </w:r>
      <w:r w:rsidR="008B77B5" w:rsidRPr="008B77B5">
        <w:t>.</w:t>
      </w:r>
      <w:r w:rsidRPr="007D6C46">
        <w:t xml:space="preserve"> Concernant les propositions de modification des paragraphes</w:t>
      </w:r>
      <w:r w:rsidR="000E1457" w:rsidRPr="007D6C46">
        <w:t> </w:t>
      </w:r>
      <w:r w:rsidRPr="007D6C46">
        <w:t>10 et 12, il a été convenu de reprendre la discussion à la session suivante sur la base d’un nouveau document de l’Allemagne</w:t>
      </w:r>
      <w:r w:rsidR="008B77B5" w:rsidRPr="008B77B5">
        <w:t>.</w:t>
      </w:r>
    </w:p>
    <w:p w14:paraId="0808F9A3" w14:textId="6639E90D" w:rsidR="00564BA0" w:rsidRPr="007D6C46" w:rsidRDefault="00564BA0" w:rsidP="00564BA0">
      <w:pPr>
        <w:pStyle w:val="H23G"/>
      </w:pPr>
      <w:r w:rsidRPr="007D6C46">
        <w:rPr>
          <w:bCs/>
        </w:rPr>
        <w:tab/>
        <w:t>2</w:t>
      </w:r>
      <w:r w:rsidR="008B77B5" w:rsidRPr="008B77B5">
        <w:rPr>
          <w:bCs/>
        </w:rPr>
        <w:t>.</w:t>
      </w:r>
      <w:r w:rsidRPr="007D6C46">
        <w:tab/>
      </w:r>
      <w:r w:rsidRPr="007D6C46">
        <w:rPr>
          <w:bCs/>
        </w:rPr>
        <w:t xml:space="preserve">Proposition tendant à régler des questions inscrites au programme de travail du groupe de travail informel par correspondance chargé </w:t>
      </w:r>
      <w:r w:rsidR="000E1457" w:rsidRPr="007D6C46">
        <w:rPr>
          <w:bCs/>
        </w:rPr>
        <w:br/>
      </w:r>
      <w:r w:rsidRPr="007D6C46">
        <w:rPr>
          <w:bCs/>
        </w:rPr>
        <w:t>des questions pratiques de</w:t>
      </w:r>
      <w:r w:rsidR="00150D8B">
        <w:rPr>
          <w:bCs/>
        </w:rPr>
        <w:t xml:space="preserve"> </w:t>
      </w:r>
      <w:r w:rsidRPr="007D6C46">
        <w:rPr>
          <w:bCs/>
        </w:rPr>
        <w:t>classification</w:t>
      </w:r>
    </w:p>
    <w:p w14:paraId="5B5DA546" w14:textId="63C4B5EB"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3/2022/21 (États-Unis d’Amérique)</w:t>
      </w:r>
    </w:p>
    <w:p w14:paraId="329A5E13" w14:textId="22A5B8EF" w:rsidR="00564BA0" w:rsidRPr="007D6C46" w:rsidRDefault="00564BA0" w:rsidP="00564BA0">
      <w:pPr>
        <w:pStyle w:val="SingleTxtG"/>
      </w:pPr>
      <w:r w:rsidRPr="007D6C46">
        <w:t>99</w:t>
      </w:r>
      <w:r w:rsidR="008B77B5" w:rsidRPr="008B77B5">
        <w:t>.</w:t>
      </w:r>
      <w:r w:rsidRPr="007D6C46">
        <w:tab/>
        <w:t>Le Sous-Comité a pris note de la proposition tendant à intégrer au SGH des indications sur la manière de convertir les valeurs expérimentales de toxicité en utilisant des durées d’exposition autres que 1 heure ou 4 heures</w:t>
      </w:r>
      <w:r w:rsidR="008B77B5" w:rsidRPr="008B77B5">
        <w:t>.</w:t>
      </w:r>
      <w:r w:rsidRPr="007D6C46">
        <w:t xml:space="preserve"> L’expert de la Chine a proposé que l’on remplace au point 3</w:t>
      </w:r>
      <w:r w:rsidR="008B77B5" w:rsidRPr="008B77B5">
        <w:t>.</w:t>
      </w:r>
      <w:r w:rsidRPr="007D6C46">
        <w:t>1</w:t>
      </w:r>
      <w:r w:rsidR="008B77B5" w:rsidRPr="008B77B5">
        <w:t>.</w:t>
      </w:r>
      <w:r w:rsidRPr="007D6C46">
        <w:t>5</w:t>
      </w:r>
      <w:r w:rsidR="008B77B5" w:rsidRPr="008B77B5">
        <w:t>.</w:t>
      </w:r>
      <w:r w:rsidRPr="007D6C46">
        <w:t>3</w:t>
      </w:r>
      <w:r w:rsidR="008B77B5" w:rsidRPr="008B77B5">
        <w:t>.</w:t>
      </w:r>
      <w:r w:rsidRPr="007D6C46">
        <w:t>2 « de 30 minutes à 8 heures » par « de 30 minutes à 6 heures », conformément à la ligne directrice 39 de l’OCDE</w:t>
      </w:r>
      <w:r w:rsidR="008B77B5" w:rsidRPr="008B77B5">
        <w:t>.</w:t>
      </w:r>
      <w:r w:rsidRPr="007D6C46">
        <w:t xml:space="preserve"> L’expert de l’Allemagne a proposé l’ajout d’un tableau sur les valeurs « n » disponibles pour différents produits chimiques reposant sur les modèles de toxicité létale pour le rat</w:t>
      </w:r>
      <w:r w:rsidR="008B77B5" w:rsidRPr="008B77B5">
        <w:t>.</w:t>
      </w:r>
      <w:r w:rsidRPr="007D6C46">
        <w:t xml:space="preserve"> Notant que le Règlement type donnait des indications sur la manière de convertir les durées d’exposition de 1 heure à 4 heures pour la toxicité par inhalation au chapitre 2</w:t>
      </w:r>
      <w:r w:rsidR="008B77B5" w:rsidRPr="008B77B5">
        <w:t>.</w:t>
      </w:r>
      <w:r w:rsidRPr="007D6C46">
        <w:t>6, un membre du secrétariat a invité le Sous-Comité à se demander s’il serait approprié de faire également figurer dans le Règlement type des indications sur la conversion des valeurs de toxicité pour d’autres durées d’exposition</w:t>
      </w:r>
      <w:r w:rsidR="008B77B5" w:rsidRPr="008B77B5">
        <w:t>.</w:t>
      </w:r>
      <w:r w:rsidRPr="007D6C46">
        <w:t xml:space="preserve"> Il a été noté que le Sous-Comité SGH serait informé des résultats du débat</w:t>
      </w:r>
      <w:r w:rsidRPr="007D6C46">
        <w:rPr>
          <w:rStyle w:val="FootnoteReference"/>
        </w:rPr>
        <w:footnoteReference w:id="4"/>
      </w:r>
      <w:r w:rsidR="008B77B5" w:rsidRPr="008B77B5">
        <w:t>.</w:t>
      </w:r>
    </w:p>
    <w:p w14:paraId="6717CB1A" w14:textId="4BD98E5C" w:rsidR="00564BA0" w:rsidRPr="007D6C46" w:rsidRDefault="00564BA0" w:rsidP="00564BA0">
      <w:pPr>
        <w:pStyle w:val="H23G"/>
      </w:pPr>
      <w:r w:rsidRPr="007D6C46">
        <w:tab/>
        <w:t>3</w:t>
      </w:r>
      <w:r w:rsidR="008B77B5" w:rsidRPr="008B77B5">
        <w:t>.</w:t>
      </w:r>
      <w:r w:rsidRPr="007D6C46">
        <w:tab/>
        <w:t>Modifications à apporter au chapitre 2</w:t>
      </w:r>
      <w:r w:rsidR="008B77B5" w:rsidRPr="008B77B5">
        <w:t>.</w:t>
      </w:r>
      <w:r w:rsidRPr="007D6C46">
        <w:t xml:space="preserve">17 du SGH </w:t>
      </w:r>
      <w:r w:rsidR="00150D8B">
        <w:br/>
      </w:r>
      <w:r w:rsidRPr="007D6C46">
        <w:t>(Matières explosibles désensibilisées)</w:t>
      </w:r>
    </w:p>
    <w:p w14:paraId="16D79A3C" w14:textId="77220558"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Documents informels</w:t>
      </w:r>
      <w:r w:rsidRPr="007D6C46">
        <w:t xml:space="preserve"> :</w:t>
      </w:r>
      <w:r w:rsidRPr="007D6C46">
        <w:tab/>
        <w:t>INF</w:t>
      </w:r>
      <w:r w:rsidR="008B77B5" w:rsidRPr="008B77B5">
        <w:t>.</w:t>
      </w:r>
      <w:r w:rsidRPr="007D6C46">
        <w:t>28 et INF</w:t>
      </w:r>
      <w:r w:rsidR="008B77B5" w:rsidRPr="008B77B5">
        <w:t>.</w:t>
      </w:r>
      <w:r w:rsidRPr="007D6C46">
        <w:t>36 (Allemagne et États-Unis d’Amérique)</w:t>
      </w:r>
      <w:r w:rsidRPr="007D6C46">
        <w:br/>
        <w:t>INF</w:t>
      </w:r>
      <w:r w:rsidR="008B77B5" w:rsidRPr="008B77B5">
        <w:t>.</w:t>
      </w:r>
      <w:r w:rsidRPr="007D6C46">
        <w:t>44, par</w:t>
      </w:r>
      <w:r w:rsidR="008B77B5" w:rsidRPr="008B77B5">
        <w:t>.</w:t>
      </w:r>
      <w:r w:rsidRPr="007D6C46">
        <w:t xml:space="preserve"> 18 (Président du GTE)</w:t>
      </w:r>
    </w:p>
    <w:p w14:paraId="6844B7F3" w14:textId="3A110E62" w:rsidR="00564BA0" w:rsidRPr="007D6C46" w:rsidRDefault="00564BA0" w:rsidP="00564BA0">
      <w:pPr>
        <w:pStyle w:val="SingleTxtG"/>
        <w:tabs>
          <w:tab w:val="left" w:pos="2977"/>
        </w:tabs>
      </w:pPr>
      <w:r w:rsidRPr="007D6C46">
        <w:t>100</w:t>
      </w:r>
      <w:r w:rsidR="008B77B5" w:rsidRPr="008B77B5">
        <w:t>.</w:t>
      </w:r>
      <w:r w:rsidRPr="007D6C46">
        <w:tab/>
        <w:t>Le Sous-Comité a noté et approuvé les recommandations du Groupe de travail des explosifs figurant au paragraphe 18 du document informel INF</w:t>
      </w:r>
      <w:r w:rsidR="008B77B5" w:rsidRPr="008B77B5">
        <w:t>.</w:t>
      </w:r>
      <w:r w:rsidRPr="007D6C46">
        <w:t>44</w:t>
      </w:r>
      <w:r w:rsidR="008B77B5" w:rsidRPr="008B77B5">
        <w:t>.</w:t>
      </w:r>
      <w:r w:rsidRPr="007D6C46">
        <w:t xml:space="preserve"> Il a été souligné que les modifications proposées n’auraient aucune incidence sur les conditions de transport actuelles des matières explosibles désensibilisées</w:t>
      </w:r>
      <w:r w:rsidR="008B77B5" w:rsidRPr="008B77B5">
        <w:t>.</w:t>
      </w:r>
    </w:p>
    <w:p w14:paraId="2F51E269" w14:textId="290F3C2B" w:rsidR="00564BA0" w:rsidRPr="007D6C46" w:rsidRDefault="00564BA0" w:rsidP="00564BA0">
      <w:pPr>
        <w:pStyle w:val="HChG"/>
      </w:pPr>
      <w:r w:rsidRPr="007D6C46">
        <w:tab/>
        <w:t>XIII</w:t>
      </w:r>
      <w:r w:rsidR="008B77B5" w:rsidRPr="008B77B5">
        <w:t>.</w:t>
      </w:r>
      <w:r w:rsidRPr="007D6C46">
        <w:tab/>
        <w:t xml:space="preserve">Uniformisation des interprétations du Règlement type </w:t>
      </w:r>
      <w:r w:rsidRPr="007D6C46">
        <w:br/>
        <w:t>(point 11 de l’ordre du jour)</w:t>
      </w:r>
    </w:p>
    <w:p w14:paraId="736796A8" w14:textId="0A716A7D" w:rsidR="00564BA0" w:rsidRPr="007D6C46" w:rsidRDefault="00564BA0" w:rsidP="00564BA0">
      <w:pPr>
        <w:pStyle w:val="H23G"/>
        <w:rPr>
          <w:rFonts w:eastAsia="MS Mincho"/>
        </w:rPr>
      </w:pPr>
      <w:r w:rsidRPr="007D6C46">
        <w:tab/>
        <w:t>1</w:t>
      </w:r>
      <w:r w:rsidR="008B77B5" w:rsidRPr="008B77B5">
        <w:t>.</w:t>
      </w:r>
      <w:r w:rsidRPr="007D6C46">
        <w:tab/>
        <w:t>Livraison directe de marchandises dangereuses aux clients finaux (suremballages)</w:t>
      </w:r>
    </w:p>
    <w:p w14:paraId="680B93EE" w14:textId="40137636" w:rsidR="00564BA0" w:rsidRPr="008B77B5" w:rsidRDefault="00564BA0" w:rsidP="00657122">
      <w:pPr>
        <w:pStyle w:val="SingleTxtG"/>
        <w:tabs>
          <w:tab w:val="clear" w:pos="1701"/>
          <w:tab w:val="clear" w:pos="2268"/>
          <w:tab w:val="clear" w:pos="2835"/>
          <w:tab w:val="left" w:pos="3119"/>
        </w:tabs>
        <w:ind w:left="3119" w:hanging="1985"/>
        <w:jc w:val="left"/>
        <w:rPr>
          <w:lang w:val="en-US"/>
        </w:rPr>
      </w:pPr>
      <w:proofErr w:type="gramStart"/>
      <w:r w:rsidRPr="008B77B5">
        <w:rPr>
          <w:i/>
          <w:iCs/>
          <w:lang w:val="en-US"/>
        </w:rPr>
        <w:t>Document </w:t>
      </w:r>
      <w:r w:rsidRPr="008B77B5">
        <w:rPr>
          <w:lang w:val="en-US"/>
        </w:rPr>
        <w:t>:</w:t>
      </w:r>
      <w:proofErr w:type="gramEnd"/>
      <w:r w:rsidRPr="008B77B5">
        <w:rPr>
          <w:lang w:val="en-US"/>
        </w:rPr>
        <w:tab/>
        <w:t>ST/SG/AC</w:t>
      </w:r>
      <w:r w:rsidR="008B77B5" w:rsidRPr="008B77B5">
        <w:rPr>
          <w:lang w:val="en-US"/>
        </w:rPr>
        <w:t>.</w:t>
      </w:r>
      <w:r w:rsidRPr="008B77B5">
        <w:rPr>
          <w:lang w:val="en-US"/>
        </w:rPr>
        <w:t>10/C</w:t>
      </w:r>
      <w:r w:rsidR="008B77B5" w:rsidRPr="008B77B5">
        <w:rPr>
          <w:lang w:val="en-US"/>
        </w:rPr>
        <w:t>.</w:t>
      </w:r>
      <w:r w:rsidRPr="008B77B5">
        <w:rPr>
          <w:lang w:val="en-US"/>
        </w:rPr>
        <w:t>3/2022/27 (COSTHA)</w:t>
      </w:r>
    </w:p>
    <w:p w14:paraId="1F36F6B1" w14:textId="5C2218CF" w:rsidR="00564BA0" w:rsidRPr="007D6C46" w:rsidRDefault="00564BA0" w:rsidP="00564BA0">
      <w:pPr>
        <w:pStyle w:val="SingleTxtG"/>
      </w:pPr>
      <w:r w:rsidRPr="007D6C46">
        <w:t>101</w:t>
      </w:r>
      <w:r w:rsidR="008B77B5" w:rsidRPr="008B77B5">
        <w:t>.</w:t>
      </w:r>
      <w:r w:rsidRPr="007D6C46">
        <w:tab/>
        <w:t>Le Sous-Comité a relevé des différences dans la définition de « suremballage » entre le Règlement type et l’ADR, ainsi que dans les interprétations des textes faites par les pays et dans leur application de ceux-ci</w:t>
      </w:r>
      <w:r w:rsidR="008B77B5" w:rsidRPr="008B77B5">
        <w:t>.</w:t>
      </w:r>
      <w:r w:rsidRPr="007D6C46">
        <w:t xml:space="preserve"> Certains experts étaient d’avis que l’utilisation de sacs pour les livraisons nationales de marchandises dangereuses aux consommateurs finaux ne concernait plus le transport international et était donc hors du champ du Règlement type</w:t>
      </w:r>
      <w:r w:rsidR="008B77B5" w:rsidRPr="008B77B5">
        <w:t>.</w:t>
      </w:r>
      <w:r w:rsidRPr="007D6C46">
        <w:t xml:space="preserve"> D’autres experts ont fait observer que leurs autorités compétentes considéraient ces sacs de livraison comme des suremballages selon le Règlement type</w:t>
      </w:r>
      <w:r w:rsidR="008B77B5" w:rsidRPr="008B77B5">
        <w:t>.</w:t>
      </w:r>
      <w:r w:rsidRPr="007D6C46">
        <w:t xml:space="preserve"> La plupart des délégations qui se sont exprimées ont été d’accord pour dire que la nature des marchandises transportées devait rester visible dans tous les cas</w:t>
      </w:r>
      <w:r w:rsidR="008B77B5" w:rsidRPr="008B77B5">
        <w:t>.</w:t>
      </w:r>
      <w:r w:rsidRPr="007D6C46">
        <w:t xml:space="preserve"> Par souci de clarté pour les expéditeurs, l’expert de la France, Président de la Réunion commune de la Commission d’experts du RID et du Groupe de travail des transports de marchandises dangereuses, a dit qu’il était préférable d’aligner le RID, l’ADR et l’ADN sur le Règlement type, ce qui était en général l’objectif poursuivi par la Réunion commune</w:t>
      </w:r>
      <w:r w:rsidR="008B77B5" w:rsidRPr="008B77B5">
        <w:t>.</w:t>
      </w:r>
      <w:r w:rsidRPr="007D6C46">
        <w:t xml:space="preserve"> Cependant, si l’on entreprenait d’harmoniser la définition de « suremballage », il faudrait alors trouver un autre cadre approprié pour réglementer la pratique proposée, par exemple en modifiant la partie 7 dans laquelle étaient énoncées les dispositions relatives aux opérations de transport, ce qui permettrait de conserver la souplesse dans la pratique actuelle des livraisons</w:t>
      </w:r>
      <w:r w:rsidR="008B77B5" w:rsidRPr="008B77B5">
        <w:t>.</w:t>
      </w:r>
    </w:p>
    <w:p w14:paraId="1AA2A6FD" w14:textId="742DA81A" w:rsidR="00564BA0" w:rsidRPr="007D6C46" w:rsidRDefault="00564BA0" w:rsidP="00564BA0">
      <w:pPr>
        <w:pStyle w:val="SingleTxtG"/>
      </w:pPr>
      <w:r w:rsidRPr="007D6C46">
        <w:t>102</w:t>
      </w:r>
      <w:r w:rsidR="008B77B5" w:rsidRPr="008B77B5">
        <w:t>.</w:t>
      </w:r>
      <w:r w:rsidRPr="007D6C46">
        <w:tab/>
        <w:t>Le Sous-Comité s’est félicité des contributions sur la question et a décidé de poursuivre le débat à sa session suivante, sur la base d’une proposition du COSTHA et en tenant compte des résultats des travaux de la Réunion commune</w:t>
      </w:r>
      <w:r w:rsidR="008B77B5" w:rsidRPr="008B77B5">
        <w:t>.</w:t>
      </w:r>
    </w:p>
    <w:p w14:paraId="6CED04B6" w14:textId="35368180" w:rsidR="00564BA0" w:rsidRPr="007D6C46" w:rsidRDefault="00564BA0" w:rsidP="00564BA0">
      <w:pPr>
        <w:pStyle w:val="H23G"/>
        <w:rPr>
          <w:rFonts w:eastAsia="MS Mincho"/>
        </w:rPr>
      </w:pPr>
      <w:r w:rsidRPr="007D6C46">
        <w:tab/>
        <w:t>2</w:t>
      </w:r>
      <w:r w:rsidR="008B77B5" w:rsidRPr="008B77B5">
        <w:t>.</w:t>
      </w:r>
      <w:r w:rsidRPr="007D6C46">
        <w:tab/>
        <w:t>Services en ligne de livraison de produits de consommation courante</w:t>
      </w:r>
    </w:p>
    <w:p w14:paraId="5BDA9AEC" w14:textId="6A96579B" w:rsidR="00564BA0" w:rsidRPr="008B77B5" w:rsidRDefault="00564BA0" w:rsidP="00657122">
      <w:pPr>
        <w:pStyle w:val="SingleTxtG"/>
        <w:tabs>
          <w:tab w:val="clear" w:pos="1701"/>
          <w:tab w:val="clear" w:pos="2268"/>
          <w:tab w:val="clear" w:pos="2835"/>
          <w:tab w:val="left" w:pos="3119"/>
        </w:tabs>
        <w:ind w:left="3119" w:hanging="1985"/>
        <w:jc w:val="left"/>
        <w:rPr>
          <w:lang w:val="en-US"/>
        </w:rPr>
      </w:pPr>
      <w:proofErr w:type="gramStart"/>
      <w:r w:rsidRPr="008B77B5">
        <w:rPr>
          <w:i/>
          <w:iCs/>
          <w:lang w:val="en-US"/>
        </w:rPr>
        <w:t>Document </w:t>
      </w:r>
      <w:r w:rsidRPr="008B77B5">
        <w:rPr>
          <w:lang w:val="en-US"/>
        </w:rPr>
        <w:t>:</w:t>
      </w:r>
      <w:proofErr w:type="gramEnd"/>
      <w:r w:rsidRPr="008B77B5">
        <w:rPr>
          <w:lang w:val="en-US"/>
        </w:rPr>
        <w:tab/>
        <w:t>ST/SG/AC</w:t>
      </w:r>
      <w:r w:rsidR="008B77B5" w:rsidRPr="008B77B5">
        <w:rPr>
          <w:lang w:val="en-US"/>
        </w:rPr>
        <w:t>.</w:t>
      </w:r>
      <w:r w:rsidRPr="008B77B5">
        <w:rPr>
          <w:lang w:val="en-US"/>
        </w:rPr>
        <w:t>10/C</w:t>
      </w:r>
      <w:r w:rsidR="008B77B5" w:rsidRPr="008B77B5">
        <w:rPr>
          <w:lang w:val="en-US"/>
        </w:rPr>
        <w:t>.</w:t>
      </w:r>
      <w:r w:rsidRPr="008B77B5">
        <w:rPr>
          <w:lang w:val="en-US"/>
        </w:rPr>
        <w:t>3/2022/28 (COSTHA)</w:t>
      </w:r>
    </w:p>
    <w:p w14:paraId="6C7643A5" w14:textId="3787A69E" w:rsidR="00564BA0" w:rsidRPr="007D6C46" w:rsidRDefault="00564BA0" w:rsidP="00564BA0">
      <w:pPr>
        <w:pStyle w:val="SingleTxtG"/>
      </w:pPr>
      <w:r w:rsidRPr="007D6C46">
        <w:t>103</w:t>
      </w:r>
      <w:r w:rsidR="008B77B5" w:rsidRPr="008B77B5">
        <w:t>.</w:t>
      </w:r>
      <w:r w:rsidRPr="007D6C46">
        <w:tab/>
        <w:t>Répondant à la question du COSTHA sur la façon dont les entreprises et les services de livraison nationaux appliquaient la réglementation nationale relative aux emballages de vente au détail (par exemple en utilisant des sacs en papier ou en plastique, qu’ils soient considérés comme des « emballages extérieurs appropriés » ou des « suremballages », notamment en ce qui concernait le marquage), certains experts ont fait part de leur expérience et des solutions appliquées au niveau national sur la base d’instructions pour les livraisons nationales ou de dérogations applicables aux quantités limitées et aux dispositions en matière d’emballage, conformément aux chapitres 3</w:t>
      </w:r>
      <w:r w:rsidR="008B77B5" w:rsidRPr="008B77B5">
        <w:t>.</w:t>
      </w:r>
      <w:r w:rsidRPr="007D6C46">
        <w:t>4 et 4</w:t>
      </w:r>
      <w:r w:rsidR="008B77B5" w:rsidRPr="008B77B5">
        <w:t>.</w:t>
      </w:r>
      <w:r w:rsidRPr="007D6C46">
        <w:t>1 du Règlement type</w:t>
      </w:r>
      <w:r w:rsidR="008B77B5" w:rsidRPr="008B77B5">
        <w:t>.</w:t>
      </w:r>
    </w:p>
    <w:p w14:paraId="100E1112" w14:textId="5AE207B0" w:rsidR="00564BA0" w:rsidRPr="007D6C46" w:rsidRDefault="00564BA0" w:rsidP="00564BA0">
      <w:pPr>
        <w:pStyle w:val="SingleTxtG"/>
      </w:pPr>
      <w:r w:rsidRPr="007D6C46">
        <w:t>104</w:t>
      </w:r>
      <w:r w:rsidR="008B77B5" w:rsidRPr="008B77B5">
        <w:t>.</w:t>
      </w:r>
      <w:r w:rsidRPr="007D6C46">
        <w:tab/>
        <w:t>Le représentant du COSTHA a invité tous ceux qui avaient fait des observations à les communiquer par écrit et a ajouté qu’une proposition révisée serait soumise à la session suivante</w:t>
      </w:r>
      <w:r w:rsidR="008B77B5" w:rsidRPr="008B77B5">
        <w:t>.</w:t>
      </w:r>
    </w:p>
    <w:p w14:paraId="06B1AA65" w14:textId="41F55043" w:rsidR="00564BA0" w:rsidRPr="007D6C46" w:rsidRDefault="00564BA0" w:rsidP="00564BA0">
      <w:pPr>
        <w:pStyle w:val="H23G"/>
      </w:pPr>
      <w:r w:rsidRPr="007D6C46">
        <w:tab/>
        <w:t>3</w:t>
      </w:r>
      <w:r w:rsidR="008B77B5" w:rsidRPr="008B77B5">
        <w:t>.</w:t>
      </w:r>
      <w:r w:rsidRPr="007D6C46">
        <w:tab/>
        <w:t>Interprétation du Règlement type</w:t>
      </w:r>
    </w:p>
    <w:p w14:paraId="68E2A9C6" w14:textId="6DF6B9BC"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Document informel </w:t>
      </w:r>
      <w:r w:rsidRPr="007D6C46">
        <w:t>:</w:t>
      </w:r>
      <w:r w:rsidRPr="007D6C46">
        <w:tab/>
        <w:t>INF</w:t>
      </w:r>
      <w:r w:rsidR="008B77B5" w:rsidRPr="008B77B5">
        <w:t>.</w:t>
      </w:r>
      <w:r w:rsidRPr="007D6C46">
        <w:t>14 (États-Unis d’Amérique)</w:t>
      </w:r>
    </w:p>
    <w:p w14:paraId="5A97FCE6" w14:textId="7D31FA5C" w:rsidR="00564BA0" w:rsidRPr="007D6C46" w:rsidRDefault="00564BA0" w:rsidP="00564BA0">
      <w:pPr>
        <w:pStyle w:val="SingleTxtG"/>
        <w:tabs>
          <w:tab w:val="left" w:pos="2977"/>
        </w:tabs>
      </w:pPr>
      <w:r w:rsidRPr="007D6C46">
        <w:t>105</w:t>
      </w:r>
      <w:r w:rsidR="008B77B5" w:rsidRPr="008B77B5">
        <w:t>.</w:t>
      </w:r>
      <w:r w:rsidRPr="007D6C46">
        <w:tab/>
        <w:t>Les propositions faites dans le document informel INF</w:t>
      </w:r>
      <w:r w:rsidR="008B77B5" w:rsidRPr="008B77B5">
        <w:t>.</w:t>
      </w:r>
      <w:r w:rsidRPr="007D6C46">
        <w:t>14 dans le but de fournir une interprétation des dispositions du Règlement type ont reçu un appui</w:t>
      </w:r>
      <w:r w:rsidR="008B77B5" w:rsidRPr="008B77B5">
        <w:t>.</w:t>
      </w:r>
      <w:r w:rsidRPr="007D6C46">
        <w:t xml:space="preserve"> Il a été rappelé que les règlements avaient tous pour but ultime de présenter des dispositions aussi claires que possible afin d’éviter tout problème d’interprétation</w:t>
      </w:r>
      <w:r w:rsidR="008B77B5" w:rsidRPr="008B77B5">
        <w:t>.</w:t>
      </w:r>
      <w:r w:rsidRPr="007D6C46">
        <w:t xml:space="preserve"> Cela étant, des orientations concernant l’interprétation pouvaient être utiles dans certains cas</w:t>
      </w:r>
      <w:r w:rsidR="008B77B5" w:rsidRPr="008B77B5">
        <w:t>.</w:t>
      </w:r>
      <w:r w:rsidRPr="007D6C46">
        <w:t xml:space="preserve"> S’agissant de la proposition visant à placer sur le site Web du Règlement type un ensemble d’interprétations semblables à celles, également disponibles sur le Web, qui se rapportaient aux dispositions de l’ADR et de l’ADN, il a été souligné que les deux accords étaient juridiquement contraignants et que leurs textes offraient peu de souplesse sur le plan de l’interprétation, alors que le Règlement type était un ensemble de recommandations sans valeur juridique, sauf lorsqu’on les appliquait dans le cadre d’un instrument juridiquement contraignant</w:t>
      </w:r>
      <w:r w:rsidR="008B77B5" w:rsidRPr="008B77B5">
        <w:t>.</w:t>
      </w:r>
      <w:r w:rsidRPr="007D6C46">
        <w:t xml:space="preserve"> Il a également été suggéré de suivre la même procédure que celle utilisée pour les interprétations de l’ADR et du RID, c’est-à-dire de publier uniquement les interprétations adoptées à l’unanimité et soumises selon un modèle établi présentant une justification détaillée</w:t>
      </w:r>
      <w:r w:rsidR="008B77B5" w:rsidRPr="008B77B5">
        <w:t>.</w:t>
      </w:r>
      <w:r w:rsidRPr="007D6C46">
        <w:t xml:space="preserve"> </w:t>
      </w:r>
    </w:p>
    <w:p w14:paraId="13CDF9F2" w14:textId="1AEC8088" w:rsidR="00564BA0" w:rsidRPr="007D6C46" w:rsidRDefault="00564BA0" w:rsidP="00564BA0">
      <w:pPr>
        <w:pStyle w:val="SingleTxtG"/>
      </w:pPr>
      <w:r w:rsidRPr="007D6C46">
        <w:t>106</w:t>
      </w:r>
      <w:r w:rsidR="008B77B5" w:rsidRPr="008B77B5">
        <w:t>.</w:t>
      </w:r>
      <w:r w:rsidRPr="007D6C46">
        <w:tab/>
        <w:t>Le Sous-Comité a pris note des contributions sur la question et décidé de reprendre la discussion à sa session suivante sur la base d’un document des États-Unis d’Amérique</w:t>
      </w:r>
      <w:r w:rsidR="008B77B5" w:rsidRPr="008B77B5">
        <w:t>.</w:t>
      </w:r>
    </w:p>
    <w:p w14:paraId="5FFA6C17" w14:textId="1F219F58" w:rsidR="00564BA0" w:rsidRPr="007D6C46" w:rsidRDefault="00564BA0" w:rsidP="00564BA0">
      <w:pPr>
        <w:pStyle w:val="HChG"/>
      </w:pPr>
      <w:r w:rsidRPr="007D6C46">
        <w:tab/>
        <w:t>XIV</w:t>
      </w:r>
      <w:r w:rsidR="008B77B5" w:rsidRPr="008B77B5">
        <w:t>.</w:t>
      </w:r>
      <w:r w:rsidRPr="007D6C46">
        <w:tab/>
        <w:t>Application du Règlement type (point 12 de l’ordre du jour)</w:t>
      </w:r>
    </w:p>
    <w:p w14:paraId="25118A85" w14:textId="52240D73" w:rsidR="00564BA0" w:rsidRPr="007D6C46" w:rsidRDefault="00564BA0" w:rsidP="00564BA0">
      <w:pPr>
        <w:pStyle w:val="SingleTxtG"/>
      </w:pPr>
      <w:r w:rsidRPr="007D6C46">
        <w:t>107</w:t>
      </w:r>
      <w:r w:rsidR="008B77B5" w:rsidRPr="008B77B5">
        <w:t>.</w:t>
      </w:r>
      <w:r w:rsidRPr="007D6C46">
        <w:tab/>
        <w:t>Le secrétariat a invité les délégations à fournir, en vue de l’élaboration du rapport final sur les activités des sous-comités relatives au transport des marchandises dangereuses au cours de la période biennale actuelle (2021-2022), des informations sur l’application du Règlement type dans leur pays</w:t>
      </w:r>
      <w:r w:rsidR="008B77B5" w:rsidRPr="008B77B5">
        <w:t>.</w:t>
      </w:r>
    </w:p>
    <w:p w14:paraId="2CFBD3D4" w14:textId="3A81DBCC" w:rsidR="00564BA0" w:rsidRPr="007D6C46" w:rsidRDefault="00564BA0" w:rsidP="00564BA0">
      <w:pPr>
        <w:pStyle w:val="HChG"/>
        <w:ind w:right="1983"/>
      </w:pPr>
      <w:r w:rsidRPr="007D6C46">
        <w:tab/>
        <w:t>XV</w:t>
      </w:r>
      <w:r w:rsidR="008B77B5" w:rsidRPr="008B77B5">
        <w:t>.</w:t>
      </w:r>
      <w:r w:rsidRPr="007D6C46">
        <w:tab/>
        <w:t>Formation à la sécurité et renforcement des capacités en ce qui concerne les marchandises dangereuses (point 13 de l’ordre du jour)</w:t>
      </w:r>
    </w:p>
    <w:p w14:paraId="53FA38BE" w14:textId="3BC9AE25" w:rsidR="00564BA0" w:rsidRPr="007D6C46" w:rsidRDefault="00564BA0" w:rsidP="00564BA0">
      <w:pPr>
        <w:pStyle w:val="SingleTxtG"/>
      </w:pPr>
      <w:r w:rsidRPr="007D6C46">
        <w:t>108</w:t>
      </w:r>
      <w:r w:rsidR="008B77B5" w:rsidRPr="008B77B5">
        <w:t>.</w:t>
      </w:r>
      <w:r w:rsidRPr="007D6C46">
        <w:tab/>
        <w:t>Aucun document n’ayant été soumis au titre de ce point de l’ordre du jour, la question n’a pas été abordée</w:t>
      </w:r>
      <w:r w:rsidR="008B77B5" w:rsidRPr="008B77B5">
        <w:t>.</w:t>
      </w:r>
    </w:p>
    <w:p w14:paraId="415FAADD" w14:textId="5288C25D" w:rsidR="00564BA0" w:rsidRPr="007D6C46" w:rsidRDefault="00564BA0" w:rsidP="00564BA0">
      <w:pPr>
        <w:pStyle w:val="HChG"/>
      </w:pPr>
      <w:r w:rsidRPr="007D6C46">
        <w:tab/>
        <w:t>XVI</w:t>
      </w:r>
      <w:r w:rsidR="008B77B5" w:rsidRPr="008B77B5">
        <w:t>.</w:t>
      </w:r>
      <w:r w:rsidRPr="007D6C46">
        <w:tab/>
        <w:t>Questions diverses (point 14 de l’ordre du jour)</w:t>
      </w:r>
    </w:p>
    <w:p w14:paraId="0E2AB1F6" w14:textId="73697F1A" w:rsidR="00564BA0" w:rsidRPr="007D6C46" w:rsidRDefault="00564BA0" w:rsidP="00564BA0">
      <w:pPr>
        <w:pStyle w:val="H23G"/>
        <w:rPr>
          <w:rFonts w:eastAsia="SimSun"/>
          <w:lang w:eastAsia="zh-CN"/>
        </w:rPr>
      </w:pPr>
      <w:r w:rsidRPr="007D6C46">
        <w:tab/>
      </w:r>
      <w:r w:rsidRPr="007D6C46">
        <w:rPr>
          <w:rFonts w:eastAsia="SimSun"/>
          <w:lang w:eastAsia="zh-CN"/>
        </w:rPr>
        <w:t>1</w:t>
      </w:r>
      <w:r w:rsidR="008B77B5" w:rsidRPr="008B77B5">
        <w:rPr>
          <w:rFonts w:eastAsia="SimSun"/>
          <w:lang w:eastAsia="zh-CN"/>
        </w:rPr>
        <w:t>.</w:t>
      </w:r>
      <w:r w:rsidRPr="007D6C46">
        <w:rPr>
          <w:rFonts w:eastAsia="SimSun"/>
          <w:lang w:eastAsia="zh-CN"/>
        </w:rPr>
        <w:tab/>
        <w:t>Examen des travaux des organes subsidiaires du Conseil économique et social : résumé des recommandations</w:t>
      </w:r>
    </w:p>
    <w:p w14:paraId="16F9DD65" w14:textId="301305C4" w:rsidR="00564BA0" w:rsidRPr="007D6C46" w:rsidRDefault="00564BA0" w:rsidP="00657122">
      <w:pPr>
        <w:pStyle w:val="SingleTxtG"/>
        <w:tabs>
          <w:tab w:val="clear" w:pos="1701"/>
          <w:tab w:val="clear" w:pos="2268"/>
          <w:tab w:val="clear" w:pos="2835"/>
          <w:tab w:val="left" w:pos="3119"/>
        </w:tabs>
        <w:ind w:left="3119" w:hanging="1985"/>
        <w:jc w:val="left"/>
        <w:rPr>
          <w:rFonts w:eastAsia="SimSun"/>
          <w:lang w:eastAsia="zh-CN"/>
        </w:rPr>
      </w:pPr>
      <w:r w:rsidRPr="007D6C46">
        <w:rPr>
          <w:i/>
          <w:iCs/>
        </w:rPr>
        <w:t>Document informel </w:t>
      </w:r>
      <w:r w:rsidRPr="007D6C46">
        <w:t>:</w:t>
      </w:r>
      <w:r w:rsidRPr="007D6C46">
        <w:rPr>
          <w:rFonts w:eastAsia="SimSun"/>
          <w:lang w:eastAsia="zh-CN"/>
        </w:rPr>
        <w:tab/>
      </w:r>
      <w:r w:rsidRPr="00657122">
        <w:t>INF</w:t>
      </w:r>
      <w:r w:rsidR="008B77B5" w:rsidRPr="008B77B5">
        <w:rPr>
          <w:rFonts w:eastAsia="SimSun"/>
          <w:lang w:eastAsia="zh-CN"/>
        </w:rPr>
        <w:t>.</w:t>
      </w:r>
      <w:r w:rsidRPr="007D6C46">
        <w:rPr>
          <w:rFonts w:eastAsia="SimSun"/>
          <w:lang w:eastAsia="zh-CN"/>
        </w:rPr>
        <w:t>17 (secrétariat)</w:t>
      </w:r>
    </w:p>
    <w:p w14:paraId="0AAF39EC" w14:textId="78945FAC" w:rsidR="00564BA0" w:rsidRPr="007D6C46" w:rsidRDefault="00564BA0" w:rsidP="00564BA0">
      <w:pPr>
        <w:spacing w:after="120"/>
        <w:ind w:left="1134" w:right="1134"/>
        <w:jc w:val="both"/>
        <w:rPr>
          <w:rFonts w:eastAsia="SimSun"/>
          <w:lang w:eastAsia="zh-CN"/>
        </w:rPr>
      </w:pPr>
      <w:r w:rsidRPr="007D6C46">
        <w:rPr>
          <w:rFonts w:eastAsia="SimSun"/>
          <w:lang w:eastAsia="zh-CN"/>
        </w:rPr>
        <w:t>109</w:t>
      </w:r>
      <w:r w:rsidR="008B77B5" w:rsidRPr="008B77B5">
        <w:rPr>
          <w:rFonts w:eastAsia="SimSun"/>
          <w:lang w:eastAsia="zh-CN"/>
        </w:rPr>
        <w:t>.</w:t>
      </w:r>
      <w:r w:rsidRPr="007D6C46">
        <w:rPr>
          <w:rFonts w:eastAsia="SimSun"/>
          <w:lang w:eastAsia="zh-CN"/>
        </w:rPr>
        <w:tab/>
        <w:t>Le Sous-Comité a examiné le document informel INF</w:t>
      </w:r>
      <w:r w:rsidR="008B77B5" w:rsidRPr="008B77B5">
        <w:rPr>
          <w:rFonts w:eastAsia="SimSun"/>
          <w:lang w:eastAsia="zh-CN"/>
        </w:rPr>
        <w:t>.</w:t>
      </w:r>
      <w:r w:rsidRPr="007D6C46">
        <w:rPr>
          <w:rFonts w:eastAsia="SimSun"/>
          <w:lang w:eastAsia="zh-CN"/>
        </w:rPr>
        <w:t>17 au cours d’une réunion informelle à l’heure du déjeuner, le vendredi 1</w:t>
      </w:r>
      <w:r w:rsidRPr="007D6C46">
        <w:rPr>
          <w:rFonts w:eastAsia="SimSun"/>
          <w:vertAlign w:val="superscript"/>
          <w:lang w:eastAsia="zh-CN"/>
        </w:rPr>
        <w:t>er</w:t>
      </w:r>
      <w:r w:rsidRPr="007D6C46">
        <w:rPr>
          <w:rFonts w:eastAsia="SimSun"/>
          <w:lang w:eastAsia="zh-CN"/>
        </w:rPr>
        <w:t> juillet 2022, et a pris note de plusieurs contributions et suggestions concernant des mesures possibles pour donner suite aux recommandations sommaires figurant dans l’annexe à la décision du Conseil économique et social, comme suit :</w:t>
      </w:r>
    </w:p>
    <w:p w14:paraId="7F4DB81F" w14:textId="77777777" w:rsidR="00564BA0" w:rsidRPr="007D6C46" w:rsidRDefault="00564BA0" w:rsidP="00564BA0">
      <w:pPr>
        <w:spacing w:after="120"/>
        <w:ind w:left="1134" w:right="1134" w:firstLine="567"/>
        <w:jc w:val="both"/>
        <w:rPr>
          <w:rFonts w:eastAsia="SimSun"/>
          <w:lang w:eastAsia="zh-CN"/>
        </w:rPr>
      </w:pPr>
      <w:r w:rsidRPr="007D6C46">
        <w:rPr>
          <w:rFonts w:eastAsia="SimSun"/>
          <w:lang w:eastAsia="zh-CN"/>
        </w:rPr>
        <w:t>a)</w:t>
      </w:r>
      <w:r w:rsidRPr="007D6C46">
        <w:rPr>
          <w:rFonts w:eastAsia="SimSun"/>
          <w:lang w:eastAsia="zh-CN"/>
        </w:rPr>
        <w:tab/>
        <w:t>Les délégations ont été invitées à ajouter, dans la partie justification de leurs futures propositions, le lien avec les objectifs de développement durable, le cas échéant ;</w:t>
      </w:r>
    </w:p>
    <w:p w14:paraId="639D6F9A" w14:textId="77777777" w:rsidR="00564BA0" w:rsidRPr="007D6C46" w:rsidRDefault="00564BA0" w:rsidP="00564BA0">
      <w:pPr>
        <w:spacing w:after="120"/>
        <w:ind w:left="1134" w:right="1134" w:firstLine="567"/>
        <w:jc w:val="both"/>
        <w:rPr>
          <w:rFonts w:eastAsia="SimSun"/>
          <w:lang w:eastAsia="zh-CN"/>
        </w:rPr>
      </w:pPr>
      <w:r w:rsidRPr="007D6C46">
        <w:rPr>
          <w:rFonts w:eastAsia="SimSun"/>
          <w:lang w:eastAsia="zh-CN"/>
        </w:rPr>
        <w:t>b)</w:t>
      </w:r>
      <w:r w:rsidRPr="007D6C46">
        <w:rPr>
          <w:rFonts w:eastAsia="SimSun"/>
          <w:lang w:eastAsia="zh-CN"/>
        </w:rPr>
        <w:tab/>
        <w:t>Il a été recommandé d’ajouter à l’ordre du jour un point sur le suivi du Programme 2030 afin de garantir que le Sous-Comité en débatte régulièrement ;</w:t>
      </w:r>
    </w:p>
    <w:p w14:paraId="29CF47FB" w14:textId="77777777" w:rsidR="00564BA0" w:rsidRPr="007D6C46" w:rsidRDefault="00564BA0" w:rsidP="00564BA0">
      <w:pPr>
        <w:spacing w:after="120"/>
        <w:ind w:left="1134" w:right="1134" w:firstLine="567"/>
        <w:jc w:val="both"/>
        <w:rPr>
          <w:rFonts w:eastAsia="SimSun"/>
          <w:lang w:eastAsia="zh-CN"/>
        </w:rPr>
      </w:pPr>
      <w:r w:rsidRPr="007D6C46">
        <w:rPr>
          <w:rFonts w:eastAsia="SimSun"/>
          <w:lang w:eastAsia="zh-CN"/>
        </w:rPr>
        <w:t>c)</w:t>
      </w:r>
      <w:r w:rsidRPr="007D6C46">
        <w:rPr>
          <w:rFonts w:eastAsia="SimSun"/>
          <w:lang w:eastAsia="zh-CN"/>
        </w:rPr>
        <w:tab/>
        <w:t>Il a été suggéré d’insérer un résumé des activités des sous-comités sur ce sujet dans le projet de rapport du Secrétaire général sur les travaux du Comité d’experts et de ses sous-comités ;</w:t>
      </w:r>
    </w:p>
    <w:p w14:paraId="10092448" w14:textId="77777777" w:rsidR="00564BA0" w:rsidRPr="007D6C46" w:rsidRDefault="00564BA0" w:rsidP="00564BA0">
      <w:pPr>
        <w:spacing w:after="120"/>
        <w:ind w:left="1134" w:right="1134" w:firstLine="567"/>
        <w:jc w:val="both"/>
        <w:rPr>
          <w:rFonts w:eastAsia="SimSun"/>
          <w:lang w:eastAsia="zh-CN"/>
        </w:rPr>
      </w:pPr>
      <w:r w:rsidRPr="007D6C46">
        <w:rPr>
          <w:rFonts w:eastAsia="SimSun"/>
          <w:lang w:eastAsia="zh-CN"/>
        </w:rPr>
        <w:t>d)</w:t>
      </w:r>
      <w:r w:rsidRPr="007D6C46">
        <w:rPr>
          <w:rFonts w:eastAsia="SimSun"/>
          <w:lang w:eastAsia="zh-CN"/>
        </w:rPr>
        <w:tab/>
        <w:t>Un expert a suggéré que soit envisagée l’organisation d’une session en ligne par exercice biennal, sur la base de l’expérience acquise lors des sessions hybrides organisées pendant la pandémie de COVID-19, dans l’idée à la fois de faciliter une présence et une participation plus larges aux activités du Sous-Comité conformément au principe du Programme 2030 « Ne laisser personne de côté » et d’éviter les déplacements dans le but de contribuer au principe du Programme 2030 « Prendre d’urgence des mesures pour lutter contre les changements climatiques et leurs répercussions » ;</w:t>
      </w:r>
    </w:p>
    <w:p w14:paraId="49C18532" w14:textId="52148D2B" w:rsidR="00564BA0" w:rsidRPr="007D6C46" w:rsidRDefault="00564BA0" w:rsidP="00564BA0">
      <w:pPr>
        <w:spacing w:after="120"/>
        <w:ind w:left="1134" w:right="1134" w:firstLine="567"/>
        <w:jc w:val="both"/>
        <w:rPr>
          <w:rFonts w:eastAsia="SimSun"/>
          <w:lang w:eastAsia="zh-CN"/>
        </w:rPr>
      </w:pPr>
      <w:r w:rsidRPr="007D6C46">
        <w:rPr>
          <w:rFonts w:eastAsia="SimSun"/>
          <w:lang w:eastAsia="zh-CN"/>
        </w:rPr>
        <w:t>e)</w:t>
      </w:r>
      <w:r w:rsidRPr="007D6C46">
        <w:rPr>
          <w:rFonts w:eastAsia="SimSun"/>
          <w:lang w:eastAsia="zh-CN"/>
        </w:rPr>
        <w:tab/>
        <w:t>Pour faciliter l’accès des représentants à des renseignements plus détaillés et à des informations générales sur le Programme 2030 et l’examen des travaux des organes subsidiaires du Conseil économique et social, le secrétariat s’est proposé d’insérer une nouvelle rubrique sur la page d’accueil du Comité d’experts et de ses sous-comités</w:t>
      </w:r>
      <w:r w:rsidRPr="007D6C46">
        <w:rPr>
          <w:rStyle w:val="FootnoteReference"/>
        </w:rPr>
        <w:footnoteReference w:id="5"/>
      </w:r>
      <w:r w:rsidR="008B77B5" w:rsidRPr="008B77B5">
        <w:rPr>
          <w:rFonts w:eastAsia="SimSun"/>
          <w:lang w:eastAsia="zh-CN"/>
        </w:rPr>
        <w:t>.</w:t>
      </w:r>
      <w:r w:rsidRPr="007D6C46">
        <w:rPr>
          <w:rFonts w:eastAsia="SimSun"/>
          <w:lang w:eastAsia="zh-CN"/>
        </w:rPr>
        <w:t xml:space="preserve"> </w:t>
      </w:r>
    </w:p>
    <w:p w14:paraId="201F9AFE" w14:textId="0CF3910F" w:rsidR="00564BA0" w:rsidRPr="007D6C46" w:rsidRDefault="00564BA0" w:rsidP="00564BA0">
      <w:pPr>
        <w:spacing w:after="120"/>
        <w:ind w:left="1134" w:right="1134"/>
        <w:jc w:val="both"/>
        <w:rPr>
          <w:rFonts w:eastAsia="SimSun"/>
          <w:lang w:eastAsia="zh-CN"/>
        </w:rPr>
      </w:pPr>
      <w:r w:rsidRPr="007D6C46">
        <w:rPr>
          <w:rFonts w:eastAsia="SimSun"/>
          <w:lang w:eastAsia="zh-CN"/>
        </w:rPr>
        <w:t>110</w:t>
      </w:r>
      <w:r w:rsidR="008B77B5" w:rsidRPr="008B77B5">
        <w:rPr>
          <w:rFonts w:eastAsia="SimSun"/>
          <w:lang w:eastAsia="zh-CN"/>
        </w:rPr>
        <w:t>.</w:t>
      </w:r>
      <w:r w:rsidRPr="007D6C46">
        <w:rPr>
          <w:rFonts w:eastAsia="SimSun"/>
          <w:lang w:eastAsia="zh-CN"/>
        </w:rPr>
        <w:tab/>
        <w:t>Le Sous-Comité TMD est convenu de se concerter avec le Sous-Comité SGH sur les mesures de suivi énumérées ci-dessus et de revenir à la session suivante avec une recommandation commune à examiner</w:t>
      </w:r>
      <w:r w:rsidR="008B77B5" w:rsidRPr="008B77B5">
        <w:rPr>
          <w:rFonts w:eastAsia="SimSun"/>
          <w:lang w:eastAsia="zh-CN"/>
        </w:rPr>
        <w:t>.</w:t>
      </w:r>
    </w:p>
    <w:p w14:paraId="7789D537" w14:textId="565DBB8A" w:rsidR="00564BA0" w:rsidRPr="007D6C46" w:rsidRDefault="00564BA0" w:rsidP="00564BA0">
      <w:pPr>
        <w:pStyle w:val="H23G"/>
      </w:pPr>
      <w:r w:rsidRPr="007D6C46">
        <w:tab/>
        <w:t>2</w:t>
      </w:r>
      <w:r w:rsidR="008B77B5" w:rsidRPr="008B77B5">
        <w:t>.</w:t>
      </w:r>
      <w:r w:rsidRPr="007D6C46">
        <w:tab/>
        <w:t>Déclassification de documents antérieurs</w:t>
      </w:r>
    </w:p>
    <w:p w14:paraId="7DC5A21A" w14:textId="178F2059"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Document </w:t>
      </w:r>
      <w:r w:rsidRPr="007D6C46">
        <w:t>:</w:t>
      </w:r>
      <w:r w:rsidRPr="007D6C46">
        <w:tab/>
        <w:t>ST/SG/AC</w:t>
      </w:r>
      <w:r w:rsidR="008B77B5" w:rsidRPr="008B77B5">
        <w:t>.</w:t>
      </w:r>
      <w:r w:rsidRPr="007D6C46">
        <w:t>10/C</w:t>
      </w:r>
      <w:r w:rsidR="008B77B5" w:rsidRPr="008B77B5">
        <w:t>.</w:t>
      </w:r>
      <w:r w:rsidRPr="007D6C46">
        <w:t>3/2022/5 (secrétariat)</w:t>
      </w:r>
    </w:p>
    <w:p w14:paraId="21E8BADB" w14:textId="5D44815C"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Document informel </w:t>
      </w:r>
      <w:r w:rsidRPr="007D6C46">
        <w:t>:</w:t>
      </w:r>
      <w:r w:rsidRPr="007D6C46">
        <w:tab/>
        <w:t>INF</w:t>
      </w:r>
      <w:r w:rsidR="008B77B5" w:rsidRPr="008B77B5">
        <w:t>.</w:t>
      </w:r>
      <w:r w:rsidRPr="007D6C46">
        <w:t>3 (secrétariat)</w:t>
      </w:r>
    </w:p>
    <w:p w14:paraId="78551D53" w14:textId="7A2A75C5" w:rsidR="00564BA0" w:rsidRPr="007D6C46" w:rsidRDefault="00564BA0" w:rsidP="00564BA0">
      <w:pPr>
        <w:pStyle w:val="SingleTxtG"/>
      </w:pPr>
      <w:r w:rsidRPr="007D6C46">
        <w:t>111</w:t>
      </w:r>
      <w:r w:rsidR="008B77B5" w:rsidRPr="008B77B5">
        <w:t>.</w:t>
      </w:r>
      <w:r w:rsidRPr="007D6C46">
        <w:tab/>
        <w:t>Le Sous-Comité a pris connaissance avec intérêt des informations présentées dans le document ST/SG/AC</w:t>
      </w:r>
      <w:r w:rsidR="008B77B5" w:rsidRPr="008B77B5">
        <w:t>.</w:t>
      </w:r>
      <w:r w:rsidRPr="007D6C46">
        <w:t>10/C</w:t>
      </w:r>
      <w:r w:rsidR="008B77B5" w:rsidRPr="008B77B5">
        <w:t>.</w:t>
      </w:r>
      <w:r w:rsidRPr="007D6C46">
        <w:t>3/2022/5 et a demandé au secrétariat de faire le nécessaire pour déclassifier les séries de documents suivantes :</w:t>
      </w:r>
    </w:p>
    <w:p w14:paraId="7452FB13" w14:textId="7067AEAF" w:rsidR="00564BA0" w:rsidRPr="007D6C46" w:rsidRDefault="00564BA0" w:rsidP="00564BA0">
      <w:pPr>
        <w:pStyle w:val="Bullet1G"/>
        <w:numPr>
          <w:ilvl w:val="0"/>
          <w:numId w:val="0"/>
        </w:numPr>
        <w:tabs>
          <w:tab w:val="left" w:pos="1701"/>
        </w:tabs>
        <w:ind w:left="1701" w:hanging="170"/>
      </w:pPr>
      <w:r w:rsidRPr="007D6C46">
        <w:t>•</w:t>
      </w:r>
      <w:r w:rsidRPr="007D6C46">
        <w:tab/>
        <w:t>E/CN</w:t>
      </w:r>
      <w:r w:rsidR="008B77B5" w:rsidRPr="008B77B5">
        <w:t>.</w:t>
      </w:r>
      <w:r w:rsidRPr="007D6C46">
        <w:t>2/CONF</w:t>
      </w:r>
      <w:r w:rsidR="008B77B5" w:rsidRPr="008B77B5">
        <w:t>.</w:t>
      </w:r>
      <w:r w:rsidRPr="007D6C46">
        <w:t>5/</w:t>
      </w:r>
      <w:proofErr w:type="spellStart"/>
      <w:r w:rsidRPr="007D6C46">
        <w:t>R</w:t>
      </w:r>
      <w:r w:rsidR="008B77B5" w:rsidRPr="008B77B5">
        <w:t>.</w:t>
      </w:r>
      <w:r w:rsidRPr="007D6C46">
        <w:t>xxx</w:t>
      </w:r>
      <w:proofErr w:type="spellEnd"/>
      <w:r w:rsidRPr="007D6C46">
        <w:t xml:space="preserve"> (Comité d’experts du transport des marchandises dangereuses) ;</w:t>
      </w:r>
    </w:p>
    <w:p w14:paraId="2E7706E8" w14:textId="3FC6694F" w:rsidR="00564BA0" w:rsidRPr="007D6C46" w:rsidRDefault="00564BA0" w:rsidP="00564BA0">
      <w:pPr>
        <w:pStyle w:val="Bullet1G"/>
        <w:numPr>
          <w:ilvl w:val="0"/>
          <w:numId w:val="0"/>
        </w:numPr>
        <w:tabs>
          <w:tab w:val="left" w:pos="1701"/>
        </w:tabs>
        <w:ind w:left="1701" w:hanging="170"/>
      </w:pPr>
      <w:r w:rsidRPr="007D6C46">
        <w:t>•</w:t>
      </w:r>
      <w:r w:rsidRPr="007D6C46">
        <w:tab/>
        <w:t>ST/SG/AC</w:t>
      </w:r>
      <w:r w:rsidR="008B77B5" w:rsidRPr="008B77B5">
        <w:t>.</w:t>
      </w:r>
      <w:r w:rsidRPr="007D6C46">
        <w:t>10/</w:t>
      </w:r>
      <w:proofErr w:type="spellStart"/>
      <w:r w:rsidRPr="007D6C46">
        <w:t>R</w:t>
      </w:r>
      <w:r w:rsidR="008B77B5" w:rsidRPr="008B77B5">
        <w:t>.</w:t>
      </w:r>
      <w:r w:rsidRPr="007D6C46">
        <w:t>xxx</w:t>
      </w:r>
      <w:proofErr w:type="spellEnd"/>
      <w:r w:rsidRPr="007D6C46">
        <w:t xml:space="preserve"> (Comité d’experts du transport des marchandises dangereuses) ;</w:t>
      </w:r>
    </w:p>
    <w:p w14:paraId="2750C7A0" w14:textId="79ABD791" w:rsidR="00564BA0" w:rsidRPr="007D6C46" w:rsidRDefault="00564BA0" w:rsidP="00564BA0">
      <w:pPr>
        <w:pStyle w:val="Bullet1G"/>
        <w:numPr>
          <w:ilvl w:val="0"/>
          <w:numId w:val="0"/>
        </w:numPr>
        <w:tabs>
          <w:tab w:val="left" w:pos="1701"/>
        </w:tabs>
        <w:ind w:left="1701" w:hanging="170"/>
      </w:pPr>
      <w:r w:rsidRPr="007D6C46">
        <w:t>•</w:t>
      </w:r>
      <w:r w:rsidRPr="007D6C46">
        <w:tab/>
        <w:t>ST/SG/AC</w:t>
      </w:r>
      <w:r w:rsidR="008B77B5" w:rsidRPr="008B77B5">
        <w:t>.</w:t>
      </w:r>
      <w:r w:rsidRPr="007D6C46">
        <w:t>10/C</w:t>
      </w:r>
      <w:r w:rsidR="008B77B5" w:rsidRPr="008B77B5">
        <w:t>.</w:t>
      </w:r>
      <w:r w:rsidRPr="007D6C46">
        <w:t>1/</w:t>
      </w:r>
      <w:proofErr w:type="spellStart"/>
      <w:r w:rsidRPr="007D6C46">
        <w:t>R</w:t>
      </w:r>
      <w:r w:rsidR="008B77B5" w:rsidRPr="008B77B5">
        <w:t>.</w:t>
      </w:r>
      <w:r w:rsidRPr="007D6C46">
        <w:t>xxx</w:t>
      </w:r>
      <w:proofErr w:type="spellEnd"/>
      <w:r w:rsidRPr="007D6C46">
        <w:t xml:space="preserve"> (Groupe d’experts des matières et objets explosifs du Comité d’experts du transport des marchandises dangereuses) ;</w:t>
      </w:r>
    </w:p>
    <w:p w14:paraId="61071AB1" w14:textId="26EFDA8D" w:rsidR="00564BA0" w:rsidRPr="007D6C46" w:rsidRDefault="00564BA0" w:rsidP="00564BA0">
      <w:pPr>
        <w:pStyle w:val="Bullet1G"/>
        <w:numPr>
          <w:ilvl w:val="0"/>
          <w:numId w:val="0"/>
        </w:numPr>
        <w:tabs>
          <w:tab w:val="left" w:pos="1701"/>
        </w:tabs>
        <w:ind w:left="1701" w:hanging="170"/>
      </w:pPr>
      <w:r w:rsidRPr="007D6C46">
        <w:t>•</w:t>
      </w:r>
      <w:r w:rsidRPr="007D6C46">
        <w:tab/>
        <w:t>ST/SG/AC</w:t>
      </w:r>
      <w:r w:rsidR="008B77B5" w:rsidRPr="008B77B5">
        <w:t>.</w:t>
      </w:r>
      <w:r w:rsidRPr="007D6C46">
        <w:t>10/C</w:t>
      </w:r>
      <w:r w:rsidR="008B77B5" w:rsidRPr="008B77B5">
        <w:t>.</w:t>
      </w:r>
      <w:r w:rsidRPr="007D6C46">
        <w:t>2/</w:t>
      </w:r>
      <w:proofErr w:type="spellStart"/>
      <w:r w:rsidRPr="007D6C46">
        <w:t>R</w:t>
      </w:r>
      <w:r w:rsidR="008B77B5" w:rsidRPr="008B77B5">
        <w:t>.</w:t>
      </w:r>
      <w:r w:rsidRPr="007D6C46">
        <w:t>xxx</w:t>
      </w:r>
      <w:proofErr w:type="spellEnd"/>
      <w:r w:rsidRPr="007D6C46">
        <w:t xml:space="preserve"> (Groupe de rapporteurs du Comité d’experts du transport des marchandises dangereuses) ;</w:t>
      </w:r>
    </w:p>
    <w:p w14:paraId="6897E2C6" w14:textId="7C330F4D" w:rsidR="00564BA0" w:rsidRPr="007D6C46" w:rsidRDefault="00564BA0" w:rsidP="00564BA0">
      <w:pPr>
        <w:pStyle w:val="Bullet1G"/>
        <w:numPr>
          <w:ilvl w:val="0"/>
          <w:numId w:val="0"/>
        </w:numPr>
        <w:tabs>
          <w:tab w:val="left" w:pos="1701"/>
        </w:tabs>
        <w:ind w:left="1701" w:hanging="170"/>
      </w:pPr>
      <w:r w:rsidRPr="007D6C46">
        <w:t>•</w:t>
      </w:r>
      <w:r w:rsidRPr="007D6C46">
        <w:tab/>
        <w:t>ST/SG/AC</w:t>
      </w:r>
      <w:r w:rsidR="008B77B5" w:rsidRPr="008B77B5">
        <w:t>.</w:t>
      </w:r>
      <w:r w:rsidRPr="007D6C46">
        <w:t>10/C</w:t>
      </w:r>
      <w:r w:rsidR="008B77B5" w:rsidRPr="008B77B5">
        <w:t>.</w:t>
      </w:r>
      <w:r w:rsidRPr="007D6C46">
        <w:t>3/</w:t>
      </w:r>
      <w:proofErr w:type="spellStart"/>
      <w:r w:rsidRPr="007D6C46">
        <w:t>R</w:t>
      </w:r>
      <w:r w:rsidR="008B77B5" w:rsidRPr="008B77B5">
        <w:t>.</w:t>
      </w:r>
      <w:r w:rsidRPr="007D6C46">
        <w:t>xxx</w:t>
      </w:r>
      <w:proofErr w:type="spellEnd"/>
      <w:r w:rsidRPr="007D6C46">
        <w:t xml:space="preserve"> (Sous-Comité d’experts du transport des marchandises dangereuses)</w:t>
      </w:r>
      <w:r w:rsidR="008B77B5" w:rsidRPr="008B77B5">
        <w:t>.</w:t>
      </w:r>
    </w:p>
    <w:p w14:paraId="25E3A40B" w14:textId="4BC88025" w:rsidR="00564BA0" w:rsidRPr="007D6C46" w:rsidRDefault="00564BA0" w:rsidP="00564BA0">
      <w:pPr>
        <w:pStyle w:val="SingleTxtG"/>
      </w:pPr>
      <w:r w:rsidRPr="007D6C46">
        <w:t>112</w:t>
      </w:r>
      <w:r w:rsidR="008B77B5" w:rsidRPr="008B77B5">
        <w:t>.</w:t>
      </w:r>
      <w:r w:rsidRPr="007D6C46">
        <w:tab/>
        <w:t>Le Sous-Comité a demandé que tous les documents de ces séries actuellement en ligne dans le Système de diffusion électronique des documents (</w:t>
      </w:r>
      <w:proofErr w:type="spellStart"/>
      <w:r w:rsidRPr="007D6C46">
        <w:t>Sédoc</w:t>
      </w:r>
      <w:proofErr w:type="spellEnd"/>
      <w:r w:rsidRPr="007D6C46">
        <w:t>) soient mis à la disposition du public sans restriction</w:t>
      </w:r>
      <w:r w:rsidR="008B77B5" w:rsidRPr="008B77B5">
        <w:t>.</w:t>
      </w:r>
      <w:r w:rsidRPr="007D6C46">
        <w:t xml:space="preserve"> </w:t>
      </w:r>
    </w:p>
    <w:p w14:paraId="2918F2DE" w14:textId="6825903B" w:rsidR="00564BA0" w:rsidRPr="007D6C46" w:rsidRDefault="00564BA0" w:rsidP="00564BA0">
      <w:pPr>
        <w:pStyle w:val="SingleTxtG"/>
      </w:pPr>
      <w:r w:rsidRPr="007D6C46">
        <w:t>113</w:t>
      </w:r>
      <w:r w:rsidR="008B77B5" w:rsidRPr="008B77B5">
        <w:t>.</w:t>
      </w:r>
      <w:r w:rsidRPr="007D6C46">
        <w:tab/>
        <w:t xml:space="preserve">En ce qui concernait les documents de ces séries n’existant actuellement que sur papier, le Sous-Comité a demandé qu’ils soient numérisés (en utilisant la fonction de reconnaissance optique des caractères) et téléversés dans le </w:t>
      </w:r>
      <w:proofErr w:type="spellStart"/>
      <w:r w:rsidRPr="007D6C46">
        <w:t>Sédoc</w:t>
      </w:r>
      <w:proofErr w:type="spellEnd"/>
      <w:r w:rsidRPr="007D6C46">
        <w:t xml:space="preserve"> à l’avenir</w:t>
      </w:r>
      <w:r w:rsidR="008B77B5" w:rsidRPr="008B77B5">
        <w:t>.</w:t>
      </w:r>
      <w:r w:rsidRPr="007D6C46">
        <w:t xml:space="preserve"> Le Sous-Comité a demandé qu’ils soient également mis à la disposition du public sans restriction</w:t>
      </w:r>
      <w:r w:rsidR="008B77B5" w:rsidRPr="008B77B5">
        <w:t>.</w:t>
      </w:r>
    </w:p>
    <w:p w14:paraId="3D2A0351" w14:textId="1EE0E001" w:rsidR="00564BA0" w:rsidRPr="007D6C46" w:rsidRDefault="00564BA0" w:rsidP="00564BA0">
      <w:pPr>
        <w:pStyle w:val="H23G"/>
      </w:pPr>
      <w:r w:rsidRPr="007D6C46">
        <w:tab/>
        <w:t>3</w:t>
      </w:r>
      <w:r w:rsidR="008B77B5" w:rsidRPr="008B77B5">
        <w:t>.</w:t>
      </w:r>
      <w:r w:rsidRPr="007D6C46">
        <w:tab/>
        <w:t xml:space="preserve">Référence à la norme ISO </w:t>
      </w:r>
      <w:proofErr w:type="gramStart"/>
      <w:r w:rsidRPr="007D6C46">
        <w:t>2431:</w:t>
      </w:r>
      <w:proofErr w:type="gramEnd"/>
      <w:r w:rsidRPr="007D6C46">
        <w:t>1984 dans le Manuel d’épreuves et de critères</w:t>
      </w:r>
    </w:p>
    <w:p w14:paraId="0FCE1E02" w14:textId="1316A9E9"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Document </w:t>
      </w:r>
      <w:r w:rsidRPr="007D6C46">
        <w:t>:</w:t>
      </w:r>
      <w:r w:rsidRPr="007D6C46">
        <w:tab/>
        <w:t>ST/SG/AC</w:t>
      </w:r>
      <w:r w:rsidR="008B77B5" w:rsidRPr="008B77B5">
        <w:t>.</w:t>
      </w:r>
      <w:r w:rsidRPr="007D6C46">
        <w:t>10/C</w:t>
      </w:r>
      <w:r w:rsidR="008B77B5" w:rsidRPr="008B77B5">
        <w:t>.</w:t>
      </w:r>
      <w:r w:rsidRPr="007D6C46">
        <w:t>3/2022/45 (secrétariat)</w:t>
      </w:r>
    </w:p>
    <w:p w14:paraId="7161F58F" w14:textId="4A915E67" w:rsidR="00564BA0" w:rsidRPr="007D6C46" w:rsidRDefault="00564BA0" w:rsidP="00564BA0">
      <w:pPr>
        <w:pStyle w:val="SingleTxtG"/>
      </w:pPr>
      <w:r w:rsidRPr="007D6C46">
        <w:t>114</w:t>
      </w:r>
      <w:r w:rsidR="008B77B5" w:rsidRPr="008B77B5">
        <w:t>.</w:t>
      </w:r>
      <w:r w:rsidRPr="007D6C46">
        <w:tab/>
        <w:t>Le Sous-Comité a noté que le Comité de sécurité de l’ADN lui demandait d’envisager une mise à jour de la référence à la norme ISO 2431</w:t>
      </w:r>
      <w:r w:rsidR="008B77B5" w:rsidRPr="008B77B5">
        <w:t>.</w:t>
      </w:r>
      <w:r w:rsidRPr="007D6C46">
        <w:t xml:space="preserve"> Toutefois, à la suite d’une intervention de l’expert des Pays-Bas, le Sous-Comité a relevé que d’autres références à des normes devaient également être mises à jour dans le Manuel d’épreuves et de critères (sept normes étaient datées, tandis que 13 ne l’étaient pas)</w:t>
      </w:r>
      <w:r w:rsidR="008B77B5" w:rsidRPr="008B77B5">
        <w:t>.</w:t>
      </w:r>
      <w:r w:rsidRPr="007D6C46">
        <w:t xml:space="preserve"> Il a également été souligné que l’actualisation des normes se faisait au cas par cas, afin que les délégations aient le temps de prendre connaissance des changements d’une version à une autre</w:t>
      </w:r>
      <w:r w:rsidR="008B77B5" w:rsidRPr="008B77B5">
        <w:t>.</w:t>
      </w:r>
      <w:r w:rsidRPr="007D6C46">
        <w:t xml:space="preserve"> Le Sous-Comité a invité le secrétariat à consulter l’ISO sur les mises à jour des normes visées et à envisager de soumettre un nouveau document officiel pour la session suivante</w:t>
      </w:r>
      <w:r w:rsidR="008B77B5" w:rsidRPr="008B77B5">
        <w:t>.</w:t>
      </w:r>
    </w:p>
    <w:p w14:paraId="5616700D" w14:textId="282663DD" w:rsidR="00564BA0" w:rsidRPr="007D6C46" w:rsidRDefault="00564BA0" w:rsidP="00564BA0">
      <w:pPr>
        <w:pStyle w:val="H23G"/>
      </w:pPr>
      <w:r w:rsidRPr="007D6C46">
        <w:tab/>
        <w:t>4</w:t>
      </w:r>
      <w:r w:rsidR="008B77B5" w:rsidRPr="008B77B5">
        <w:t>.</w:t>
      </w:r>
      <w:r w:rsidRPr="007D6C46">
        <w:tab/>
        <w:t xml:space="preserve">Séminaire ONU/OCDE sur le suivi de l’explosion survenue dans le port </w:t>
      </w:r>
      <w:r w:rsidR="000E1457" w:rsidRPr="007D6C46">
        <w:br/>
      </w:r>
      <w:r w:rsidRPr="007D6C46">
        <w:t>de Beyrouth en 2020</w:t>
      </w:r>
    </w:p>
    <w:p w14:paraId="35D57B5D" w14:textId="7A8E18A4"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 xml:space="preserve">Document </w:t>
      </w:r>
      <w:r w:rsidRPr="007D6C46">
        <w:t>:</w:t>
      </w:r>
      <w:r w:rsidRPr="007D6C46">
        <w:tab/>
        <w:t>ST/SG/AC</w:t>
      </w:r>
      <w:r w:rsidR="008B77B5" w:rsidRPr="008B77B5">
        <w:t>.</w:t>
      </w:r>
      <w:r w:rsidRPr="007D6C46">
        <w:t>10/C</w:t>
      </w:r>
      <w:r w:rsidR="008B77B5" w:rsidRPr="008B77B5">
        <w:t>.</w:t>
      </w:r>
      <w:r w:rsidRPr="007D6C46">
        <w:t>3/2022/4 (OCDE, CEE)</w:t>
      </w:r>
    </w:p>
    <w:p w14:paraId="59EA740D" w14:textId="6CEE3945" w:rsidR="00564BA0" w:rsidRPr="007D6C46" w:rsidRDefault="00564BA0" w:rsidP="00564BA0">
      <w:pPr>
        <w:pStyle w:val="SingleTxtG"/>
      </w:pPr>
      <w:r w:rsidRPr="007D6C46">
        <w:t>115</w:t>
      </w:r>
      <w:r w:rsidR="008B77B5" w:rsidRPr="008B77B5">
        <w:t>.</w:t>
      </w:r>
      <w:r w:rsidRPr="007D6C46">
        <w:tab/>
        <w:t>Le Sous-Comité a pris note des résultats du séminaire en ligne du 14 décembre 2021 consacré à l’explosion survenue dans le port de Beyrouth en 2020, pendant lequel il a été question des enseignements tirés de cette catastrophe, de l’expérience acquise et des bonnes pratiques en matière de gestion des risques liés au stockage, à la manutention et au transport du nitrate d’ammonium dans les zones portuaires ainsi qu’en matière de prévention des accidents et d’atténuation de leurs conséquences</w:t>
      </w:r>
      <w:r w:rsidR="008B77B5" w:rsidRPr="008B77B5">
        <w:t>.</w:t>
      </w:r>
    </w:p>
    <w:p w14:paraId="12730BB0" w14:textId="67183C81" w:rsidR="00564BA0" w:rsidRPr="007D6C46" w:rsidRDefault="00564BA0" w:rsidP="00564BA0">
      <w:pPr>
        <w:pStyle w:val="SingleTxtG"/>
      </w:pPr>
      <w:r w:rsidRPr="007D6C46">
        <w:t>116</w:t>
      </w:r>
      <w:r w:rsidR="008B77B5" w:rsidRPr="008B77B5">
        <w:t>.</w:t>
      </w:r>
      <w:r w:rsidRPr="007D6C46">
        <w:tab/>
        <w:t>Le secrétariat a dit au Sous-Comité que le Bureau de la Convention sur les effets transfrontières des accidents industriels avait récemment approuvé l’inclusion, dans le plan de travail de la Convention pour 2023-2024, d’une activité de suivi de la gestion de ces risques inspirée des résultats du séminaire ONU/OCDE et de l’enquête qui l’avait précédé</w:t>
      </w:r>
      <w:r w:rsidR="008B77B5" w:rsidRPr="008B77B5">
        <w:t>.</w:t>
      </w:r>
      <w:r w:rsidRPr="007D6C46">
        <w:t xml:space="preserve"> Il était également prévu de créer un répertoire en ligne des informations et des bonnes pratiques dans ce domaine, qui pourrait être complété par des supports permettant de diffuser </w:t>
      </w:r>
      <w:proofErr w:type="gramStart"/>
      <w:r w:rsidRPr="007D6C46">
        <w:t>des informations sur</w:t>
      </w:r>
      <w:proofErr w:type="gramEnd"/>
      <w:r w:rsidRPr="007D6C46">
        <w:t> :</w:t>
      </w:r>
    </w:p>
    <w:p w14:paraId="6294272B" w14:textId="77777777" w:rsidR="00564BA0" w:rsidRPr="007D6C46" w:rsidRDefault="00564BA0" w:rsidP="00564BA0">
      <w:pPr>
        <w:pStyle w:val="SingleTxtG"/>
        <w:ind w:left="1701"/>
      </w:pPr>
      <w:r w:rsidRPr="007D6C46">
        <w:t>i)</w:t>
      </w:r>
      <w:r w:rsidRPr="007D6C46">
        <w:tab/>
        <w:t>Les instruments juridiques et les moyens d’action internationaux ;</w:t>
      </w:r>
    </w:p>
    <w:p w14:paraId="68AF7A5B" w14:textId="594CE28D" w:rsidR="00564BA0" w:rsidRPr="007D6C46" w:rsidRDefault="00564BA0" w:rsidP="00564BA0">
      <w:pPr>
        <w:pStyle w:val="SingleTxtG"/>
        <w:ind w:left="1701"/>
      </w:pPr>
      <w:r w:rsidRPr="007D6C46">
        <w:t>ii)</w:t>
      </w:r>
      <w:r w:rsidRPr="007D6C46">
        <w:tab/>
        <w:t>Les consignes, l’expérience des pays, les enseignements tirés et les pratiques optimales</w:t>
      </w:r>
      <w:r w:rsidR="008B77B5" w:rsidRPr="008B77B5">
        <w:t>.</w:t>
      </w:r>
    </w:p>
    <w:p w14:paraId="2EF5D7D1" w14:textId="153A764E" w:rsidR="00564BA0" w:rsidRPr="00546EFA" w:rsidRDefault="00564BA0" w:rsidP="00564BA0">
      <w:pPr>
        <w:pStyle w:val="SingleTxtG"/>
      </w:pPr>
      <w:r w:rsidRPr="007D6C46">
        <w:t>117</w:t>
      </w:r>
      <w:r w:rsidR="008B77B5" w:rsidRPr="008B77B5">
        <w:t>.</w:t>
      </w:r>
      <w:r w:rsidRPr="007D6C46">
        <w:tab/>
        <w:t>Le représentant de l’IVODGA a salué le document final de l’ONU et de l’OCDE et annoncé qu’un « Livre blanc » sur l’entreposage et la manutention des marchandises dangereuses pour et après le transport maritime avait été publié, et qu’il était disponible sur le site Web de son association</w:t>
      </w:r>
      <w:r w:rsidRPr="007D6C46">
        <w:rPr>
          <w:rStyle w:val="FootnoteReference"/>
        </w:rPr>
        <w:footnoteReference w:id="6"/>
      </w:r>
      <w:r w:rsidR="008B77B5" w:rsidRPr="008B77B5">
        <w:t>.</w:t>
      </w:r>
      <w:r w:rsidRPr="007D6C46">
        <w:t xml:space="preserve"> Le représentant de l’EIGA a ajouté que les représentants pouvaient également trouver des informations connexes sur le site Web de </w:t>
      </w:r>
      <w:r w:rsidRPr="00546EFA">
        <w:t>son association</w:t>
      </w:r>
      <w:r w:rsidR="000E1457" w:rsidRPr="00546EFA">
        <w:rPr>
          <w:rStyle w:val="FootnoteReference"/>
        </w:rPr>
        <w:footnoteReference w:id="7"/>
      </w:r>
      <w:r w:rsidR="008B77B5" w:rsidRPr="00546EFA">
        <w:t>.</w:t>
      </w:r>
      <w:r w:rsidRPr="00546EFA">
        <w:t xml:space="preserve"> La représentante de la RPMASA a souligné la nécessité de renforcer les capacités dans ce domaine dans la région de l’Afrique australe</w:t>
      </w:r>
      <w:r w:rsidR="008B77B5" w:rsidRPr="00546EFA">
        <w:t>.</w:t>
      </w:r>
    </w:p>
    <w:p w14:paraId="28652FD7" w14:textId="7011F67B" w:rsidR="00564BA0" w:rsidRPr="00546EFA" w:rsidRDefault="00564BA0" w:rsidP="00564BA0">
      <w:pPr>
        <w:pStyle w:val="H23G"/>
      </w:pPr>
      <w:r w:rsidRPr="00546EFA">
        <w:tab/>
        <w:t>5</w:t>
      </w:r>
      <w:r w:rsidR="008B77B5" w:rsidRPr="00546EFA">
        <w:t>.</w:t>
      </w:r>
      <w:r w:rsidRPr="00546EFA">
        <w:tab/>
        <w:t>Validation des épreuves de la série 8 : applicabilité des épreuves de la série 8 d)</w:t>
      </w:r>
    </w:p>
    <w:p w14:paraId="4CE90673" w14:textId="69EDFA7C" w:rsidR="00564BA0" w:rsidRPr="00546EFA" w:rsidRDefault="00564BA0" w:rsidP="00657122">
      <w:pPr>
        <w:pStyle w:val="SingleTxtG"/>
        <w:tabs>
          <w:tab w:val="clear" w:pos="1701"/>
          <w:tab w:val="clear" w:pos="2268"/>
          <w:tab w:val="clear" w:pos="2835"/>
          <w:tab w:val="left" w:pos="3119"/>
        </w:tabs>
        <w:ind w:left="3119" w:hanging="1985"/>
        <w:jc w:val="left"/>
      </w:pPr>
      <w:r w:rsidRPr="00546EFA">
        <w:rPr>
          <w:i/>
          <w:iCs/>
        </w:rPr>
        <w:t xml:space="preserve">Documents informels </w:t>
      </w:r>
      <w:r w:rsidRPr="00546EFA">
        <w:t>:</w:t>
      </w:r>
      <w:r w:rsidRPr="00546EFA">
        <w:tab/>
        <w:t>INF</w:t>
      </w:r>
      <w:r w:rsidR="008B77B5" w:rsidRPr="00546EFA">
        <w:t>.</w:t>
      </w:r>
      <w:r w:rsidRPr="00546EFA">
        <w:t>42 (RPMASA)</w:t>
      </w:r>
    </w:p>
    <w:p w14:paraId="22A93E39" w14:textId="0FA89BD0" w:rsidR="00564BA0" w:rsidRPr="007D6C46" w:rsidRDefault="00564BA0" w:rsidP="00564BA0">
      <w:pPr>
        <w:pStyle w:val="SingleTxtG"/>
      </w:pPr>
      <w:r w:rsidRPr="00546EFA">
        <w:t>118</w:t>
      </w:r>
      <w:r w:rsidR="008B77B5" w:rsidRPr="00546EFA">
        <w:t>.</w:t>
      </w:r>
      <w:r w:rsidRPr="00546EFA">
        <w:tab/>
        <w:t>Le Sous-Comité, ayant fait observer que le document informel INF</w:t>
      </w:r>
      <w:r w:rsidR="008B77B5" w:rsidRPr="00546EFA">
        <w:t>.</w:t>
      </w:r>
      <w:r w:rsidRPr="00546EFA">
        <w:t>42 avait été</w:t>
      </w:r>
      <w:r w:rsidRPr="007D6C46">
        <w:t xml:space="preserve"> soumis tardivement, a invité la représentante de la RPMASA à envisager de le soumettre à nouveau à la session suivante pour examen</w:t>
      </w:r>
      <w:r w:rsidR="008B77B5" w:rsidRPr="008B77B5">
        <w:t>.</w:t>
      </w:r>
      <w:r w:rsidRPr="007D6C46">
        <w:t xml:space="preserve"> Celle-ci a indiqué qu’un débat informel intersession était en cours d’organisation afin de résoudre les divergences et de fournir un document pour la réunion suivante</w:t>
      </w:r>
      <w:r w:rsidR="008B77B5" w:rsidRPr="008B77B5">
        <w:t>.</w:t>
      </w:r>
    </w:p>
    <w:p w14:paraId="51C4DF62" w14:textId="6A6CEA55" w:rsidR="00564BA0" w:rsidRPr="007D6C46" w:rsidRDefault="00564BA0" w:rsidP="00564BA0">
      <w:pPr>
        <w:pStyle w:val="H23G"/>
      </w:pPr>
      <w:r w:rsidRPr="007D6C46">
        <w:tab/>
        <w:t>6</w:t>
      </w:r>
      <w:r w:rsidR="008B77B5" w:rsidRPr="008B77B5">
        <w:t>.</w:t>
      </w:r>
      <w:r w:rsidRPr="007D6C46">
        <w:tab/>
      </w:r>
      <w:bookmarkStart w:id="31" w:name="_Hlk115034020"/>
      <w:r w:rsidRPr="007D6C46">
        <w:t>Demande d’assistance pour les autorisations d’utilisation de citernes et sacs réservoirs souples pour le transport de gazole</w:t>
      </w:r>
      <w:bookmarkEnd w:id="31"/>
    </w:p>
    <w:p w14:paraId="08BA81CE" w14:textId="53501F37" w:rsidR="00564BA0" w:rsidRPr="007D6C46" w:rsidRDefault="00564BA0" w:rsidP="00657122">
      <w:pPr>
        <w:pStyle w:val="SingleTxtG"/>
        <w:tabs>
          <w:tab w:val="clear" w:pos="1701"/>
          <w:tab w:val="clear" w:pos="2268"/>
          <w:tab w:val="clear" w:pos="2835"/>
          <w:tab w:val="left" w:pos="3119"/>
        </w:tabs>
        <w:ind w:left="3119" w:hanging="1985"/>
        <w:jc w:val="left"/>
      </w:pPr>
      <w:r w:rsidRPr="007D6C46">
        <w:rPr>
          <w:i/>
          <w:iCs/>
        </w:rPr>
        <w:t xml:space="preserve">Documents informels </w:t>
      </w:r>
      <w:r w:rsidRPr="007D6C46">
        <w:t>:</w:t>
      </w:r>
      <w:r w:rsidRPr="007D6C46">
        <w:tab/>
        <w:t>INF</w:t>
      </w:r>
      <w:r w:rsidR="008B77B5" w:rsidRPr="008B77B5">
        <w:t>.</w:t>
      </w:r>
      <w:r w:rsidRPr="007D6C46">
        <w:t>50 (RPMASA)</w:t>
      </w:r>
    </w:p>
    <w:p w14:paraId="76126F15" w14:textId="0F256087" w:rsidR="00564BA0" w:rsidRPr="007D6C46" w:rsidRDefault="00564BA0" w:rsidP="00564BA0">
      <w:pPr>
        <w:pStyle w:val="SingleTxtG"/>
      </w:pPr>
      <w:r w:rsidRPr="007D6C46">
        <w:t>119</w:t>
      </w:r>
      <w:r w:rsidR="008B77B5" w:rsidRPr="008B77B5">
        <w:t>.</w:t>
      </w:r>
      <w:r w:rsidRPr="007D6C46">
        <w:tab/>
        <w:t>Le Sous-Comité a pris note de la demande d’assistance et formulé quelques observations sur les préoccupations exprimées</w:t>
      </w:r>
      <w:r w:rsidR="008B77B5" w:rsidRPr="008B77B5">
        <w:t>.</w:t>
      </w:r>
      <w:r w:rsidRPr="007D6C46">
        <w:t xml:space="preserve"> Les Parties contractantes à l’ADR ont été invitées, afin d’aider l’Ukraine pour ses récoltes, à envisager en guise de solution à court terme l’accord multilatéral dont il est question dans l’annexe du document informel INF</w:t>
      </w:r>
      <w:r w:rsidR="008B77B5" w:rsidRPr="008B77B5">
        <w:t>.</w:t>
      </w:r>
      <w:r w:rsidRPr="007D6C46">
        <w:t>50</w:t>
      </w:r>
      <w:r w:rsidR="008B77B5" w:rsidRPr="008B77B5">
        <w:t>.</w:t>
      </w:r>
      <w:r w:rsidRPr="007D6C46">
        <w:t xml:space="preserve"> Certains pays ont rappelé que le Sous-Comité avait déjà discuté de l’utilisation éventuelle de citernes souples</w:t>
      </w:r>
      <w:r w:rsidR="008B77B5" w:rsidRPr="008B77B5">
        <w:t>.</w:t>
      </w:r>
      <w:r w:rsidRPr="007D6C46">
        <w:t xml:space="preserve"> Il avait alors été décidé que cette solution ne devait pas être considérée comme une pratique générale et que l’ajout de dispositions dans le Règlement type ne devait pas être recommandée</w:t>
      </w:r>
      <w:r w:rsidR="008B77B5" w:rsidRPr="008B77B5">
        <w:t>.</w:t>
      </w:r>
      <w:r w:rsidRPr="007D6C46">
        <w:t xml:space="preserve"> Le Sous-Comité a réaffirmé que les citernes souples pouvaient être utilisées dans certains pays pour le transport de combustibles liquides avec l’accord des autorités compétentes et que cette utilisation pouvait être justifiée et autorisée dans des circonstances exceptionnelles</w:t>
      </w:r>
      <w:r w:rsidR="008B77B5" w:rsidRPr="008B77B5">
        <w:t>.</w:t>
      </w:r>
      <w:r w:rsidRPr="007D6C46">
        <w:t xml:space="preserve"> L’approbation de cette utilisation devait être assortie de règles de sécurité appropriées</w:t>
      </w:r>
      <w:r w:rsidR="008B77B5" w:rsidRPr="008B77B5">
        <w:t>.</w:t>
      </w:r>
    </w:p>
    <w:p w14:paraId="3C3C821F" w14:textId="7E2E747A" w:rsidR="00564BA0" w:rsidRPr="007D6C46" w:rsidRDefault="00564BA0" w:rsidP="00564BA0">
      <w:pPr>
        <w:spacing w:after="120"/>
        <w:ind w:left="1134" w:right="1134"/>
        <w:jc w:val="both"/>
        <w:rPr>
          <w:rFonts w:eastAsia="SimSun"/>
          <w:lang w:eastAsia="zh-CN"/>
        </w:rPr>
      </w:pPr>
      <w:r w:rsidRPr="007D6C46">
        <w:rPr>
          <w:rFonts w:eastAsia="SimSun"/>
          <w:lang w:eastAsia="zh-CN"/>
        </w:rPr>
        <w:t>120</w:t>
      </w:r>
      <w:r w:rsidR="008B77B5" w:rsidRPr="008B77B5">
        <w:rPr>
          <w:rFonts w:eastAsia="SimSun"/>
          <w:lang w:eastAsia="zh-CN"/>
        </w:rPr>
        <w:t>.</w:t>
      </w:r>
      <w:r w:rsidRPr="007D6C46">
        <w:rPr>
          <w:rFonts w:eastAsia="SimSun"/>
          <w:lang w:eastAsia="zh-CN"/>
        </w:rPr>
        <w:tab/>
        <w:t>Il a été noté que des problèmes similaires étaient rencontrés dans d’autres régions avec l’utilisation de citernes souples</w:t>
      </w:r>
      <w:r w:rsidR="008B77B5" w:rsidRPr="008B77B5">
        <w:rPr>
          <w:rFonts w:eastAsia="SimSun"/>
          <w:lang w:eastAsia="zh-CN"/>
        </w:rPr>
        <w:t>.</w:t>
      </w:r>
      <w:r w:rsidRPr="007D6C46">
        <w:rPr>
          <w:rFonts w:eastAsia="SimSun"/>
          <w:lang w:eastAsia="zh-CN"/>
        </w:rPr>
        <w:t xml:space="preserve"> La représentante de la RPMASA a invité les parties intéressées à la contacter en vue de faire progresser les dispositions officielles en matière d’essais et d’homologation</w:t>
      </w:r>
      <w:r w:rsidR="008B77B5" w:rsidRPr="008B77B5">
        <w:rPr>
          <w:rFonts w:eastAsia="SimSun"/>
          <w:lang w:eastAsia="zh-CN"/>
        </w:rPr>
        <w:t>.</w:t>
      </w:r>
    </w:p>
    <w:p w14:paraId="7858C516" w14:textId="040EC539" w:rsidR="00564BA0" w:rsidRPr="007D6C46" w:rsidRDefault="00564BA0" w:rsidP="00564BA0">
      <w:pPr>
        <w:pStyle w:val="H23G"/>
      </w:pPr>
      <w:r w:rsidRPr="007D6C46">
        <w:tab/>
        <w:t>7</w:t>
      </w:r>
      <w:r w:rsidR="008B77B5" w:rsidRPr="008B77B5">
        <w:t>.</w:t>
      </w:r>
      <w:r w:rsidRPr="007D6C46">
        <w:tab/>
        <w:t>Dates des réunions de la soixante et unième session</w:t>
      </w:r>
    </w:p>
    <w:p w14:paraId="008DD76E" w14:textId="28C749BE" w:rsidR="00564BA0" w:rsidRPr="007D6C46" w:rsidRDefault="00564BA0" w:rsidP="00564BA0">
      <w:pPr>
        <w:pStyle w:val="SingleTxtG"/>
      </w:pPr>
      <w:r w:rsidRPr="007D6C46">
        <w:t>121</w:t>
      </w:r>
      <w:r w:rsidR="008B77B5" w:rsidRPr="008B77B5">
        <w:t>.</w:t>
      </w:r>
      <w:r w:rsidRPr="007D6C46">
        <w:tab/>
        <w:t>Le Sous-Comité a pris note des dates de sa soixante et unième session et de la date limite de soumission des documents :</w:t>
      </w:r>
    </w:p>
    <w:p w14:paraId="5C8E42F1" w14:textId="77777777" w:rsidR="00564BA0" w:rsidRPr="007D6C46" w:rsidRDefault="00564BA0" w:rsidP="00564BA0">
      <w:pPr>
        <w:pStyle w:val="Bullet1G"/>
        <w:numPr>
          <w:ilvl w:val="0"/>
          <w:numId w:val="0"/>
        </w:numPr>
        <w:tabs>
          <w:tab w:val="left" w:pos="1701"/>
        </w:tabs>
        <w:spacing w:before="120" w:after="0"/>
        <w:ind w:left="1701" w:hanging="170"/>
      </w:pPr>
      <w:r w:rsidRPr="007D6C46">
        <w:t>•</w:t>
      </w:r>
      <w:r w:rsidRPr="007D6C46">
        <w:tab/>
        <w:t>Dates de la session : du 26 novembre au 6 décembre 2022 ;</w:t>
      </w:r>
    </w:p>
    <w:p w14:paraId="58AB094B" w14:textId="355006C3" w:rsidR="00564BA0" w:rsidRPr="007D6C46" w:rsidRDefault="00564BA0" w:rsidP="00564BA0">
      <w:pPr>
        <w:pStyle w:val="Bullet1G"/>
        <w:numPr>
          <w:ilvl w:val="0"/>
          <w:numId w:val="0"/>
        </w:numPr>
        <w:tabs>
          <w:tab w:val="left" w:pos="1701"/>
        </w:tabs>
        <w:spacing w:before="120" w:after="0"/>
        <w:ind w:left="1701" w:hanging="170"/>
      </w:pPr>
      <w:r w:rsidRPr="007D6C46">
        <w:t>•</w:t>
      </w:r>
      <w:r w:rsidRPr="007D6C46">
        <w:tab/>
        <w:t>Date limite de soumission des documents : 2 septembre 2022 (pour les documents officiels soumis au Sous-Comité TMD pour examen)</w:t>
      </w:r>
      <w:r w:rsidR="008B77B5" w:rsidRPr="008B77B5">
        <w:t>.</w:t>
      </w:r>
    </w:p>
    <w:p w14:paraId="34905D36" w14:textId="056152BB" w:rsidR="00564BA0" w:rsidRPr="007D6C46" w:rsidRDefault="00564BA0" w:rsidP="00564BA0">
      <w:pPr>
        <w:spacing w:before="240" w:after="120"/>
        <w:ind w:left="1134" w:right="1134"/>
        <w:jc w:val="both"/>
        <w:rPr>
          <w:rFonts w:eastAsia="SimSun"/>
          <w:lang w:eastAsia="zh-CN"/>
        </w:rPr>
      </w:pPr>
      <w:r w:rsidRPr="007D6C46">
        <w:rPr>
          <w:rFonts w:eastAsia="SimSun"/>
          <w:lang w:eastAsia="zh-CN"/>
        </w:rPr>
        <w:t>122</w:t>
      </w:r>
      <w:r w:rsidR="008B77B5" w:rsidRPr="008B77B5">
        <w:rPr>
          <w:rFonts w:eastAsia="SimSun"/>
          <w:lang w:eastAsia="zh-CN"/>
        </w:rPr>
        <w:t>.</w:t>
      </w:r>
      <w:r w:rsidRPr="007D6C46">
        <w:rPr>
          <w:rFonts w:eastAsia="SimSun"/>
          <w:lang w:eastAsia="zh-CN"/>
        </w:rPr>
        <w:tab/>
        <w:t>La onzième session du Comité d’experts du transport des marchandises dangereuses et du Système général harmonisé de classification et d’étiquetage des produits chimiques se tiendrait le 9 décembre 2022</w:t>
      </w:r>
      <w:r w:rsidR="008B77B5" w:rsidRPr="008B77B5">
        <w:rPr>
          <w:rFonts w:eastAsia="SimSun"/>
          <w:lang w:eastAsia="zh-CN"/>
        </w:rPr>
        <w:t>.</w:t>
      </w:r>
    </w:p>
    <w:p w14:paraId="2154A7BA" w14:textId="42CA61EA" w:rsidR="00564BA0" w:rsidRPr="007D6C46" w:rsidRDefault="00564BA0" w:rsidP="00564BA0">
      <w:pPr>
        <w:pStyle w:val="H23G"/>
      </w:pPr>
      <w:r w:rsidRPr="007D6C46">
        <w:tab/>
        <w:t>8</w:t>
      </w:r>
      <w:r w:rsidR="008B77B5" w:rsidRPr="008B77B5">
        <w:t>.</w:t>
      </w:r>
      <w:r w:rsidRPr="007D6C46">
        <w:tab/>
        <w:t>Hommages</w:t>
      </w:r>
    </w:p>
    <w:p w14:paraId="47B34C82" w14:textId="1A0FE814" w:rsidR="00564BA0" w:rsidRPr="007D6C46" w:rsidRDefault="00564BA0" w:rsidP="00564BA0">
      <w:pPr>
        <w:spacing w:after="120"/>
        <w:ind w:left="1134" w:right="1134"/>
        <w:jc w:val="both"/>
        <w:rPr>
          <w:rFonts w:eastAsia="SimSun"/>
          <w:lang w:eastAsia="zh-CN"/>
        </w:rPr>
      </w:pPr>
      <w:r w:rsidRPr="007D6C46">
        <w:rPr>
          <w:rFonts w:eastAsia="SimSun"/>
          <w:lang w:eastAsia="zh-CN"/>
        </w:rPr>
        <w:t>123</w:t>
      </w:r>
      <w:r w:rsidR="008B77B5" w:rsidRPr="008B77B5">
        <w:rPr>
          <w:rFonts w:eastAsia="SimSun"/>
          <w:lang w:eastAsia="zh-CN"/>
        </w:rPr>
        <w:t>.</w:t>
      </w:r>
      <w:r w:rsidRPr="007D6C46">
        <w:rPr>
          <w:rFonts w:eastAsia="SimSun"/>
          <w:lang w:eastAsia="zh-CN"/>
        </w:rPr>
        <w:tab/>
        <w:t>Le Sous-Comité a été informé que M</w:t>
      </w:r>
      <w:r w:rsidR="008B77B5" w:rsidRPr="008B77B5">
        <w:rPr>
          <w:rFonts w:eastAsia="SimSun"/>
          <w:lang w:eastAsia="zh-CN"/>
        </w:rPr>
        <w:t>.</w:t>
      </w:r>
      <w:r w:rsidRPr="007D6C46">
        <w:rPr>
          <w:rFonts w:eastAsia="SimSun"/>
          <w:lang w:eastAsia="zh-CN"/>
        </w:rPr>
        <w:t xml:space="preserve"> L</w:t>
      </w:r>
      <w:r w:rsidR="008B77B5" w:rsidRPr="008B77B5">
        <w:rPr>
          <w:rFonts w:eastAsia="SimSun"/>
          <w:lang w:eastAsia="zh-CN"/>
        </w:rPr>
        <w:t>.</w:t>
      </w:r>
      <w:r w:rsidRPr="007D6C46">
        <w:rPr>
          <w:rFonts w:eastAsia="SimSun"/>
          <w:lang w:eastAsia="zh-CN"/>
        </w:rPr>
        <w:t xml:space="preserve"> </w:t>
      </w:r>
      <w:proofErr w:type="spellStart"/>
      <w:r w:rsidRPr="007D6C46">
        <w:rPr>
          <w:rFonts w:eastAsia="SimSun"/>
          <w:lang w:eastAsia="zh-CN"/>
        </w:rPr>
        <w:t>Aufauvre</w:t>
      </w:r>
      <w:proofErr w:type="spellEnd"/>
      <w:r w:rsidRPr="007D6C46">
        <w:rPr>
          <w:rFonts w:eastAsia="SimSun"/>
          <w:lang w:eastAsia="zh-CN"/>
        </w:rPr>
        <w:t xml:space="preserve"> (France) avait assumé de nouvelles responsabilités et ne participerait plus aux futures sessions</w:t>
      </w:r>
      <w:r w:rsidR="008B77B5" w:rsidRPr="008B77B5">
        <w:rPr>
          <w:rFonts w:eastAsia="SimSun"/>
          <w:lang w:eastAsia="zh-CN"/>
        </w:rPr>
        <w:t>.</w:t>
      </w:r>
      <w:r w:rsidRPr="007D6C46">
        <w:rPr>
          <w:rFonts w:eastAsia="SimSun"/>
          <w:lang w:eastAsia="zh-CN"/>
        </w:rPr>
        <w:t xml:space="preserve"> Le Président l’a remercié chaleureusement pour sa contribution aux travaux du Sous-Comité et lui a souhaité plein succès dans ses nouvelles fonctions</w:t>
      </w:r>
      <w:r w:rsidR="008B77B5" w:rsidRPr="008B77B5">
        <w:rPr>
          <w:rFonts w:eastAsia="SimSun"/>
          <w:lang w:eastAsia="zh-CN"/>
        </w:rPr>
        <w:t>.</w:t>
      </w:r>
    </w:p>
    <w:p w14:paraId="448AEB12" w14:textId="1581A224" w:rsidR="00564BA0" w:rsidRPr="007D6C46" w:rsidRDefault="00564BA0" w:rsidP="00564BA0">
      <w:pPr>
        <w:pStyle w:val="SingleTxtG"/>
      </w:pPr>
      <w:r w:rsidRPr="007D6C46">
        <w:t>124</w:t>
      </w:r>
      <w:r w:rsidR="008B77B5" w:rsidRPr="008B77B5">
        <w:t>.</w:t>
      </w:r>
      <w:r w:rsidRPr="007D6C46">
        <w:tab/>
        <w:t>Le Sous-Comité a appris que M</w:t>
      </w:r>
      <w:r w:rsidR="008B77B5" w:rsidRPr="008B77B5">
        <w:t>.</w:t>
      </w:r>
      <w:r w:rsidRPr="007D6C46">
        <w:t xml:space="preserve"> David </w:t>
      </w:r>
      <w:proofErr w:type="spellStart"/>
      <w:r w:rsidRPr="007D6C46">
        <w:t>Gilabert</w:t>
      </w:r>
      <w:proofErr w:type="spellEnd"/>
      <w:r w:rsidRPr="007D6C46">
        <w:t xml:space="preserve"> (Suisse) avait pris sa retraite et ne participerait pas aux sessions à venir</w:t>
      </w:r>
      <w:r w:rsidR="008B77B5" w:rsidRPr="008B77B5">
        <w:t>.</w:t>
      </w:r>
      <w:r w:rsidRPr="007D6C46">
        <w:t xml:space="preserve"> Il l’a remercié pour sa contribution aux activités du Sous-Comité pendant plus de vingt-cinq ans et lui a souhaité une longue et heureuse retraite</w:t>
      </w:r>
      <w:r w:rsidR="008B77B5" w:rsidRPr="008B77B5">
        <w:t>.</w:t>
      </w:r>
    </w:p>
    <w:p w14:paraId="2068F532" w14:textId="4785124C" w:rsidR="00564BA0" w:rsidRPr="007D6C46" w:rsidRDefault="00564BA0" w:rsidP="00564BA0">
      <w:pPr>
        <w:pStyle w:val="SingleTxtG"/>
      </w:pPr>
      <w:r w:rsidRPr="007D6C46">
        <w:t>125</w:t>
      </w:r>
      <w:r w:rsidR="008B77B5" w:rsidRPr="008B77B5">
        <w:t>.</w:t>
      </w:r>
      <w:r w:rsidRPr="007D6C46">
        <w:tab/>
        <w:t>Le Sous-Comité a appris que M</w:t>
      </w:r>
      <w:r w:rsidR="008B77B5" w:rsidRPr="008B77B5">
        <w:t>.</w:t>
      </w:r>
      <w:r w:rsidRPr="007D6C46">
        <w:t xml:space="preserve"> David Boston (IME) avait pris sa retraite et ne participerait pas aux sessions à venir</w:t>
      </w:r>
      <w:r w:rsidR="008B77B5" w:rsidRPr="008B77B5">
        <w:t>.</w:t>
      </w:r>
      <w:r w:rsidRPr="007D6C46">
        <w:t xml:space="preserve"> Le Président lui a exprimé sa profonde gratitude pour tout le travail qu’il avait accompli au cours des vingt-sept dernières années, et en particulier pour ses activités au service du Groupe de travail des explosifs depuis 2008</w:t>
      </w:r>
      <w:r w:rsidR="008B77B5" w:rsidRPr="008B77B5">
        <w:t>.</w:t>
      </w:r>
      <w:r w:rsidRPr="007D6C46">
        <w:t xml:space="preserve"> Le Sous-Comité a souhaité à M</w:t>
      </w:r>
      <w:r w:rsidR="008B77B5" w:rsidRPr="008B77B5">
        <w:t>.</w:t>
      </w:r>
      <w:r w:rsidRPr="007D6C46">
        <w:t> Boston une longue et heureuse retraite</w:t>
      </w:r>
      <w:r w:rsidR="008B77B5" w:rsidRPr="008B77B5">
        <w:t>.</w:t>
      </w:r>
    </w:p>
    <w:p w14:paraId="759348F7" w14:textId="617444CA" w:rsidR="00564BA0" w:rsidRPr="007D6C46" w:rsidRDefault="00564BA0" w:rsidP="00564BA0">
      <w:pPr>
        <w:keepNext/>
        <w:keepLines/>
        <w:tabs>
          <w:tab w:val="right" w:pos="851"/>
        </w:tabs>
        <w:spacing w:before="240" w:after="120" w:line="240" w:lineRule="exact"/>
        <w:ind w:left="1134" w:right="1134" w:hanging="1134"/>
        <w:rPr>
          <w:rFonts w:eastAsia="SimSun"/>
          <w:b/>
          <w:lang w:eastAsia="zh-CN"/>
        </w:rPr>
      </w:pPr>
      <w:r w:rsidRPr="007D6C46">
        <w:rPr>
          <w:rFonts w:eastAsia="SimSun"/>
          <w:b/>
          <w:lang w:eastAsia="zh-CN"/>
        </w:rPr>
        <w:tab/>
      </w:r>
      <w:bookmarkStart w:id="32" w:name="_Toc499903678"/>
      <w:r w:rsidRPr="007D6C46">
        <w:rPr>
          <w:rFonts w:eastAsia="SimSun"/>
          <w:b/>
          <w:lang w:eastAsia="zh-CN"/>
        </w:rPr>
        <w:t>9</w:t>
      </w:r>
      <w:r w:rsidR="008B77B5" w:rsidRPr="008B77B5">
        <w:rPr>
          <w:rFonts w:eastAsia="SimSun"/>
          <w:b/>
          <w:lang w:eastAsia="zh-CN"/>
        </w:rPr>
        <w:t>.</w:t>
      </w:r>
      <w:r w:rsidRPr="007D6C46">
        <w:rPr>
          <w:rFonts w:eastAsia="SimSun"/>
          <w:b/>
          <w:lang w:eastAsia="zh-CN"/>
        </w:rPr>
        <w:tab/>
        <w:t>Condoléances</w:t>
      </w:r>
      <w:bookmarkEnd w:id="32"/>
    </w:p>
    <w:p w14:paraId="2E6328B6" w14:textId="086E085B" w:rsidR="00564BA0" w:rsidRPr="007D6C46" w:rsidRDefault="00564BA0" w:rsidP="00564BA0">
      <w:pPr>
        <w:spacing w:after="120"/>
        <w:ind w:left="1134" w:right="1134"/>
        <w:jc w:val="both"/>
        <w:rPr>
          <w:rFonts w:eastAsia="SimSun"/>
          <w:lang w:eastAsia="zh-CN"/>
        </w:rPr>
      </w:pPr>
      <w:r w:rsidRPr="007D6C46">
        <w:rPr>
          <w:rFonts w:eastAsia="SimSun"/>
          <w:lang w:eastAsia="zh-CN"/>
        </w:rPr>
        <w:t>126</w:t>
      </w:r>
      <w:r w:rsidR="008B77B5" w:rsidRPr="008B77B5">
        <w:rPr>
          <w:rFonts w:eastAsia="SimSun"/>
          <w:lang w:eastAsia="zh-CN"/>
        </w:rPr>
        <w:t>.</w:t>
      </w:r>
      <w:r w:rsidRPr="007D6C46">
        <w:rPr>
          <w:rFonts w:eastAsia="SimSun"/>
          <w:lang w:eastAsia="zh-CN"/>
        </w:rPr>
        <w:tab/>
        <w:t>Le Sous-Comité a appris avec une grande tristesse le décès de M</w:t>
      </w:r>
      <w:r w:rsidR="008B77B5" w:rsidRPr="008B77B5">
        <w:rPr>
          <w:rFonts w:eastAsia="SimSun"/>
          <w:lang w:eastAsia="zh-CN"/>
        </w:rPr>
        <w:t>.</w:t>
      </w:r>
      <w:r w:rsidRPr="007D6C46">
        <w:rPr>
          <w:rFonts w:eastAsia="SimSun"/>
          <w:lang w:eastAsia="zh-CN"/>
        </w:rPr>
        <w:t xml:space="preserve"> John « Jack » Currie, qui, en tant qu’administrateur d’IVODGA, avait joué un rôle important pendant plusieurs décennies dans les travaux fructueux du Sous-Comité</w:t>
      </w:r>
      <w:r w:rsidR="008B77B5" w:rsidRPr="008B77B5">
        <w:rPr>
          <w:rFonts w:eastAsia="SimSun"/>
          <w:lang w:eastAsia="zh-CN"/>
        </w:rPr>
        <w:t>.</w:t>
      </w:r>
      <w:r w:rsidRPr="007D6C46">
        <w:rPr>
          <w:rFonts w:eastAsia="SimSun"/>
          <w:lang w:eastAsia="zh-CN"/>
        </w:rPr>
        <w:t xml:space="preserve"> Le Président a demandé au représentant d’IVODGA de transmettre à la famille de M</w:t>
      </w:r>
      <w:r w:rsidR="008B77B5" w:rsidRPr="008B77B5">
        <w:rPr>
          <w:rFonts w:eastAsia="SimSun"/>
          <w:lang w:eastAsia="zh-CN"/>
        </w:rPr>
        <w:t>.</w:t>
      </w:r>
      <w:r w:rsidR="007D6C46" w:rsidRPr="007D6C46">
        <w:rPr>
          <w:rFonts w:eastAsia="SimSun"/>
          <w:lang w:eastAsia="zh-CN"/>
        </w:rPr>
        <w:t> </w:t>
      </w:r>
      <w:r w:rsidRPr="007D6C46">
        <w:rPr>
          <w:rFonts w:eastAsia="SimSun"/>
          <w:lang w:eastAsia="zh-CN"/>
        </w:rPr>
        <w:t>Currie les plus sincères condoléances du Sous-Comité</w:t>
      </w:r>
      <w:r w:rsidR="008B77B5" w:rsidRPr="008B77B5">
        <w:rPr>
          <w:rFonts w:eastAsia="SimSun"/>
          <w:lang w:eastAsia="zh-CN"/>
        </w:rPr>
        <w:t>.</w:t>
      </w:r>
    </w:p>
    <w:p w14:paraId="2D1DA70F" w14:textId="2DF6C8A0" w:rsidR="00564BA0" w:rsidRPr="007D6C46" w:rsidRDefault="00564BA0" w:rsidP="00564BA0">
      <w:pPr>
        <w:pStyle w:val="HChG"/>
      </w:pPr>
      <w:r w:rsidRPr="007D6C46">
        <w:tab/>
        <w:t>XVII</w:t>
      </w:r>
      <w:r w:rsidR="008B77B5" w:rsidRPr="008B77B5">
        <w:t>.</w:t>
      </w:r>
      <w:r w:rsidRPr="007D6C46">
        <w:tab/>
        <w:t>Adoption du rapport (point 15 de l’ordre du jour)</w:t>
      </w:r>
    </w:p>
    <w:p w14:paraId="659EB53A" w14:textId="681D326E" w:rsidR="00564BA0" w:rsidRPr="007D6C46" w:rsidRDefault="00564BA0" w:rsidP="00564BA0">
      <w:pPr>
        <w:pStyle w:val="SingleTxtG"/>
      </w:pPr>
      <w:r w:rsidRPr="007D6C46">
        <w:t>127</w:t>
      </w:r>
      <w:r w:rsidR="008B77B5" w:rsidRPr="008B77B5">
        <w:t>.</w:t>
      </w:r>
      <w:r w:rsidRPr="007D6C46">
        <w:tab/>
        <w:t>Le Sous-Comité a adopté le rapport sur sa soixantième session et ses annexes sur la base d’un projet établi par le secrétariat</w:t>
      </w:r>
      <w:r w:rsidR="008B77B5" w:rsidRPr="008B77B5">
        <w:t>.</w:t>
      </w:r>
    </w:p>
    <w:p w14:paraId="149B568D" w14:textId="77777777" w:rsidR="00564BA0" w:rsidRPr="007D6C46" w:rsidRDefault="00564BA0" w:rsidP="00564BA0">
      <w:pPr>
        <w:suppressAutoHyphens w:val="0"/>
        <w:kinsoku/>
        <w:overflowPunct/>
        <w:autoSpaceDE/>
        <w:autoSpaceDN/>
        <w:adjustRightInd/>
        <w:snapToGrid/>
        <w:spacing w:after="200" w:line="276" w:lineRule="auto"/>
      </w:pPr>
      <w:r w:rsidRPr="007D6C46">
        <w:br w:type="page"/>
      </w:r>
    </w:p>
    <w:p w14:paraId="265428F4" w14:textId="77777777" w:rsidR="00564BA0" w:rsidRPr="007D6C46" w:rsidRDefault="00564BA0" w:rsidP="007D6C46">
      <w:pPr>
        <w:pStyle w:val="HChG"/>
        <w:rPr>
          <w:lang w:eastAsia="zh-CN"/>
        </w:rPr>
      </w:pPr>
      <w:r w:rsidRPr="007D6C46">
        <w:rPr>
          <w:lang w:eastAsia="zh-CN"/>
        </w:rPr>
        <w:t>Annexe I</w:t>
      </w:r>
    </w:p>
    <w:p w14:paraId="05B3E84B" w14:textId="3B8102B6" w:rsidR="00564BA0" w:rsidRPr="007D6C46" w:rsidRDefault="00564BA0" w:rsidP="007D6C46">
      <w:pPr>
        <w:pStyle w:val="HChG"/>
        <w:rPr>
          <w:lang w:eastAsia="zh-CN"/>
        </w:rPr>
      </w:pPr>
      <w:r w:rsidRPr="007D6C46">
        <w:rPr>
          <w:lang w:eastAsia="zh-CN"/>
        </w:rPr>
        <w:tab/>
      </w:r>
      <w:r w:rsidRPr="007D6C46">
        <w:rPr>
          <w:lang w:eastAsia="zh-CN"/>
        </w:rPr>
        <w:tab/>
        <w:t xml:space="preserve">Projet d’amendements à la vingt-deuxième édition révisée des Recommandations relatives au transport </w:t>
      </w:r>
      <w:r w:rsidR="007D6C46" w:rsidRPr="007D6C46">
        <w:rPr>
          <w:lang w:eastAsia="zh-CN"/>
        </w:rPr>
        <w:br/>
      </w:r>
      <w:r w:rsidRPr="007D6C46">
        <w:rPr>
          <w:lang w:eastAsia="zh-CN"/>
        </w:rPr>
        <w:t xml:space="preserve">des marchandises dangereuses, Règlement </w:t>
      </w:r>
      <w:r w:rsidR="007D6C46" w:rsidRPr="007D6C46">
        <w:rPr>
          <w:lang w:eastAsia="zh-CN"/>
        </w:rPr>
        <w:br/>
      </w:r>
      <w:r w:rsidRPr="007D6C46">
        <w:rPr>
          <w:lang w:eastAsia="zh-CN"/>
        </w:rPr>
        <w:t>type (ST/SG/AC</w:t>
      </w:r>
      <w:r w:rsidR="008B77B5" w:rsidRPr="008B77B5">
        <w:rPr>
          <w:lang w:eastAsia="zh-CN"/>
        </w:rPr>
        <w:t>.</w:t>
      </w:r>
      <w:r w:rsidRPr="007D6C46">
        <w:rPr>
          <w:lang w:eastAsia="zh-CN"/>
        </w:rPr>
        <w:t>10/1/Rev</w:t>
      </w:r>
      <w:r w:rsidR="008B77B5" w:rsidRPr="008B77B5">
        <w:rPr>
          <w:lang w:eastAsia="zh-CN"/>
        </w:rPr>
        <w:t>.</w:t>
      </w:r>
      <w:r w:rsidRPr="007D6C46">
        <w:rPr>
          <w:lang w:eastAsia="zh-CN"/>
        </w:rPr>
        <w:t>22)</w:t>
      </w:r>
    </w:p>
    <w:p w14:paraId="61E33BF1" w14:textId="60B2580A" w:rsidR="00564BA0" w:rsidRPr="007D6C46" w:rsidRDefault="00564BA0" w:rsidP="00564BA0">
      <w:pPr>
        <w:tabs>
          <w:tab w:val="right" w:pos="850"/>
          <w:tab w:val="left" w:pos="1134"/>
          <w:tab w:val="left" w:pos="1559"/>
          <w:tab w:val="left" w:pos="1984"/>
          <w:tab w:val="left" w:leader="dot" w:pos="8364"/>
          <w:tab w:val="right" w:pos="8929"/>
          <w:tab w:val="right" w:pos="9638"/>
        </w:tabs>
        <w:spacing w:before="120" w:after="120"/>
        <w:ind w:left="1134" w:hanging="1134"/>
        <w:rPr>
          <w:rFonts w:eastAsia="SimSun"/>
          <w:lang w:eastAsia="zh-CN"/>
        </w:rPr>
      </w:pPr>
      <w:r w:rsidRPr="007D6C46">
        <w:rPr>
          <w:rFonts w:eastAsia="SimSun"/>
          <w:lang w:eastAsia="zh-CN"/>
        </w:rPr>
        <w:tab/>
      </w:r>
      <w:r w:rsidRPr="007D6C46">
        <w:rPr>
          <w:rFonts w:eastAsia="SimSun"/>
          <w:lang w:eastAsia="zh-CN"/>
        </w:rPr>
        <w:tab/>
        <w:t>(</w:t>
      </w:r>
      <w:proofErr w:type="gramStart"/>
      <w:r w:rsidRPr="007D6C46">
        <w:rPr>
          <w:rFonts w:eastAsia="SimSun"/>
          <w:lang w:eastAsia="zh-CN"/>
        </w:rPr>
        <w:t>voir</w:t>
      </w:r>
      <w:proofErr w:type="gramEnd"/>
      <w:r w:rsidRPr="007D6C46">
        <w:rPr>
          <w:rFonts w:eastAsia="SimSun"/>
          <w:lang w:eastAsia="zh-CN"/>
        </w:rPr>
        <w:t xml:space="preserve"> le document ST/SG/AC</w:t>
      </w:r>
      <w:r w:rsidR="008B77B5" w:rsidRPr="008B77B5">
        <w:rPr>
          <w:rFonts w:eastAsia="SimSun"/>
          <w:lang w:eastAsia="zh-CN"/>
        </w:rPr>
        <w:t>.</w:t>
      </w:r>
      <w:r w:rsidRPr="007D6C46">
        <w:rPr>
          <w:rFonts w:eastAsia="SimSun"/>
          <w:lang w:eastAsia="zh-CN"/>
        </w:rPr>
        <w:t>10/C</w:t>
      </w:r>
      <w:r w:rsidR="008B77B5" w:rsidRPr="008B77B5">
        <w:rPr>
          <w:rFonts w:eastAsia="SimSun"/>
          <w:lang w:eastAsia="zh-CN"/>
        </w:rPr>
        <w:t>.</w:t>
      </w:r>
      <w:r w:rsidRPr="007D6C46">
        <w:rPr>
          <w:rFonts w:eastAsia="SimSun"/>
          <w:lang w:eastAsia="zh-CN"/>
        </w:rPr>
        <w:t>3/120/Add</w:t>
      </w:r>
      <w:r w:rsidR="008B77B5" w:rsidRPr="008B77B5">
        <w:rPr>
          <w:rFonts w:eastAsia="SimSun"/>
          <w:lang w:eastAsia="zh-CN"/>
        </w:rPr>
        <w:t>.</w:t>
      </w:r>
      <w:r w:rsidRPr="007D6C46">
        <w:rPr>
          <w:rFonts w:eastAsia="SimSun"/>
          <w:lang w:eastAsia="zh-CN"/>
        </w:rPr>
        <w:t>1)</w:t>
      </w:r>
    </w:p>
    <w:p w14:paraId="657F7D51" w14:textId="77777777" w:rsidR="00564BA0" w:rsidRPr="007D6C46" w:rsidRDefault="00564BA0" w:rsidP="007D6C46">
      <w:pPr>
        <w:pStyle w:val="HChG"/>
        <w:rPr>
          <w:lang w:eastAsia="zh-CN"/>
        </w:rPr>
      </w:pPr>
      <w:r w:rsidRPr="007D6C46">
        <w:rPr>
          <w:lang w:eastAsia="zh-CN"/>
        </w:rPr>
        <w:t>Annexe II</w:t>
      </w:r>
    </w:p>
    <w:p w14:paraId="66F7746D" w14:textId="0C05782A" w:rsidR="00564BA0" w:rsidRPr="007D6C46" w:rsidRDefault="00564BA0" w:rsidP="007D6C46">
      <w:pPr>
        <w:pStyle w:val="HChG"/>
        <w:rPr>
          <w:lang w:eastAsia="zh-CN"/>
        </w:rPr>
      </w:pPr>
      <w:r w:rsidRPr="007D6C46">
        <w:rPr>
          <w:lang w:eastAsia="zh-CN"/>
        </w:rPr>
        <w:tab/>
      </w:r>
      <w:r w:rsidRPr="007D6C46">
        <w:rPr>
          <w:lang w:eastAsia="zh-CN"/>
        </w:rPr>
        <w:tab/>
        <w:t>Corrections à la vingt-deuxième édition révisée des Recommandations relatives au transport des marchandises dangereuses, Règlement type (ST/SG/AC</w:t>
      </w:r>
      <w:r w:rsidR="008B77B5" w:rsidRPr="008B77B5">
        <w:rPr>
          <w:lang w:eastAsia="zh-CN"/>
        </w:rPr>
        <w:t>.</w:t>
      </w:r>
      <w:r w:rsidRPr="007D6C46">
        <w:rPr>
          <w:lang w:eastAsia="zh-CN"/>
        </w:rPr>
        <w:t>10/1/Rev</w:t>
      </w:r>
      <w:r w:rsidR="008B77B5" w:rsidRPr="008B77B5">
        <w:rPr>
          <w:lang w:eastAsia="zh-CN"/>
        </w:rPr>
        <w:t>.</w:t>
      </w:r>
      <w:r w:rsidRPr="007D6C46">
        <w:rPr>
          <w:lang w:eastAsia="zh-CN"/>
        </w:rPr>
        <w:t>22)</w:t>
      </w:r>
    </w:p>
    <w:p w14:paraId="3E3A57EF" w14:textId="2B83F938" w:rsidR="00564BA0" w:rsidRPr="007D6C46" w:rsidRDefault="00564BA0" w:rsidP="00564BA0">
      <w:pPr>
        <w:tabs>
          <w:tab w:val="right" w:pos="850"/>
          <w:tab w:val="left" w:pos="1134"/>
          <w:tab w:val="left" w:pos="1559"/>
          <w:tab w:val="left" w:pos="1984"/>
          <w:tab w:val="left" w:leader="dot" w:pos="8364"/>
          <w:tab w:val="right" w:pos="8929"/>
          <w:tab w:val="right" w:pos="9638"/>
        </w:tabs>
        <w:spacing w:before="120" w:after="120"/>
        <w:ind w:left="1134" w:hanging="1134"/>
        <w:rPr>
          <w:rFonts w:eastAsia="SimSun"/>
          <w:lang w:eastAsia="zh-CN"/>
        </w:rPr>
      </w:pPr>
      <w:r w:rsidRPr="007D6C46">
        <w:rPr>
          <w:rFonts w:eastAsia="SimSun"/>
          <w:lang w:eastAsia="zh-CN"/>
        </w:rPr>
        <w:tab/>
      </w:r>
      <w:r w:rsidRPr="007D6C46">
        <w:rPr>
          <w:rFonts w:eastAsia="SimSun"/>
          <w:lang w:eastAsia="zh-CN"/>
        </w:rPr>
        <w:tab/>
        <w:t>(</w:t>
      </w:r>
      <w:proofErr w:type="gramStart"/>
      <w:r w:rsidRPr="007D6C46">
        <w:rPr>
          <w:rFonts w:eastAsia="SimSun"/>
          <w:lang w:eastAsia="zh-CN"/>
        </w:rPr>
        <w:t>voir</w:t>
      </w:r>
      <w:proofErr w:type="gramEnd"/>
      <w:r w:rsidRPr="007D6C46">
        <w:rPr>
          <w:rFonts w:eastAsia="SimSun"/>
          <w:lang w:eastAsia="zh-CN"/>
        </w:rPr>
        <w:t xml:space="preserve"> le document ST/SG/AC</w:t>
      </w:r>
      <w:r w:rsidR="008B77B5" w:rsidRPr="008B77B5">
        <w:rPr>
          <w:rFonts w:eastAsia="SimSun"/>
          <w:lang w:eastAsia="zh-CN"/>
        </w:rPr>
        <w:t>.</w:t>
      </w:r>
      <w:r w:rsidRPr="007D6C46">
        <w:rPr>
          <w:rFonts w:eastAsia="SimSun"/>
          <w:lang w:eastAsia="zh-CN"/>
        </w:rPr>
        <w:t>10/C</w:t>
      </w:r>
      <w:r w:rsidR="008B77B5" w:rsidRPr="008B77B5">
        <w:rPr>
          <w:rFonts w:eastAsia="SimSun"/>
          <w:lang w:eastAsia="zh-CN"/>
        </w:rPr>
        <w:t>.</w:t>
      </w:r>
      <w:r w:rsidRPr="007D6C46">
        <w:rPr>
          <w:rFonts w:eastAsia="SimSun"/>
          <w:lang w:eastAsia="zh-CN"/>
        </w:rPr>
        <w:t>3/120/Add</w:t>
      </w:r>
      <w:r w:rsidR="008B77B5" w:rsidRPr="008B77B5">
        <w:rPr>
          <w:rFonts w:eastAsia="SimSun"/>
          <w:lang w:eastAsia="zh-CN"/>
        </w:rPr>
        <w:t>.</w:t>
      </w:r>
      <w:r w:rsidRPr="007D6C46">
        <w:rPr>
          <w:rFonts w:eastAsia="SimSun"/>
          <w:lang w:eastAsia="zh-CN"/>
        </w:rPr>
        <w:t>1)</w:t>
      </w:r>
    </w:p>
    <w:p w14:paraId="5F4C3999" w14:textId="77777777" w:rsidR="00564BA0" w:rsidRPr="008B77B5" w:rsidRDefault="00564BA0" w:rsidP="007D6C46">
      <w:pPr>
        <w:pStyle w:val="HChG"/>
        <w:rPr>
          <w:lang w:val="en-US" w:eastAsia="zh-CN"/>
        </w:rPr>
      </w:pPr>
      <w:proofErr w:type="spellStart"/>
      <w:r w:rsidRPr="008B77B5">
        <w:rPr>
          <w:lang w:val="en-US" w:eastAsia="zh-CN"/>
        </w:rPr>
        <w:t>Annexe</w:t>
      </w:r>
      <w:proofErr w:type="spellEnd"/>
      <w:r w:rsidRPr="008B77B5">
        <w:rPr>
          <w:lang w:val="en-US" w:eastAsia="zh-CN"/>
        </w:rPr>
        <w:t xml:space="preserve"> III</w:t>
      </w:r>
    </w:p>
    <w:p w14:paraId="0A4A9141" w14:textId="77777777" w:rsidR="00564BA0" w:rsidRPr="008B77B5" w:rsidRDefault="00564BA0" w:rsidP="007D6C46">
      <w:pPr>
        <w:pStyle w:val="HChG"/>
        <w:rPr>
          <w:lang w:val="en-US" w:eastAsia="zh-CN"/>
        </w:rPr>
      </w:pPr>
      <w:r w:rsidRPr="008B77B5">
        <w:rPr>
          <w:lang w:val="en-US" w:eastAsia="zh-CN"/>
        </w:rPr>
        <w:tab/>
      </w:r>
      <w:r w:rsidRPr="008B77B5">
        <w:rPr>
          <w:lang w:val="en-US" w:eastAsia="zh-CN"/>
        </w:rPr>
        <w:tab/>
        <w:t>Modifications to the sixth version of the Guiding Principles for the Development of Model Regulations on the Transport of Dangerous Goods</w:t>
      </w:r>
      <w:r w:rsidRPr="008B77B5">
        <w:rPr>
          <w:i/>
          <w:iCs/>
          <w:lang w:val="en-US" w:eastAsia="zh-CN"/>
        </w:rPr>
        <w:t xml:space="preserve"> (</w:t>
      </w:r>
      <w:proofErr w:type="spellStart"/>
      <w:r w:rsidRPr="008B77B5">
        <w:rPr>
          <w:i/>
          <w:iCs/>
          <w:lang w:val="en-US" w:eastAsia="zh-CN"/>
        </w:rPr>
        <w:t>anglais</w:t>
      </w:r>
      <w:proofErr w:type="spellEnd"/>
      <w:r w:rsidRPr="008B77B5">
        <w:rPr>
          <w:i/>
          <w:iCs/>
          <w:lang w:val="en-US" w:eastAsia="zh-CN"/>
        </w:rPr>
        <w:t xml:space="preserve"> </w:t>
      </w:r>
      <w:proofErr w:type="spellStart"/>
      <w:r w:rsidRPr="008B77B5">
        <w:rPr>
          <w:i/>
          <w:iCs/>
          <w:lang w:val="en-US" w:eastAsia="zh-CN"/>
        </w:rPr>
        <w:t>seulement</w:t>
      </w:r>
      <w:proofErr w:type="spellEnd"/>
      <w:r w:rsidRPr="008B77B5">
        <w:rPr>
          <w:i/>
          <w:iCs/>
          <w:lang w:val="en-US" w:eastAsia="zh-CN"/>
        </w:rPr>
        <w:t>)</w:t>
      </w:r>
    </w:p>
    <w:p w14:paraId="69B328F4" w14:textId="096644D7" w:rsidR="00564BA0" w:rsidRPr="008B77B5" w:rsidRDefault="00564BA0" w:rsidP="00564BA0">
      <w:pPr>
        <w:tabs>
          <w:tab w:val="right" w:pos="850"/>
          <w:tab w:val="left" w:pos="1134"/>
          <w:tab w:val="left" w:pos="1559"/>
          <w:tab w:val="left" w:pos="1984"/>
          <w:tab w:val="left" w:leader="dot" w:pos="8364"/>
          <w:tab w:val="right" w:pos="8929"/>
          <w:tab w:val="right" w:pos="9638"/>
        </w:tabs>
        <w:spacing w:before="120" w:after="120"/>
        <w:ind w:left="1134" w:hanging="1134"/>
        <w:rPr>
          <w:rFonts w:eastAsia="SimSun"/>
          <w:lang w:val="en-US" w:eastAsia="zh-CN"/>
        </w:rPr>
      </w:pPr>
      <w:r w:rsidRPr="008B77B5">
        <w:rPr>
          <w:rFonts w:eastAsia="SimSun"/>
          <w:lang w:val="en-US" w:eastAsia="zh-CN"/>
        </w:rPr>
        <w:tab/>
      </w:r>
      <w:r w:rsidRPr="008B77B5">
        <w:rPr>
          <w:rFonts w:eastAsia="SimSun"/>
          <w:lang w:val="en-US" w:eastAsia="zh-CN"/>
        </w:rPr>
        <w:tab/>
        <w:t>(</w:t>
      </w:r>
      <w:proofErr w:type="gramStart"/>
      <w:r w:rsidRPr="008B77B5">
        <w:rPr>
          <w:rFonts w:eastAsia="SimSun"/>
          <w:lang w:val="en-US" w:eastAsia="zh-CN"/>
        </w:rPr>
        <w:t>see</w:t>
      </w:r>
      <w:proofErr w:type="gramEnd"/>
      <w:r w:rsidRPr="008B77B5">
        <w:rPr>
          <w:rFonts w:eastAsia="SimSun"/>
          <w:lang w:val="en-US" w:eastAsia="zh-CN"/>
        </w:rPr>
        <w:t xml:space="preserve"> ST/SG/AC</w:t>
      </w:r>
      <w:r w:rsidR="008B77B5" w:rsidRPr="008B77B5">
        <w:rPr>
          <w:rFonts w:eastAsia="SimSun"/>
          <w:lang w:val="en-US" w:eastAsia="zh-CN"/>
        </w:rPr>
        <w:t>.</w:t>
      </w:r>
      <w:r w:rsidRPr="008B77B5">
        <w:rPr>
          <w:rFonts w:eastAsia="SimSun"/>
          <w:lang w:val="en-US" w:eastAsia="zh-CN"/>
        </w:rPr>
        <w:t>10/C</w:t>
      </w:r>
      <w:r w:rsidR="008B77B5" w:rsidRPr="008B77B5">
        <w:rPr>
          <w:rFonts w:eastAsia="SimSun"/>
          <w:lang w:val="en-US" w:eastAsia="zh-CN"/>
        </w:rPr>
        <w:t>.</w:t>
      </w:r>
      <w:r w:rsidRPr="008B77B5">
        <w:rPr>
          <w:rFonts w:eastAsia="SimSun"/>
          <w:lang w:val="en-US" w:eastAsia="zh-CN"/>
        </w:rPr>
        <w:t>3/120/Add</w:t>
      </w:r>
      <w:r w:rsidR="008B77B5" w:rsidRPr="008B77B5">
        <w:rPr>
          <w:rFonts w:eastAsia="SimSun"/>
          <w:lang w:val="en-US" w:eastAsia="zh-CN"/>
        </w:rPr>
        <w:t>.</w:t>
      </w:r>
      <w:r w:rsidRPr="008B77B5">
        <w:rPr>
          <w:rFonts w:eastAsia="SimSun"/>
          <w:lang w:val="en-US" w:eastAsia="zh-CN"/>
        </w:rPr>
        <w:t>1)</w:t>
      </w:r>
    </w:p>
    <w:p w14:paraId="1936F747" w14:textId="77777777" w:rsidR="00564BA0" w:rsidRPr="007D6C46" w:rsidRDefault="00564BA0" w:rsidP="007D6C46">
      <w:pPr>
        <w:pStyle w:val="HChG"/>
        <w:rPr>
          <w:lang w:eastAsia="zh-CN"/>
        </w:rPr>
      </w:pPr>
      <w:r w:rsidRPr="007D6C46">
        <w:rPr>
          <w:lang w:eastAsia="zh-CN"/>
        </w:rPr>
        <w:t>Annexe IV</w:t>
      </w:r>
    </w:p>
    <w:p w14:paraId="6CB92214" w14:textId="550D2F3E" w:rsidR="00564BA0" w:rsidRPr="007D6C46" w:rsidRDefault="00564BA0" w:rsidP="007D6C46">
      <w:pPr>
        <w:pStyle w:val="HChG"/>
        <w:rPr>
          <w:lang w:eastAsia="zh-CN"/>
        </w:rPr>
      </w:pPr>
      <w:r w:rsidRPr="007D6C46">
        <w:rPr>
          <w:lang w:eastAsia="zh-CN"/>
        </w:rPr>
        <w:tab/>
      </w:r>
      <w:r w:rsidRPr="007D6C46">
        <w:rPr>
          <w:lang w:eastAsia="zh-CN"/>
        </w:rPr>
        <w:tab/>
        <w:t>Projet d’amendements au Manuel d’épreuves et de critères (ST/SG/AC</w:t>
      </w:r>
      <w:r w:rsidR="008B77B5" w:rsidRPr="008B77B5">
        <w:rPr>
          <w:lang w:eastAsia="zh-CN"/>
        </w:rPr>
        <w:t>.</w:t>
      </w:r>
      <w:r w:rsidRPr="007D6C46">
        <w:rPr>
          <w:lang w:eastAsia="zh-CN"/>
        </w:rPr>
        <w:t>10/11/Rev</w:t>
      </w:r>
      <w:r w:rsidR="008B77B5" w:rsidRPr="008B77B5">
        <w:rPr>
          <w:lang w:eastAsia="zh-CN"/>
        </w:rPr>
        <w:t>.</w:t>
      </w:r>
      <w:r w:rsidRPr="007D6C46">
        <w:rPr>
          <w:lang w:eastAsia="zh-CN"/>
        </w:rPr>
        <w:t>7 et Amend</w:t>
      </w:r>
      <w:r w:rsidR="008B77B5" w:rsidRPr="008B77B5">
        <w:rPr>
          <w:lang w:eastAsia="zh-CN"/>
        </w:rPr>
        <w:t>.</w:t>
      </w:r>
      <w:r w:rsidRPr="007D6C46">
        <w:rPr>
          <w:lang w:eastAsia="zh-CN"/>
        </w:rPr>
        <w:t>1)</w:t>
      </w:r>
    </w:p>
    <w:p w14:paraId="51CDBC4A" w14:textId="73B38389" w:rsidR="0029619C" w:rsidRPr="007D6C46" w:rsidRDefault="00564BA0" w:rsidP="00564BA0">
      <w:r w:rsidRPr="007D6C46">
        <w:rPr>
          <w:rFonts w:eastAsia="SimSun"/>
          <w:lang w:eastAsia="zh-CN"/>
        </w:rPr>
        <w:tab/>
      </w:r>
      <w:r w:rsidRPr="007D6C46">
        <w:rPr>
          <w:rFonts w:eastAsia="SimSun"/>
          <w:lang w:eastAsia="zh-CN"/>
        </w:rPr>
        <w:tab/>
        <w:t>(</w:t>
      </w:r>
      <w:proofErr w:type="gramStart"/>
      <w:r w:rsidRPr="007D6C46">
        <w:rPr>
          <w:rFonts w:eastAsia="SimSun"/>
          <w:lang w:eastAsia="zh-CN"/>
        </w:rPr>
        <w:t>voir</w:t>
      </w:r>
      <w:proofErr w:type="gramEnd"/>
      <w:r w:rsidRPr="007D6C46">
        <w:rPr>
          <w:rFonts w:eastAsia="SimSun"/>
          <w:lang w:eastAsia="zh-CN"/>
        </w:rPr>
        <w:t xml:space="preserve"> le document ST/SG/AC</w:t>
      </w:r>
      <w:r w:rsidR="008B77B5" w:rsidRPr="008B77B5">
        <w:rPr>
          <w:rFonts w:eastAsia="SimSun"/>
          <w:lang w:eastAsia="zh-CN"/>
        </w:rPr>
        <w:t>.</w:t>
      </w:r>
      <w:r w:rsidRPr="007D6C46">
        <w:rPr>
          <w:rFonts w:eastAsia="SimSun"/>
          <w:lang w:eastAsia="zh-CN"/>
        </w:rPr>
        <w:t>10/C</w:t>
      </w:r>
      <w:r w:rsidR="008B77B5" w:rsidRPr="008B77B5">
        <w:rPr>
          <w:rFonts w:eastAsia="SimSun"/>
          <w:lang w:eastAsia="zh-CN"/>
        </w:rPr>
        <w:t>.</w:t>
      </w:r>
      <w:r w:rsidRPr="007D6C46">
        <w:rPr>
          <w:rFonts w:eastAsia="SimSun"/>
          <w:lang w:eastAsia="zh-CN"/>
        </w:rPr>
        <w:t>3/120/Add</w:t>
      </w:r>
      <w:r w:rsidR="008B77B5" w:rsidRPr="008B77B5">
        <w:rPr>
          <w:rFonts w:eastAsia="SimSun"/>
          <w:lang w:eastAsia="zh-CN"/>
        </w:rPr>
        <w:t>.</w:t>
      </w:r>
      <w:r w:rsidRPr="007D6C46">
        <w:rPr>
          <w:rFonts w:eastAsia="SimSun"/>
          <w:lang w:eastAsia="zh-CN"/>
        </w:rPr>
        <w:t>1)</w:t>
      </w:r>
    </w:p>
    <w:p w14:paraId="26862E2E" w14:textId="63F2C10A" w:rsidR="00446FE5" w:rsidRPr="007D6C46" w:rsidRDefault="00564BA0" w:rsidP="00564BA0">
      <w:pPr>
        <w:pStyle w:val="SingleTxtG"/>
        <w:spacing w:before="240" w:after="0"/>
        <w:jc w:val="center"/>
        <w:rPr>
          <w:u w:val="single"/>
        </w:rPr>
      </w:pPr>
      <w:r w:rsidRPr="007D6C46">
        <w:rPr>
          <w:u w:val="single"/>
        </w:rPr>
        <w:tab/>
      </w:r>
      <w:r w:rsidRPr="007D6C46">
        <w:rPr>
          <w:u w:val="single"/>
        </w:rPr>
        <w:tab/>
      </w:r>
      <w:r w:rsidRPr="007D6C46">
        <w:rPr>
          <w:u w:val="single"/>
        </w:rPr>
        <w:tab/>
      </w:r>
    </w:p>
    <w:sectPr w:rsidR="00446FE5" w:rsidRPr="007D6C46" w:rsidSect="002961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4CB3" w14:textId="77777777" w:rsidR="0029775A" w:rsidRDefault="0029775A" w:rsidP="00F95C08">
      <w:pPr>
        <w:spacing w:line="240" w:lineRule="auto"/>
      </w:pPr>
    </w:p>
  </w:endnote>
  <w:endnote w:type="continuationSeparator" w:id="0">
    <w:p w14:paraId="3A80E657" w14:textId="77777777" w:rsidR="0029775A" w:rsidRPr="00AC3823" w:rsidRDefault="0029775A" w:rsidP="00AC3823">
      <w:pPr>
        <w:pStyle w:val="Footer"/>
      </w:pPr>
    </w:p>
  </w:endnote>
  <w:endnote w:type="continuationNotice" w:id="1">
    <w:p w14:paraId="7F50C78A" w14:textId="77777777" w:rsidR="0029775A" w:rsidRDefault="002977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6B9D" w14:textId="28516BDC" w:rsidR="0029619C" w:rsidRPr="0029619C" w:rsidRDefault="0029619C" w:rsidP="0029619C">
    <w:pPr>
      <w:pStyle w:val="Footer"/>
      <w:tabs>
        <w:tab w:val="right" w:pos="9638"/>
      </w:tabs>
    </w:pPr>
    <w:r w:rsidRPr="0029619C">
      <w:rPr>
        <w:b/>
        <w:sz w:val="18"/>
      </w:rPr>
      <w:fldChar w:fldCharType="begin"/>
    </w:r>
    <w:r w:rsidRPr="0029619C">
      <w:rPr>
        <w:b/>
        <w:sz w:val="18"/>
      </w:rPr>
      <w:instrText xml:space="preserve"> PAGE  \* MERGEFORMAT </w:instrText>
    </w:r>
    <w:r w:rsidRPr="0029619C">
      <w:rPr>
        <w:b/>
        <w:sz w:val="18"/>
      </w:rPr>
      <w:fldChar w:fldCharType="separate"/>
    </w:r>
    <w:r w:rsidRPr="0029619C">
      <w:rPr>
        <w:b/>
        <w:noProof/>
        <w:sz w:val="18"/>
      </w:rPr>
      <w:t>2</w:t>
    </w:r>
    <w:r w:rsidRPr="0029619C">
      <w:rPr>
        <w:b/>
        <w:sz w:val="18"/>
      </w:rPr>
      <w:fldChar w:fldCharType="end"/>
    </w:r>
    <w:r>
      <w:rPr>
        <w:b/>
        <w:sz w:val="18"/>
      </w:rPr>
      <w:tab/>
    </w:r>
    <w:r>
      <w:t>GE</w:t>
    </w:r>
    <w:r w:rsidR="008B77B5" w:rsidRPr="008B77B5">
      <w:t>.</w:t>
    </w:r>
    <w:r>
      <w:t>22-11616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ECD" w14:textId="5D79A046" w:rsidR="0029619C" w:rsidRPr="0029619C" w:rsidRDefault="0029619C" w:rsidP="0029619C">
    <w:pPr>
      <w:pStyle w:val="Footer"/>
      <w:tabs>
        <w:tab w:val="right" w:pos="9638"/>
      </w:tabs>
      <w:rPr>
        <w:b/>
        <w:sz w:val="18"/>
      </w:rPr>
    </w:pPr>
    <w:r>
      <w:t>GE</w:t>
    </w:r>
    <w:r w:rsidR="008B77B5" w:rsidRPr="008B77B5">
      <w:t>.</w:t>
    </w:r>
    <w:r>
      <w:t>22-11616</w:t>
    </w:r>
    <w:r>
      <w:tab/>
    </w:r>
    <w:r w:rsidRPr="0029619C">
      <w:rPr>
        <w:b/>
        <w:sz w:val="18"/>
      </w:rPr>
      <w:fldChar w:fldCharType="begin"/>
    </w:r>
    <w:r w:rsidRPr="0029619C">
      <w:rPr>
        <w:b/>
        <w:sz w:val="18"/>
      </w:rPr>
      <w:instrText xml:space="preserve"> PAGE  \* MERGEFORMAT </w:instrText>
    </w:r>
    <w:r w:rsidRPr="0029619C">
      <w:rPr>
        <w:b/>
        <w:sz w:val="18"/>
      </w:rPr>
      <w:fldChar w:fldCharType="separate"/>
    </w:r>
    <w:r w:rsidRPr="0029619C">
      <w:rPr>
        <w:b/>
        <w:noProof/>
        <w:sz w:val="18"/>
      </w:rPr>
      <w:t>3</w:t>
    </w:r>
    <w:r w:rsidRPr="002961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C672" w14:textId="7B258C33" w:rsidR="0068456F" w:rsidRPr="0029619C" w:rsidRDefault="0029619C" w:rsidP="0029619C">
    <w:pPr>
      <w:pStyle w:val="Footer"/>
      <w:spacing w:before="120"/>
      <w:rPr>
        <w:sz w:val="20"/>
      </w:rPr>
    </w:pPr>
    <w:r>
      <w:rPr>
        <w:sz w:val="20"/>
      </w:rPr>
      <w:t>GE</w:t>
    </w:r>
    <w:r w:rsidR="008B77B5" w:rsidRPr="008B77B5">
      <w:rPr>
        <w:sz w:val="20"/>
      </w:rPr>
      <w:t>.</w:t>
    </w:r>
    <w:r w:rsidR="0068456F">
      <w:rPr>
        <w:noProof/>
        <w:lang w:eastAsia="fr-CH"/>
      </w:rPr>
      <w:drawing>
        <wp:anchor distT="0" distB="0" distL="114300" distR="114300" simplePos="0" relativeHeight="251659264" behindDoc="0" locked="0" layoutInCell="1" allowOverlap="0" wp14:anchorId="1CB7B2EF" wp14:editId="28AE59F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11616  (</w:t>
    </w:r>
    <w:proofErr w:type="gramEnd"/>
    <w:r>
      <w:rPr>
        <w:sz w:val="20"/>
      </w:rPr>
      <w:t>F)</w:t>
    </w:r>
    <w:r>
      <w:rPr>
        <w:noProof/>
        <w:sz w:val="20"/>
      </w:rPr>
      <w:drawing>
        <wp:anchor distT="0" distB="0" distL="114300" distR="114300" simplePos="0" relativeHeight="251660288" behindDoc="0" locked="0" layoutInCell="1" allowOverlap="1" wp14:anchorId="595E7692" wp14:editId="754EC23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300922    031022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D178" w14:textId="77777777" w:rsidR="0029775A" w:rsidRPr="00AC3823" w:rsidRDefault="0029775A" w:rsidP="00AC3823">
      <w:pPr>
        <w:pStyle w:val="Footer"/>
        <w:tabs>
          <w:tab w:val="right" w:pos="2155"/>
        </w:tabs>
        <w:spacing w:after="80" w:line="240" w:lineRule="atLeast"/>
        <w:ind w:left="680"/>
        <w:rPr>
          <w:u w:val="single"/>
        </w:rPr>
      </w:pPr>
      <w:r>
        <w:rPr>
          <w:u w:val="single"/>
        </w:rPr>
        <w:tab/>
      </w:r>
    </w:p>
  </w:footnote>
  <w:footnote w:type="continuationSeparator" w:id="0">
    <w:p w14:paraId="45708555" w14:textId="77777777" w:rsidR="0029775A" w:rsidRPr="00AC3823" w:rsidRDefault="0029775A" w:rsidP="00AC3823">
      <w:pPr>
        <w:pStyle w:val="Footer"/>
        <w:tabs>
          <w:tab w:val="right" w:pos="2155"/>
        </w:tabs>
        <w:spacing w:after="80" w:line="240" w:lineRule="atLeast"/>
        <w:ind w:left="680"/>
        <w:rPr>
          <w:u w:val="single"/>
        </w:rPr>
      </w:pPr>
      <w:r>
        <w:rPr>
          <w:u w:val="single"/>
        </w:rPr>
        <w:tab/>
      </w:r>
    </w:p>
  </w:footnote>
  <w:footnote w:type="continuationNotice" w:id="1">
    <w:p w14:paraId="11109D3A" w14:textId="77777777" w:rsidR="0029775A" w:rsidRPr="00AC3823" w:rsidRDefault="0029775A">
      <w:pPr>
        <w:spacing w:line="240" w:lineRule="auto"/>
        <w:rPr>
          <w:sz w:val="2"/>
          <w:szCs w:val="2"/>
        </w:rPr>
      </w:pPr>
    </w:p>
  </w:footnote>
  <w:footnote w:id="2">
    <w:p w14:paraId="34251D0E" w14:textId="2870C74B" w:rsidR="00564BA0" w:rsidRDefault="00564BA0" w:rsidP="00506A9A">
      <w:pPr>
        <w:pStyle w:val="FootnoteText"/>
      </w:pPr>
      <w:r>
        <w:tab/>
      </w:r>
      <w:r w:rsidRPr="00506A9A">
        <w:rPr>
          <w:rStyle w:val="FootnoteReference"/>
        </w:rPr>
        <w:footnoteRef/>
      </w:r>
      <w:r>
        <w:tab/>
        <w:t>Pour des raisons pratiques, les annexes ont été publiées en tant qu’additif, sous la cote ST/SG/AC</w:t>
      </w:r>
      <w:r w:rsidR="008B77B5" w:rsidRPr="008B77B5">
        <w:t>.</w:t>
      </w:r>
      <w:r>
        <w:t>10/C</w:t>
      </w:r>
      <w:r w:rsidR="008B77B5" w:rsidRPr="008B77B5">
        <w:t>.</w:t>
      </w:r>
      <w:r>
        <w:t>3/120/Add</w:t>
      </w:r>
      <w:r w:rsidR="008B77B5" w:rsidRPr="008B77B5">
        <w:t>.</w:t>
      </w:r>
      <w:r>
        <w:t>1</w:t>
      </w:r>
      <w:r w:rsidR="008B77B5" w:rsidRPr="008B77B5">
        <w:t>.</w:t>
      </w:r>
    </w:p>
  </w:footnote>
  <w:footnote w:id="3">
    <w:p w14:paraId="0ED8799B" w14:textId="1C503080" w:rsidR="00564BA0" w:rsidRPr="00A93ADA" w:rsidRDefault="00564BA0" w:rsidP="00506A9A">
      <w:pPr>
        <w:pStyle w:val="FootnoteText"/>
        <w:rPr>
          <w:lang w:val="fr-FR"/>
        </w:rPr>
      </w:pPr>
      <w:r>
        <w:tab/>
      </w:r>
      <w:r w:rsidRPr="00506A9A">
        <w:rPr>
          <w:rStyle w:val="FootnoteReference"/>
        </w:rPr>
        <w:footnoteRef/>
      </w:r>
      <w:r w:rsidRPr="00A93ADA">
        <w:rPr>
          <w:lang w:val="fr-FR"/>
        </w:rPr>
        <w:t xml:space="preserve"> </w:t>
      </w:r>
      <w:r w:rsidRPr="00A93ADA">
        <w:rPr>
          <w:lang w:val="fr-FR"/>
        </w:rPr>
        <w:tab/>
        <w:t>Voir le site Web à l</w:t>
      </w:r>
      <w:r>
        <w:rPr>
          <w:lang w:val="fr-FR"/>
        </w:rPr>
        <w:t>’</w:t>
      </w:r>
      <w:r w:rsidRPr="00A93ADA">
        <w:rPr>
          <w:lang w:val="fr-FR"/>
        </w:rPr>
        <w:t xml:space="preserve">adresse suivante : </w:t>
      </w:r>
      <w:hyperlink r:id="rId1" w:history="1">
        <w:r w:rsidRPr="00BA4BBD">
          <w:rPr>
            <w:rStyle w:val="Hyperlink"/>
            <w:lang w:val="fr-FR"/>
          </w:rPr>
          <w:t>http://conf</w:t>
        </w:r>
        <w:r w:rsidR="008B77B5" w:rsidRPr="008B77B5">
          <w:rPr>
            <w:rStyle w:val="Hyperlink"/>
            <w:lang w:val="fr-FR"/>
          </w:rPr>
          <w:t>.</w:t>
        </w:r>
        <w:r w:rsidRPr="00BA4BBD">
          <w:rPr>
            <w:rStyle w:val="Hyperlink"/>
            <w:lang w:val="fr-FR"/>
          </w:rPr>
          <w:t>unog</w:t>
        </w:r>
        <w:r w:rsidR="008B77B5" w:rsidRPr="008B77B5">
          <w:rPr>
            <w:rStyle w:val="Hyperlink"/>
            <w:lang w:val="fr-FR"/>
          </w:rPr>
          <w:t>.</w:t>
        </w:r>
        <w:r w:rsidRPr="00BA4BBD">
          <w:rPr>
            <w:rStyle w:val="Hyperlink"/>
            <w:lang w:val="fr-FR"/>
          </w:rPr>
          <w:t>ch/dcmsurvey</w:t>
        </w:r>
      </w:hyperlink>
      <w:r w:rsidR="008B77B5" w:rsidRPr="008B77B5">
        <w:rPr>
          <w:rStyle w:val="Hyperlink"/>
          <w:lang w:val="fr-FR"/>
        </w:rPr>
        <w:t>.</w:t>
      </w:r>
    </w:p>
  </w:footnote>
  <w:footnote w:id="4">
    <w:p w14:paraId="21BDE8C8" w14:textId="72710BAC" w:rsidR="00564BA0" w:rsidRPr="00114845" w:rsidRDefault="00564BA0" w:rsidP="00506A9A">
      <w:pPr>
        <w:pStyle w:val="FootnoteText"/>
        <w:rPr>
          <w:lang w:val="fr-FR"/>
        </w:rPr>
      </w:pPr>
      <w:r>
        <w:tab/>
      </w:r>
      <w:r w:rsidRPr="00506A9A">
        <w:rPr>
          <w:rStyle w:val="FootnoteReference"/>
        </w:rPr>
        <w:footnoteRef/>
      </w:r>
      <w:r w:rsidRPr="00114845">
        <w:rPr>
          <w:lang w:val="fr-FR"/>
        </w:rPr>
        <w:t xml:space="preserve"> </w:t>
      </w:r>
      <w:r w:rsidRPr="00114845">
        <w:rPr>
          <w:lang w:val="fr-FR"/>
        </w:rPr>
        <w:tab/>
      </w:r>
      <w:r w:rsidRPr="00114845">
        <w:rPr>
          <w:i/>
          <w:iCs/>
          <w:lang w:val="fr-FR"/>
        </w:rPr>
        <w:t xml:space="preserve">Note du secrétariat </w:t>
      </w:r>
      <w:r w:rsidRPr="00150D8B">
        <w:rPr>
          <w:lang w:val="fr-FR"/>
        </w:rPr>
        <w:t xml:space="preserve">: </w:t>
      </w:r>
      <w:r w:rsidRPr="00114845">
        <w:rPr>
          <w:lang w:val="fr-FR"/>
        </w:rPr>
        <w:t>Le Sous-Comité SGH a examiné cette question au titre du point 2) de son ordre du jour</w:t>
      </w:r>
      <w:r w:rsidR="008B77B5" w:rsidRPr="008B77B5">
        <w:rPr>
          <w:lang w:val="fr-FR"/>
        </w:rPr>
        <w:t>.</w:t>
      </w:r>
      <w:r w:rsidRPr="00114845">
        <w:rPr>
          <w:lang w:val="fr-FR"/>
        </w:rPr>
        <w:t xml:space="preserve"> Les résultats de ce débat sont résumés aux paragraphes 26 à 28 du rapport du Sous-Comité sur sa quarante-deuxième session (document ST/SG/AC</w:t>
      </w:r>
      <w:r w:rsidR="008B77B5" w:rsidRPr="008B77B5">
        <w:rPr>
          <w:lang w:val="fr-FR"/>
        </w:rPr>
        <w:t>.</w:t>
      </w:r>
      <w:r w:rsidRPr="00114845">
        <w:rPr>
          <w:lang w:val="fr-FR"/>
        </w:rPr>
        <w:t>10/C</w:t>
      </w:r>
      <w:r w:rsidR="008B77B5" w:rsidRPr="008B77B5">
        <w:rPr>
          <w:lang w:val="fr-FR"/>
        </w:rPr>
        <w:t>.</w:t>
      </w:r>
      <w:r w:rsidRPr="00114845">
        <w:rPr>
          <w:lang w:val="fr-FR"/>
        </w:rPr>
        <w:t>4/84)</w:t>
      </w:r>
      <w:r w:rsidR="008B77B5" w:rsidRPr="008B77B5">
        <w:rPr>
          <w:lang w:val="fr-FR"/>
        </w:rPr>
        <w:t>.</w:t>
      </w:r>
    </w:p>
  </w:footnote>
  <w:footnote w:id="5">
    <w:p w14:paraId="1B5218F2" w14:textId="6258DE17" w:rsidR="00564BA0" w:rsidRPr="00C93799" w:rsidRDefault="000E1457" w:rsidP="00506A9A">
      <w:pPr>
        <w:pStyle w:val="FootnoteText"/>
        <w:rPr>
          <w:lang w:val="en-GB"/>
        </w:rPr>
      </w:pPr>
      <w:r w:rsidRPr="008B77B5">
        <w:tab/>
      </w:r>
      <w:r w:rsidR="00564BA0" w:rsidRPr="00506A9A">
        <w:rPr>
          <w:rStyle w:val="FootnoteReference"/>
        </w:rPr>
        <w:footnoteRef/>
      </w:r>
      <w:r>
        <w:rPr>
          <w:lang w:val="en-GB"/>
        </w:rPr>
        <w:tab/>
      </w:r>
      <w:hyperlink r:id="rId2" w:history="1">
        <w:r w:rsidR="00564BA0" w:rsidRPr="00C93799">
          <w:rPr>
            <w:rStyle w:val="Hyperlink"/>
            <w:lang w:val="en-GB"/>
          </w:rPr>
          <w:t>unece</w:t>
        </w:r>
        <w:r w:rsidR="008B77B5" w:rsidRPr="008B77B5">
          <w:rPr>
            <w:rStyle w:val="Hyperlink"/>
            <w:lang w:val="en-GB"/>
          </w:rPr>
          <w:t>.</w:t>
        </w:r>
        <w:r w:rsidR="00564BA0" w:rsidRPr="00C93799">
          <w:rPr>
            <w:rStyle w:val="Hyperlink"/>
            <w:lang w:val="en-GB"/>
          </w:rPr>
          <w:t>org/transport/dangerous-goods/ecosoc-bodies-dealing-chemicals-safety</w:t>
        </w:r>
      </w:hyperlink>
      <w:r w:rsidR="008B77B5" w:rsidRPr="008B77B5">
        <w:rPr>
          <w:lang w:val="en-GB"/>
        </w:rPr>
        <w:t>.</w:t>
      </w:r>
    </w:p>
  </w:footnote>
  <w:footnote w:id="6">
    <w:p w14:paraId="3793C1C0" w14:textId="064D0C80" w:rsidR="00564BA0" w:rsidRPr="008B77B5" w:rsidRDefault="00564BA0" w:rsidP="00506A9A">
      <w:pPr>
        <w:pStyle w:val="FootnoteText"/>
        <w:rPr>
          <w:lang w:val="en-GB"/>
        </w:rPr>
      </w:pPr>
      <w:r w:rsidRPr="00C93799">
        <w:rPr>
          <w:lang w:val="en-GB"/>
        </w:rPr>
        <w:tab/>
      </w:r>
      <w:r w:rsidRPr="00506A9A">
        <w:rPr>
          <w:rStyle w:val="FootnoteReference"/>
        </w:rPr>
        <w:footnoteRef/>
      </w:r>
      <w:r w:rsidRPr="008B77B5">
        <w:rPr>
          <w:lang w:val="en-GB"/>
        </w:rPr>
        <w:tab/>
      </w:r>
      <w:hyperlink r:id="rId3" w:history="1">
        <w:r w:rsidRPr="008B77B5">
          <w:rPr>
            <w:rStyle w:val="Hyperlink"/>
            <w:lang w:val="en-GB"/>
          </w:rPr>
          <w:t>www</w:t>
        </w:r>
        <w:r w:rsidR="008B77B5" w:rsidRPr="008B77B5">
          <w:rPr>
            <w:rStyle w:val="Hyperlink"/>
            <w:lang w:val="en-GB"/>
          </w:rPr>
          <w:t>.</w:t>
        </w:r>
        <w:r w:rsidRPr="008B77B5">
          <w:rPr>
            <w:rStyle w:val="Hyperlink"/>
            <w:lang w:val="en-GB"/>
          </w:rPr>
          <w:t>ivodga</w:t>
        </w:r>
        <w:r w:rsidR="008B77B5" w:rsidRPr="008B77B5">
          <w:rPr>
            <w:rStyle w:val="Hyperlink"/>
            <w:lang w:val="en-GB"/>
          </w:rPr>
          <w:t>.</w:t>
        </w:r>
        <w:r w:rsidRPr="008B77B5">
          <w:rPr>
            <w:rStyle w:val="Hyperlink"/>
            <w:lang w:val="en-GB"/>
          </w:rPr>
          <w:t>com</w:t>
        </w:r>
      </w:hyperlink>
      <w:r w:rsidR="008B77B5" w:rsidRPr="008B77B5">
        <w:rPr>
          <w:lang w:val="en-GB"/>
        </w:rPr>
        <w:t>.</w:t>
      </w:r>
    </w:p>
  </w:footnote>
  <w:footnote w:id="7">
    <w:p w14:paraId="40484C18" w14:textId="54E52C71" w:rsidR="000E1457" w:rsidRPr="008B77B5" w:rsidRDefault="000E1457">
      <w:pPr>
        <w:pStyle w:val="FootnoteText"/>
        <w:rPr>
          <w:lang w:val="en-GB"/>
        </w:rPr>
      </w:pPr>
      <w:r w:rsidRPr="008B77B5">
        <w:rPr>
          <w:lang w:val="en-GB"/>
        </w:rPr>
        <w:tab/>
      </w:r>
      <w:r w:rsidRPr="00546EFA">
        <w:rPr>
          <w:rStyle w:val="FootnoteReference"/>
        </w:rPr>
        <w:footnoteRef/>
      </w:r>
      <w:r w:rsidRPr="00546EFA">
        <w:rPr>
          <w:lang w:val="en-GB"/>
        </w:rPr>
        <w:tab/>
      </w:r>
      <w:hyperlink r:id="rId4" w:history="1">
        <w:r w:rsidRPr="00546EFA">
          <w:rPr>
            <w:rStyle w:val="Hyperlink"/>
            <w:lang w:val="en-GB"/>
          </w:rPr>
          <w:t>https://www</w:t>
        </w:r>
        <w:r w:rsidR="008B77B5" w:rsidRPr="00546EFA">
          <w:rPr>
            <w:rStyle w:val="Hyperlink"/>
            <w:lang w:val="en-GB"/>
          </w:rPr>
          <w:t>.</w:t>
        </w:r>
        <w:r w:rsidRPr="00546EFA">
          <w:rPr>
            <w:rStyle w:val="Hyperlink"/>
            <w:lang w:val="en-GB"/>
          </w:rPr>
          <w:t>aeisg</w:t>
        </w:r>
        <w:r w:rsidR="008B77B5" w:rsidRPr="00546EFA">
          <w:rPr>
            <w:rStyle w:val="Hyperlink"/>
            <w:lang w:val="en-GB"/>
          </w:rPr>
          <w:t>.</w:t>
        </w:r>
        <w:r w:rsidRPr="00546EFA">
          <w:rPr>
            <w:rStyle w:val="Hyperlink"/>
            <w:lang w:val="en-GB"/>
          </w:rPr>
          <w:t>org</w:t>
        </w:r>
        <w:r w:rsidR="008B77B5" w:rsidRPr="00546EFA">
          <w:rPr>
            <w:rStyle w:val="Hyperlink"/>
            <w:lang w:val="en-GB"/>
          </w:rPr>
          <w:t>.</w:t>
        </w:r>
        <w:r w:rsidRPr="00546EFA">
          <w:rPr>
            <w:rStyle w:val="Hyperlink"/>
            <w:lang w:val="en-GB"/>
          </w:rPr>
          <w:t>au/wp-content/uploads/STORAGE-AND-HANDLING-OF-SOLID-AMMONIUM-NITRATE-EDITION-1-JUNE-2022</w:t>
        </w:r>
        <w:r w:rsidR="008B77B5" w:rsidRPr="00546EFA">
          <w:rPr>
            <w:rStyle w:val="Hyperlink"/>
            <w:lang w:val="en-GB"/>
          </w:rPr>
          <w:t>.</w:t>
        </w:r>
        <w:r w:rsidRPr="00546EFA">
          <w:rPr>
            <w:rStyle w:val="Hyperlink"/>
            <w:lang w:val="en-GB"/>
          </w:rPr>
          <w:t>pdf</w:t>
        </w:r>
      </w:hyperlink>
      <w:r w:rsidR="008B77B5" w:rsidRPr="00546EFA">
        <w:rPr>
          <w:rStyle w:val="Hyperlink"/>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C08" w14:textId="383A041A" w:rsidR="0029619C" w:rsidRPr="0029619C" w:rsidRDefault="00BE7E7A">
    <w:pPr>
      <w:pStyle w:val="Header"/>
    </w:pPr>
    <w:r>
      <w:fldChar w:fldCharType="begin"/>
    </w:r>
    <w:r>
      <w:instrText xml:space="preserve"> TITLE  \* MERGEFORMAT </w:instrText>
    </w:r>
    <w:r>
      <w:fldChar w:fldCharType="separate"/>
    </w:r>
    <w:r>
      <w:t>ST/SG/AC.10/C.3/120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3A22" w14:textId="64A356B2" w:rsidR="0029619C" w:rsidRPr="0029619C" w:rsidRDefault="00BE7E7A" w:rsidP="0029619C">
    <w:pPr>
      <w:pStyle w:val="Header"/>
      <w:jc w:val="right"/>
    </w:pPr>
    <w:r>
      <w:fldChar w:fldCharType="begin"/>
    </w:r>
    <w:r>
      <w:instrText xml:space="preserve"> TITLE  \* MERGEFORMAT </w:instrText>
    </w:r>
    <w:r>
      <w:fldChar w:fldCharType="separate"/>
    </w:r>
    <w:r>
      <w:t>ST/SG/AC.10/C.3/120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71D1"/>
    <w:multiLevelType w:val="hybridMultilevel"/>
    <w:tmpl w:val="1458DF50"/>
    <w:lvl w:ilvl="0" w:tplc="FFFFFFFF">
      <w:start w:val="1"/>
      <w:numFmt w:val="decimal"/>
      <w:lvlText w:val="%1."/>
      <w:lvlJc w:val="left"/>
      <w:pPr>
        <w:ind w:left="1980" w:hanging="42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1EF74A3"/>
    <w:multiLevelType w:val="hybridMultilevel"/>
    <w:tmpl w:val="9288DDE0"/>
    <w:lvl w:ilvl="0" w:tplc="26307F00">
      <w:start w:val="1"/>
      <w:numFmt w:val="decimal"/>
      <w:lvlText w:val="%1."/>
      <w:lvlJc w:val="left"/>
      <w:pPr>
        <w:ind w:left="1566" w:hanging="432"/>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6D47458"/>
    <w:multiLevelType w:val="hybridMultilevel"/>
    <w:tmpl w:val="1458DF50"/>
    <w:lvl w:ilvl="0" w:tplc="7D6AC1AA">
      <w:start w:val="1"/>
      <w:numFmt w:val="decimal"/>
      <w:lvlText w:val="%1."/>
      <w:lvlJc w:val="left"/>
      <w:pPr>
        <w:ind w:left="1980" w:hanging="42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6" w15:restartNumberingAfterBreak="0">
    <w:nsid w:val="77CF1568"/>
    <w:multiLevelType w:val="hybridMultilevel"/>
    <w:tmpl w:val="1458DF50"/>
    <w:lvl w:ilvl="0" w:tplc="FFFFFFFF">
      <w:start w:val="1"/>
      <w:numFmt w:val="decimal"/>
      <w:lvlText w:val="%1."/>
      <w:lvlJc w:val="left"/>
      <w:pPr>
        <w:ind w:left="1980" w:hanging="42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1"/>
  </w:num>
  <w:num w:numId="17">
    <w:abstractNumId w:val="15"/>
  </w:num>
  <w:num w:numId="18">
    <w:abstractNumId w:val="10"/>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5A"/>
    <w:rsid w:val="00017F94"/>
    <w:rsid w:val="00023842"/>
    <w:rsid w:val="000305D3"/>
    <w:rsid w:val="000334F9"/>
    <w:rsid w:val="000514C2"/>
    <w:rsid w:val="0007796D"/>
    <w:rsid w:val="000B7790"/>
    <w:rsid w:val="000E1457"/>
    <w:rsid w:val="00111F2F"/>
    <w:rsid w:val="00125D50"/>
    <w:rsid w:val="00132EA9"/>
    <w:rsid w:val="0014365E"/>
    <w:rsid w:val="00150D8B"/>
    <w:rsid w:val="00172E49"/>
    <w:rsid w:val="00176178"/>
    <w:rsid w:val="001F525A"/>
    <w:rsid w:val="00223272"/>
    <w:rsid w:val="0024779E"/>
    <w:rsid w:val="00283190"/>
    <w:rsid w:val="002832AC"/>
    <w:rsid w:val="0029619C"/>
    <w:rsid w:val="0029775A"/>
    <w:rsid w:val="002A3484"/>
    <w:rsid w:val="002D7C93"/>
    <w:rsid w:val="003F1A66"/>
    <w:rsid w:val="00441C3B"/>
    <w:rsid w:val="00446FE5"/>
    <w:rsid w:val="004518E1"/>
    <w:rsid w:val="00452396"/>
    <w:rsid w:val="004E468C"/>
    <w:rsid w:val="00506A9A"/>
    <w:rsid w:val="00546EFA"/>
    <w:rsid w:val="005505B7"/>
    <w:rsid w:val="005648BE"/>
    <w:rsid w:val="00564BA0"/>
    <w:rsid w:val="00573BE5"/>
    <w:rsid w:val="00584DC4"/>
    <w:rsid w:val="00586ED3"/>
    <w:rsid w:val="00596AA9"/>
    <w:rsid w:val="005A0064"/>
    <w:rsid w:val="005E3B4E"/>
    <w:rsid w:val="00657122"/>
    <w:rsid w:val="0068456F"/>
    <w:rsid w:val="006E2699"/>
    <w:rsid w:val="006F7E02"/>
    <w:rsid w:val="0071601D"/>
    <w:rsid w:val="007A62E6"/>
    <w:rsid w:val="007D6C46"/>
    <w:rsid w:val="0080684C"/>
    <w:rsid w:val="008123E0"/>
    <w:rsid w:val="008319B0"/>
    <w:rsid w:val="00871C75"/>
    <w:rsid w:val="008776DC"/>
    <w:rsid w:val="008B40CD"/>
    <w:rsid w:val="008B77B5"/>
    <w:rsid w:val="008D22ED"/>
    <w:rsid w:val="009705C8"/>
    <w:rsid w:val="009B0C7D"/>
    <w:rsid w:val="009C1CF4"/>
    <w:rsid w:val="00A30353"/>
    <w:rsid w:val="00A81281"/>
    <w:rsid w:val="00AA3C11"/>
    <w:rsid w:val="00AC3823"/>
    <w:rsid w:val="00AE323C"/>
    <w:rsid w:val="00B00181"/>
    <w:rsid w:val="00B00B0D"/>
    <w:rsid w:val="00B37F25"/>
    <w:rsid w:val="00B765F7"/>
    <w:rsid w:val="00BA0CA9"/>
    <w:rsid w:val="00BA4BBD"/>
    <w:rsid w:val="00BE7E7A"/>
    <w:rsid w:val="00C02897"/>
    <w:rsid w:val="00CE614F"/>
    <w:rsid w:val="00D3439C"/>
    <w:rsid w:val="00DB1831"/>
    <w:rsid w:val="00DD3BFD"/>
    <w:rsid w:val="00DE3355"/>
    <w:rsid w:val="00DF6678"/>
    <w:rsid w:val="00E073C1"/>
    <w:rsid w:val="00E23006"/>
    <w:rsid w:val="00E43A8C"/>
    <w:rsid w:val="00E50E8D"/>
    <w:rsid w:val="00EA2862"/>
    <w:rsid w:val="00EF2E22"/>
    <w:rsid w:val="00F01738"/>
    <w:rsid w:val="00F660DF"/>
    <w:rsid w:val="00F730C8"/>
    <w:rsid w:val="00F878B0"/>
    <w:rsid w:val="00F95C08"/>
    <w:rsid w:val="00FF7E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15088"/>
  <w15:docId w15:val="{03D6B4BC-801F-43EE-BA70-171A85CE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564BA0"/>
    <w:rPr>
      <w:color w:val="605E5C"/>
      <w:shd w:val="clear" w:color="auto" w:fill="E1DFDD"/>
    </w:rPr>
  </w:style>
  <w:style w:type="paragraph" w:styleId="ListParagraph">
    <w:name w:val="List Paragraph"/>
    <w:basedOn w:val="Normal"/>
    <w:uiPriority w:val="34"/>
    <w:semiHidden/>
    <w:qFormat/>
    <w:rsid w:val="00564BA0"/>
    <w:pPr>
      <w:ind w:left="720"/>
      <w:contextualSpacing/>
    </w:pPr>
  </w:style>
  <w:style w:type="character" w:customStyle="1" w:styleId="SingleTxtGChar">
    <w:name w:val="_ Single Txt_G Char"/>
    <w:link w:val="SingleTxtG"/>
    <w:qFormat/>
    <w:rsid w:val="00564BA0"/>
    <w:rPr>
      <w:rFonts w:ascii="Times New Roman" w:eastAsiaTheme="minorHAnsi" w:hAnsi="Times New Roman" w:cs="Times New Roman"/>
      <w:sz w:val="20"/>
      <w:szCs w:val="20"/>
      <w:lang w:eastAsia="en-US"/>
    </w:rPr>
  </w:style>
  <w:style w:type="character" w:customStyle="1" w:styleId="H1GChar">
    <w:name w:val="_ H_1_G Char"/>
    <w:link w:val="H1G"/>
    <w:rsid w:val="00564BA0"/>
    <w:rPr>
      <w:rFonts w:ascii="Times New Roman" w:eastAsiaTheme="minorHAnsi" w:hAnsi="Times New Roman" w:cs="Times New Roman"/>
      <w:b/>
      <w:sz w:val="24"/>
      <w:szCs w:val="20"/>
      <w:lang w:eastAsia="en-US"/>
    </w:rPr>
  </w:style>
  <w:style w:type="character" w:customStyle="1" w:styleId="H23GChar">
    <w:name w:val="_ H_2/3_G Char"/>
    <w:link w:val="H23G"/>
    <w:rsid w:val="00564BA0"/>
    <w:rPr>
      <w:rFonts w:ascii="Times New Roman" w:eastAsiaTheme="minorHAnsi" w:hAnsi="Times New Roman" w:cs="Times New Roman"/>
      <w:b/>
      <w:sz w:val="20"/>
      <w:szCs w:val="20"/>
      <w:lang w:eastAsia="en-US"/>
    </w:rPr>
  </w:style>
  <w:style w:type="character" w:customStyle="1" w:styleId="HChGChar">
    <w:name w:val="_ H _Ch_G Char"/>
    <w:link w:val="HChG"/>
    <w:qFormat/>
    <w:rsid w:val="002A3484"/>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vodga.com" TargetMode="External"/><Relationship Id="rId2" Type="http://schemas.openxmlformats.org/officeDocument/2006/relationships/hyperlink" Target="https://unece.org/transport/dangerous-goods/ecosoc-bodies-dealing-chemicals-safety" TargetMode="External"/><Relationship Id="rId1" Type="http://schemas.openxmlformats.org/officeDocument/2006/relationships/hyperlink" Target="http://conf.unog.ch/dcmsurvey" TargetMode="External"/><Relationship Id="rId4" Type="http://schemas.openxmlformats.org/officeDocument/2006/relationships/hyperlink" Target="https://www.aeisg.org.au/wp-content/uploads/STORAGE-AND-HANDLING-OF-SOLID-AMMONIUM-NITRATE-EDITION-1-JUN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12234</Words>
  <Characters>69740</Characters>
  <Application>Microsoft Office Word</Application>
  <DocSecurity>0</DocSecurity>
  <Lines>581</Lines>
  <Paragraphs>163</Paragraphs>
  <ScaleCrop>false</ScaleCrop>
  <HeadingPairs>
    <vt:vector size="2" baseType="variant">
      <vt:variant>
        <vt:lpstr>Titre</vt:lpstr>
      </vt:variant>
      <vt:variant>
        <vt:i4>1</vt:i4>
      </vt:variant>
    </vt:vector>
  </HeadingPairs>
  <TitlesOfParts>
    <vt:vector size="1" baseType="lpstr">
      <vt:lpstr>ST/SG/AC.10/C.3/120</vt:lpstr>
    </vt:vector>
  </TitlesOfParts>
  <Company>DCM</Company>
  <LinksUpToDate>false</LinksUpToDate>
  <CharactersWithSpaces>81811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ST/SG/AC.10/C.3/120</dc:title>
  <dc:subject/>
  <dc:creator>Maud DARICHE</dc:creator>
  <cp:keywords/>
  <cp:lastModifiedBy>Laurence Berthet</cp:lastModifiedBy>
  <cp:revision>3</cp:revision>
  <cp:lastPrinted>2022-11-08T11:02:00Z</cp:lastPrinted>
  <dcterms:created xsi:type="dcterms:W3CDTF">2022-11-08T11:02:00Z</dcterms:created>
  <dcterms:modified xsi:type="dcterms:W3CDTF">2022-11-08T11:02:00Z</dcterms:modified>
</cp:coreProperties>
</file>