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E3783" w:rsidRPr="00DB58B5" w14:paraId="09C475B6" w14:textId="77777777" w:rsidTr="00604256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363B2F8" w14:textId="77777777" w:rsidR="007E3783" w:rsidRPr="00DB58B5" w:rsidRDefault="007E3783" w:rsidP="0002432E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D0AFE23" w14:textId="0B4707A0" w:rsidR="007E3783" w:rsidRPr="00DB58B5" w:rsidRDefault="007E3783" w:rsidP="007E3783">
            <w:pPr>
              <w:jc w:val="right"/>
            </w:pPr>
            <w:r w:rsidRPr="007E3783">
              <w:rPr>
                <w:sz w:val="40"/>
              </w:rPr>
              <w:t>E</w:t>
            </w:r>
            <w:r>
              <w:t>/ECE/TRANS/505/Rev.3/Add.148/Amend.4</w:t>
            </w:r>
          </w:p>
        </w:tc>
      </w:tr>
      <w:tr w:rsidR="0080236C" w:rsidRPr="00DB58B5" w14:paraId="7918C5E5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E48E4C" w14:textId="67ADFAE3" w:rsidR="0080236C" w:rsidRPr="00DB58B5" w:rsidRDefault="0080236C" w:rsidP="007E3783"/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B33E8E0" w14:textId="23B4BC71" w:rsidR="0080236C" w:rsidRPr="007E3783" w:rsidRDefault="0080236C" w:rsidP="007E3783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79CF76" w14:textId="4519426D" w:rsidR="007E3783" w:rsidRPr="00DB58B5" w:rsidRDefault="007E3783" w:rsidP="007E3783">
            <w:pPr>
              <w:spacing w:before="840" w:line="240" w:lineRule="exact"/>
            </w:pPr>
            <w:r>
              <w:t>2 septembre 2022</w:t>
            </w:r>
          </w:p>
        </w:tc>
      </w:tr>
    </w:tbl>
    <w:p w14:paraId="3BD25755" w14:textId="77777777" w:rsidR="007E3783" w:rsidRPr="006549FF" w:rsidRDefault="007E3783" w:rsidP="007E3783">
      <w:pPr>
        <w:pStyle w:val="HChG"/>
      </w:pPr>
      <w:r>
        <w:tab/>
      </w:r>
      <w:r>
        <w:tab/>
      </w:r>
      <w:r w:rsidRPr="006549FF">
        <w:t>Accord</w:t>
      </w:r>
    </w:p>
    <w:p w14:paraId="0F6D2129" w14:textId="5D36CD01" w:rsidR="007E3783" w:rsidRPr="00583D68" w:rsidRDefault="007E3783" w:rsidP="007E3783">
      <w:pPr>
        <w:pStyle w:val="H1G"/>
      </w:pPr>
      <w:r w:rsidRPr="00FF1C53">
        <w:rPr>
          <w:spacing w:val="-3"/>
        </w:rPr>
        <w:tab/>
      </w:r>
      <w:r w:rsidRPr="00FF1C53">
        <w:rPr>
          <w:spacing w:val="-3"/>
        </w:rPr>
        <w:tab/>
        <w:t xml:space="preserve">Concernant </w:t>
      </w:r>
      <w:r w:rsidRPr="00FF1C53">
        <w:rPr>
          <w:spacing w:val="-3"/>
          <w:lang w:val="fr-FR"/>
        </w:rPr>
        <w:t>l</w:t>
      </w:r>
      <w:r w:rsidRPr="00FF1C53">
        <w:rPr>
          <w:b w:val="0"/>
          <w:spacing w:val="-3"/>
          <w:lang w:val="fr-FR"/>
        </w:rPr>
        <w:t>’</w:t>
      </w:r>
      <w:r w:rsidRPr="00FF1C53">
        <w:rPr>
          <w:spacing w:val="-3"/>
          <w:lang w:val="fr-FR"/>
        </w:rPr>
        <w:t>adoption de Règlements techniques harmonisés de l</w:t>
      </w:r>
      <w:r w:rsidRPr="00FF1C53">
        <w:rPr>
          <w:b w:val="0"/>
          <w:spacing w:val="-3"/>
          <w:lang w:val="fr-FR"/>
        </w:rPr>
        <w:t>’</w:t>
      </w:r>
      <w:r w:rsidRPr="00FF1C53">
        <w:rPr>
          <w:spacing w:val="-3"/>
          <w:lang w:val="fr-FR"/>
        </w:rPr>
        <w:t>ONU</w:t>
      </w:r>
      <w:r w:rsidRPr="009A2B58">
        <w:rPr>
          <w:lang w:val="fr-FR"/>
        </w:rPr>
        <w:t xml:space="preserve"> </w:t>
      </w:r>
      <w:r w:rsidRPr="00FF1C53">
        <w:rPr>
          <w:spacing w:val="2"/>
          <w:lang w:val="fr-FR"/>
        </w:rPr>
        <w:t xml:space="preserve">applicables aux véhicules à roues et aux équipements et pièces </w:t>
      </w:r>
      <w:r w:rsidRPr="009A2B58">
        <w:rPr>
          <w:lang w:val="fr-FR"/>
        </w:rPr>
        <w:t>susceptibles d</w:t>
      </w:r>
      <w:r>
        <w:rPr>
          <w:b w:val="0"/>
          <w:lang w:val="fr-FR"/>
        </w:rPr>
        <w:t>’</w:t>
      </w:r>
      <w:r w:rsidRPr="009A2B58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Pr="007E378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89DEE18" w14:textId="77777777" w:rsidR="007E3783" w:rsidRPr="00A12483" w:rsidRDefault="007E3783" w:rsidP="007E3783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>
        <w:t> </w:t>
      </w:r>
      <w:r w:rsidRPr="009A2B58">
        <w:rPr>
          <w:lang w:val="fr-FR"/>
        </w:rPr>
        <w:t>3, comprenant les amendements entrés en vigueur le 14</w:t>
      </w:r>
      <w:r>
        <w:rPr>
          <w:lang w:val="fr-FR"/>
        </w:rPr>
        <w:t> </w:t>
      </w:r>
      <w:r w:rsidRPr="009A2B58">
        <w:rPr>
          <w:lang w:val="fr-FR"/>
        </w:rPr>
        <w:t>septembre 2017</w:t>
      </w:r>
      <w:r w:rsidRPr="006549FF">
        <w:t>)</w:t>
      </w:r>
    </w:p>
    <w:p w14:paraId="0DC40482" w14:textId="77777777" w:rsidR="007E3783" w:rsidRPr="006549FF" w:rsidRDefault="007E3783" w:rsidP="007E3783">
      <w:pPr>
        <w:jc w:val="center"/>
      </w:pPr>
      <w:r>
        <w:t>_______________</w:t>
      </w:r>
    </w:p>
    <w:p w14:paraId="33EDB762" w14:textId="30E64BE3" w:rsidR="007E3783" w:rsidRPr="006549FF" w:rsidRDefault="007E3783" w:rsidP="007E3783">
      <w:pPr>
        <w:pStyle w:val="HChG"/>
      </w:pPr>
      <w:r>
        <w:tab/>
      </w:r>
      <w:r>
        <w:tab/>
      </w:r>
      <w:r w:rsidRPr="006549FF">
        <w:t>Additif</w:t>
      </w:r>
      <w:r>
        <w:t> </w:t>
      </w:r>
      <w:r>
        <w:t>148</w:t>
      </w:r>
      <w:r>
        <w:t> </w:t>
      </w:r>
      <w:r w:rsidRPr="006549FF">
        <w:t>: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</w:t>
      </w:r>
      <w:r>
        <w:t>149</w:t>
      </w:r>
    </w:p>
    <w:p w14:paraId="41A1015E" w14:textId="633677D1" w:rsidR="007E3783" w:rsidRPr="006549FF" w:rsidRDefault="007E3783" w:rsidP="007E3783">
      <w:pPr>
        <w:pStyle w:val="H1G"/>
      </w:pPr>
      <w:r>
        <w:tab/>
      </w:r>
      <w:r>
        <w:tab/>
      </w:r>
      <w:r>
        <w:t>Amendement</w:t>
      </w:r>
      <w:r>
        <w:t> </w:t>
      </w:r>
      <w:r>
        <w:t>4</w:t>
      </w:r>
    </w:p>
    <w:p w14:paraId="58BE5A06" w14:textId="0254DD65" w:rsidR="007E3783" w:rsidRPr="004A7E44" w:rsidRDefault="007E3783" w:rsidP="007E3783">
      <w:pPr>
        <w:pStyle w:val="SingleTxtG"/>
        <w:spacing w:after="0"/>
      </w:pPr>
      <w:r>
        <w:t>Complément </w:t>
      </w:r>
      <w:r>
        <w:rPr>
          <w:spacing w:val="-2"/>
          <w:lang w:val="fr-FR"/>
        </w:rPr>
        <w:t>4</w:t>
      </w:r>
      <w:r w:rsidRPr="007F1DF1">
        <w:rPr>
          <w:spacing w:val="-2"/>
          <w:lang w:val="fr-FR"/>
        </w:rPr>
        <w:t xml:space="preserve"> </w:t>
      </w:r>
      <w:r w:rsidRPr="009A2B58">
        <w:rPr>
          <w:spacing w:val="-2"/>
          <w:lang w:val="fr-FR"/>
        </w:rPr>
        <w:t xml:space="preserve">à la </w:t>
      </w:r>
      <w:r>
        <w:rPr>
          <w:spacing w:val="-2"/>
          <w:lang w:val="fr-FR"/>
        </w:rPr>
        <w:t xml:space="preserve">version originale du Règlement − </w:t>
      </w:r>
      <w:r w:rsidRPr="007F1DF1">
        <w:rPr>
          <w:spacing w:val="-2"/>
          <w:lang w:val="fr-FR"/>
        </w:rPr>
        <w:t xml:space="preserve">Date </w:t>
      </w:r>
      <w:r w:rsidRPr="009A2B58">
        <w:rPr>
          <w:spacing w:val="-2"/>
          <w:lang w:val="fr-FR"/>
        </w:rPr>
        <w:t>d</w:t>
      </w:r>
      <w:r>
        <w:rPr>
          <w:spacing w:val="-2"/>
          <w:lang w:val="fr-FR"/>
        </w:rPr>
        <w:t>’</w:t>
      </w:r>
      <w:r w:rsidRPr="009A2B58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</w:t>
      </w:r>
      <w:r w:rsidRPr="009A2B58">
        <w:rPr>
          <w:spacing w:val="-2"/>
          <w:lang w:val="fr-FR"/>
        </w:rPr>
        <w:t>:</w:t>
      </w:r>
      <w:r w:rsidRPr="007F1DF1">
        <w:rPr>
          <w:spacing w:val="-2"/>
          <w:lang w:val="fr-FR"/>
        </w:rPr>
        <w:t xml:space="preserve"> </w:t>
      </w:r>
      <w:r w:rsidRPr="007F1DF1">
        <w:rPr>
          <w:lang w:val="fr-FR"/>
        </w:rPr>
        <w:t>22</w:t>
      </w:r>
      <w:r>
        <w:rPr>
          <w:lang w:val="fr-FR"/>
        </w:rPr>
        <w:t> </w:t>
      </w:r>
      <w:r w:rsidRPr="009A2B58">
        <w:rPr>
          <w:lang w:val="fr-FR"/>
        </w:rPr>
        <w:t>juin</w:t>
      </w:r>
      <w:r w:rsidRPr="007F1DF1">
        <w:rPr>
          <w:lang w:val="fr-FR"/>
        </w:rPr>
        <w:t xml:space="preserve"> 2022</w:t>
      </w:r>
    </w:p>
    <w:p w14:paraId="19908115" w14:textId="73FA9649" w:rsidR="007E3783" w:rsidRDefault="007E3783" w:rsidP="007E3783">
      <w:pPr>
        <w:pStyle w:val="H1G"/>
      </w:pPr>
      <w:r>
        <w:tab/>
      </w:r>
      <w:r>
        <w:tab/>
      </w:r>
      <w:r w:rsidRPr="007619D3">
        <w:t xml:space="preserve">Prescriptions uniformes relatives </w:t>
      </w:r>
      <w:r w:rsidRPr="009A2B58">
        <w:rPr>
          <w:lang w:val="fr-FR"/>
        </w:rPr>
        <w:t>à l</w:t>
      </w:r>
      <w:r>
        <w:rPr>
          <w:b w:val="0"/>
          <w:lang w:val="fr-FR"/>
        </w:rPr>
        <w:t>’</w:t>
      </w:r>
      <w:r w:rsidRPr="009A2B58">
        <w:rPr>
          <w:lang w:val="fr-FR"/>
        </w:rPr>
        <w:t xml:space="preserve">homologation </w:t>
      </w:r>
      <w:r w:rsidRPr="008E75B9">
        <w:rPr>
          <w:szCs w:val="18"/>
          <w:lang w:val="fr-FR"/>
        </w:rPr>
        <w:t>des dispositifs (feux)</w:t>
      </w:r>
      <w:r>
        <w:rPr>
          <w:szCs w:val="18"/>
          <w:lang w:val="fr-FR"/>
        </w:rPr>
        <w:t xml:space="preserve"> </w:t>
      </w:r>
      <w:r w:rsidRPr="008E75B9">
        <w:rPr>
          <w:szCs w:val="18"/>
          <w:lang w:val="fr-FR"/>
        </w:rPr>
        <w:t>et systèmes d</w:t>
      </w:r>
      <w:r>
        <w:rPr>
          <w:b w:val="0"/>
          <w:szCs w:val="18"/>
          <w:lang w:val="fr-FR"/>
        </w:rPr>
        <w:t>’</w:t>
      </w:r>
      <w:r w:rsidRPr="008E75B9">
        <w:rPr>
          <w:szCs w:val="18"/>
          <w:lang w:val="fr-FR"/>
        </w:rPr>
        <w:t>éclairage de la route pour les véhicules à moteur</w:t>
      </w:r>
    </w:p>
    <w:p w14:paraId="57B4C17E" w14:textId="5F122F54" w:rsidR="007E3783" w:rsidRDefault="007E3783" w:rsidP="007E3783">
      <w:pPr>
        <w:pStyle w:val="SingleTxtG"/>
        <w:ind w:firstLine="567"/>
      </w:pPr>
      <w:r w:rsidRPr="008A3482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8A3482">
        <w:rPr>
          <w:spacing w:val="-4"/>
          <w:lang w:val="fr-FR" w:eastAsia="en-GB"/>
        </w:rPr>
        <w:t>information. Le texte authentique, juridiquement contraignant, est celui du document</w:t>
      </w:r>
      <w:r w:rsidRPr="00DD0922">
        <w:rPr>
          <w:lang w:val="fr-FR" w:eastAsia="en-GB"/>
        </w:rPr>
        <w:t xml:space="preserve"> ECE/TRANS/WP.29/2021/95</w:t>
      </w:r>
      <w:r w:rsidRPr="007F1DF1">
        <w:rPr>
          <w:spacing w:val="-6"/>
          <w:lang w:val="fr-FR" w:eastAsia="en-GB"/>
        </w:rPr>
        <w:t>.</w:t>
      </w:r>
    </w:p>
    <w:p w14:paraId="4C6FE7D3" w14:textId="57AE9017" w:rsidR="007E3783" w:rsidRDefault="003431E9" w:rsidP="007E3783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D85C" wp14:editId="2EF3C249">
                <wp:simplePos x="0" y="0"/>
                <wp:positionH relativeFrom="margin">
                  <wp:posOffset>0</wp:posOffset>
                </wp:positionH>
                <wp:positionV relativeFrom="margin">
                  <wp:posOffset>6324296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3D76" w14:textId="77777777" w:rsidR="007E3783" w:rsidRPr="0029791D" w:rsidRDefault="007E3783" w:rsidP="007E3783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3C7A918" w14:textId="77777777" w:rsidR="007E3783" w:rsidRDefault="007E3783" w:rsidP="007E378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4D014D1" wp14:editId="1DBB7709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EAD4D" w14:textId="77777777" w:rsidR="007E3783" w:rsidRDefault="007E3783" w:rsidP="007E3783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D85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8pt;width:481.8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" stroked="f">
                <v:textbox inset="0,0,0,0">
                  <w:txbxContent>
                    <w:p w14:paraId="3B493D76" w14:textId="77777777" w:rsidR="007E3783" w:rsidRPr="0029791D" w:rsidRDefault="007E3783" w:rsidP="007E3783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3C7A918" w14:textId="77777777" w:rsidR="007E3783" w:rsidRDefault="007E3783" w:rsidP="007E378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4D014D1" wp14:editId="1DBB7709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AEAD4D" w14:textId="77777777" w:rsidR="007E3783" w:rsidRDefault="007E3783" w:rsidP="007E3783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3783">
        <w:br w:type="page"/>
      </w:r>
    </w:p>
    <w:p w14:paraId="7C1D5673" w14:textId="77777777" w:rsidR="007E3783" w:rsidRPr="009A2B58" w:rsidRDefault="007E3783" w:rsidP="007E3783">
      <w:pPr>
        <w:pStyle w:val="SingleTxtG"/>
        <w:rPr>
          <w:lang w:val="fr-FR"/>
        </w:rPr>
      </w:pPr>
      <w:r w:rsidRPr="009A2B58">
        <w:rPr>
          <w:i/>
          <w:iCs/>
          <w:lang w:val="fr-FR"/>
        </w:rPr>
        <w:lastRenderedPageBreak/>
        <w:t>Ajouter le nouveau paragraphe</w:t>
      </w:r>
      <w:r>
        <w:rPr>
          <w:i/>
          <w:iCs/>
          <w:lang w:val="fr-FR"/>
        </w:rPr>
        <w:t> </w:t>
      </w:r>
      <w:r w:rsidRPr="009A2B58">
        <w:rPr>
          <w:i/>
          <w:iCs/>
          <w:lang w:val="fr-FR"/>
        </w:rPr>
        <w:t>3.2.5</w:t>
      </w:r>
      <w:r w:rsidRPr="009A2B58">
        <w:rPr>
          <w:lang w:val="fr-FR"/>
        </w:rPr>
        <w:t>, libellé comme suit :</w:t>
      </w:r>
    </w:p>
    <w:p w14:paraId="0C8A80F4" w14:textId="198E05E0" w:rsidR="007E3783" w:rsidRPr="009A2B58" w:rsidRDefault="007E3783" w:rsidP="007E3783">
      <w:pPr>
        <w:pStyle w:val="SingleTxtG"/>
        <w:ind w:left="2268" w:hanging="1134"/>
        <w:rPr>
          <w:lang w:val="fr-FR"/>
        </w:rPr>
      </w:pPr>
      <w:r w:rsidRPr="009A2B58">
        <w:rPr>
          <w:lang w:val="fr-FR"/>
        </w:rPr>
        <w:t>« 3.2.5</w:t>
      </w:r>
      <w:r w:rsidRPr="009A2B58">
        <w:rPr>
          <w:lang w:val="fr-FR"/>
        </w:rPr>
        <w:tab/>
      </w:r>
      <w:r w:rsidR="00613C50">
        <w:rPr>
          <w:lang w:val="fr-FR"/>
        </w:rPr>
        <w:tab/>
      </w:r>
      <w:r w:rsidRPr="009A2B58">
        <w:rPr>
          <w:lang w:val="fr-FR"/>
        </w:rPr>
        <w:t>Dans le cas des feux d</w:t>
      </w:r>
      <w:r>
        <w:rPr>
          <w:lang w:val="fr-FR"/>
        </w:rPr>
        <w:t>’</w:t>
      </w:r>
      <w:r w:rsidRPr="009A2B58">
        <w:rPr>
          <w:lang w:val="fr-FR"/>
        </w:rPr>
        <w:t>angle :</w:t>
      </w:r>
    </w:p>
    <w:p w14:paraId="4BE95091" w14:textId="5887CE56" w:rsidR="00446FE5" w:rsidRDefault="007E3783" w:rsidP="007E3783">
      <w:pPr>
        <w:pStyle w:val="SingleTxtG"/>
        <w:ind w:left="2268"/>
        <w:rPr>
          <w:lang w:val="fr-FR"/>
        </w:rPr>
      </w:pPr>
      <w:r w:rsidRPr="009A2B58">
        <w:rPr>
          <w:lang w:val="fr-FR"/>
        </w:rPr>
        <w:t>Lorsque deux ou plusieurs feux font partie du même ensemble de feux groupés, combinés ou mutuellement incorporés, l</w:t>
      </w:r>
      <w:r>
        <w:rPr>
          <w:lang w:val="fr-FR"/>
        </w:rPr>
        <w:t>’</w:t>
      </w:r>
      <w:r w:rsidRPr="009A2B58">
        <w:rPr>
          <w:lang w:val="fr-FR"/>
        </w:rPr>
        <w:t>homologation ne peut être accordée que si chacun de ces feux satisfait aux prescriptions du présent Règlement ou d</w:t>
      </w:r>
      <w:r>
        <w:rPr>
          <w:lang w:val="fr-FR"/>
        </w:rPr>
        <w:t>’</w:t>
      </w:r>
      <w:r w:rsidRPr="009A2B58">
        <w:rPr>
          <w:lang w:val="fr-FR"/>
        </w:rPr>
        <w:t>un autre Règlement. Les feux qui ne satisfont à aucun de ces Règlements ne doivent pas faire partie de cet ensemble de feux groupés, combinés ou mutuellement incorporés. ».</w:t>
      </w:r>
    </w:p>
    <w:p w14:paraId="6D039BC5" w14:textId="3E7BCF4D" w:rsidR="007E3783" w:rsidRPr="007E3783" w:rsidRDefault="007E3783" w:rsidP="007E378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E3783" w:rsidRPr="007E3783" w:rsidSect="007E37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6E6A" w14:textId="77777777" w:rsidR="00C3649B" w:rsidRDefault="00C3649B" w:rsidP="00F95C08">
      <w:pPr>
        <w:spacing w:line="240" w:lineRule="auto"/>
      </w:pPr>
    </w:p>
  </w:endnote>
  <w:endnote w:type="continuationSeparator" w:id="0">
    <w:p w14:paraId="07A9F215" w14:textId="77777777" w:rsidR="00C3649B" w:rsidRPr="00AC3823" w:rsidRDefault="00C3649B" w:rsidP="00AC3823">
      <w:pPr>
        <w:pStyle w:val="Pieddepage"/>
      </w:pPr>
    </w:p>
  </w:endnote>
  <w:endnote w:type="continuationNotice" w:id="1">
    <w:p w14:paraId="51FF8D0D" w14:textId="77777777" w:rsidR="00C3649B" w:rsidRDefault="00C364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E32A" w14:textId="5C306FDE" w:rsidR="007E3783" w:rsidRPr="007E3783" w:rsidRDefault="007E3783" w:rsidP="007E3783">
    <w:pPr>
      <w:pStyle w:val="Pieddepage"/>
      <w:tabs>
        <w:tab w:val="right" w:pos="9638"/>
      </w:tabs>
    </w:pPr>
    <w:r w:rsidRPr="007E3783">
      <w:rPr>
        <w:b/>
        <w:sz w:val="18"/>
      </w:rPr>
      <w:fldChar w:fldCharType="begin"/>
    </w:r>
    <w:r w:rsidRPr="007E3783">
      <w:rPr>
        <w:b/>
        <w:sz w:val="18"/>
      </w:rPr>
      <w:instrText xml:space="preserve"> PAGE  \* MERGEFORMAT </w:instrText>
    </w:r>
    <w:r w:rsidRPr="007E3783">
      <w:rPr>
        <w:b/>
        <w:sz w:val="18"/>
      </w:rPr>
      <w:fldChar w:fldCharType="separate"/>
    </w:r>
    <w:r w:rsidRPr="007E3783">
      <w:rPr>
        <w:b/>
        <w:noProof/>
        <w:sz w:val="18"/>
      </w:rPr>
      <w:t>2</w:t>
    </w:r>
    <w:r w:rsidRPr="007E3783">
      <w:rPr>
        <w:b/>
        <w:sz w:val="18"/>
      </w:rPr>
      <w:fldChar w:fldCharType="end"/>
    </w:r>
    <w:r>
      <w:rPr>
        <w:b/>
        <w:sz w:val="18"/>
      </w:rPr>
      <w:tab/>
    </w:r>
    <w:r>
      <w:t>GE.22-13785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7C0E" w14:textId="3BE00EDC" w:rsidR="007E3783" w:rsidRPr="007E3783" w:rsidRDefault="007E3783" w:rsidP="007E3783">
    <w:pPr>
      <w:pStyle w:val="Pieddepage"/>
      <w:tabs>
        <w:tab w:val="right" w:pos="9638"/>
      </w:tabs>
      <w:rPr>
        <w:b/>
        <w:sz w:val="18"/>
      </w:rPr>
    </w:pPr>
    <w:r>
      <w:t>GE.22-13785</w:t>
    </w:r>
    <w:r>
      <w:tab/>
    </w:r>
    <w:r w:rsidRPr="007E3783">
      <w:rPr>
        <w:b/>
        <w:sz w:val="18"/>
      </w:rPr>
      <w:fldChar w:fldCharType="begin"/>
    </w:r>
    <w:r w:rsidRPr="007E3783">
      <w:rPr>
        <w:b/>
        <w:sz w:val="18"/>
      </w:rPr>
      <w:instrText xml:space="preserve"> PAGE  \* MERGEFORMAT </w:instrText>
    </w:r>
    <w:r w:rsidRPr="007E3783">
      <w:rPr>
        <w:b/>
        <w:sz w:val="18"/>
      </w:rPr>
      <w:fldChar w:fldCharType="separate"/>
    </w:r>
    <w:r w:rsidRPr="007E3783">
      <w:rPr>
        <w:b/>
        <w:noProof/>
        <w:sz w:val="18"/>
      </w:rPr>
      <w:t>3</w:t>
    </w:r>
    <w:r w:rsidRPr="007E37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9C9A" w14:textId="57AACC45" w:rsidR="0080236C" w:rsidRPr="007E3783" w:rsidRDefault="007E3783" w:rsidP="007E3783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9046889" wp14:editId="7F1B483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22-13785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CE060ED" wp14:editId="7CD3B49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200922    210922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9E6F" w14:textId="77777777" w:rsidR="00C3649B" w:rsidRPr="00AC3823" w:rsidRDefault="00C364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141089" w14:textId="77777777" w:rsidR="00C3649B" w:rsidRPr="00AC3823" w:rsidRDefault="00C364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B66E47" w14:textId="77777777" w:rsidR="00C3649B" w:rsidRPr="00AC3823" w:rsidRDefault="00C3649B">
      <w:pPr>
        <w:spacing w:line="240" w:lineRule="auto"/>
        <w:rPr>
          <w:sz w:val="2"/>
          <w:szCs w:val="2"/>
        </w:rPr>
      </w:pPr>
    </w:p>
  </w:footnote>
  <w:footnote w:id="2">
    <w:p w14:paraId="7E16F85E" w14:textId="77777777" w:rsidR="007E3783" w:rsidRPr="00591072" w:rsidRDefault="007E3783" w:rsidP="007E3783">
      <w:pPr>
        <w:pStyle w:val="Notedebasdepage"/>
      </w:pPr>
      <w:r>
        <w:rPr>
          <w:rStyle w:val="Appelnotedebasdep"/>
        </w:rPr>
        <w:tab/>
      </w:r>
      <w:r w:rsidRPr="007E378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52432296" w14:textId="77777777" w:rsidR="007E3783" w:rsidRPr="00591072" w:rsidRDefault="007E3783" w:rsidP="007E3783">
      <w:pPr>
        <w:pStyle w:val="Notedebasdepage"/>
      </w:pPr>
      <w:r w:rsidRPr="00FF1C53">
        <w:tab/>
      </w:r>
      <w:r w:rsidRPr="00FF1C53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A6380C6" w14:textId="7492B8D1" w:rsidR="007E3783" w:rsidRPr="007E3783" w:rsidRDefault="007E3783" w:rsidP="007E3783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</w:t>
      </w:r>
      <w:r>
        <w:t> </w:t>
      </w:r>
      <w:r w:rsidRPr="00591072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3F66" w14:textId="7B9BFE41" w:rsidR="007E3783" w:rsidRPr="007E3783" w:rsidRDefault="007E3783">
    <w:pPr>
      <w:pStyle w:val="En-tte"/>
    </w:pPr>
    <w:fldSimple w:instr=" TITLE  \* MERGEFORMAT ">
      <w:r w:rsidR="003431E9">
        <w:t>E/ECE/TRANS/505/Rev.3/Add.148/Amend.4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AC22" w14:textId="0963DE5F" w:rsidR="007E3783" w:rsidRPr="007E3783" w:rsidRDefault="007E3783" w:rsidP="007E3783">
    <w:pPr>
      <w:pStyle w:val="En-tte"/>
      <w:jc w:val="right"/>
    </w:pPr>
    <w:fldSimple w:instr=" TITLE  \* MERGEFORMAT ">
      <w:r w:rsidR="003431E9">
        <w:t>E/ECE/TRANS/505/Rev.3/Add.148/Amend.4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98196961">
    <w:abstractNumId w:val="12"/>
  </w:num>
  <w:num w:numId="2" w16cid:durableId="1329594858">
    <w:abstractNumId w:val="11"/>
  </w:num>
  <w:num w:numId="3" w16cid:durableId="1603342753">
    <w:abstractNumId w:val="10"/>
  </w:num>
  <w:num w:numId="4" w16cid:durableId="2120295322">
    <w:abstractNumId w:val="8"/>
  </w:num>
  <w:num w:numId="5" w16cid:durableId="878784874">
    <w:abstractNumId w:val="3"/>
  </w:num>
  <w:num w:numId="6" w16cid:durableId="150144233">
    <w:abstractNumId w:val="2"/>
  </w:num>
  <w:num w:numId="7" w16cid:durableId="833910839">
    <w:abstractNumId w:val="1"/>
  </w:num>
  <w:num w:numId="8" w16cid:durableId="865411044">
    <w:abstractNumId w:val="0"/>
  </w:num>
  <w:num w:numId="9" w16cid:durableId="1051347343">
    <w:abstractNumId w:val="9"/>
  </w:num>
  <w:num w:numId="10" w16cid:durableId="1813054617">
    <w:abstractNumId w:val="7"/>
  </w:num>
  <w:num w:numId="11" w16cid:durableId="492599414">
    <w:abstractNumId w:val="6"/>
  </w:num>
  <w:num w:numId="12" w16cid:durableId="1839493289">
    <w:abstractNumId w:val="5"/>
  </w:num>
  <w:num w:numId="13" w16cid:durableId="956569136">
    <w:abstractNumId w:val="4"/>
  </w:num>
  <w:num w:numId="14" w16cid:durableId="378096548">
    <w:abstractNumId w:val="12"/>
  </w:num>
  <w:num w:numId="15" w16cid:durableId="1753503749">
    <w:abstractNumId w:val="11"/>
  </w:num>
  <w:num w:numId="16" w16cid:durableId="1262299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9B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3431E9"/>
    <w:rsid w:val="00441C3B"/>
    <w:rsid w:val="00446FE5"/>
    <w:rsid w:val="00452396"/>
    <w:rsid w:val="004E468C"/>
    <w:rsid w:val="005505B7"/>
    <w:rsid w:val="00573BE5"/>
    <w:rsid w:val="00586ED3"/>
    <w:rsid w:val="00596AA9"/>
    <w:rsid w:val="00613C50"/>
    <w:rsid w:val="0071601D"/>
    <w:rsid w:val="007A62E6"/>
    <w:rsid w:val="007C1326"/>
    <w:rsid w:val="007E3783"/>
    <w:rsid w:val="0080236C"/>
    <w:rsid w:val="0080684C"/>
    <w:rsid w:val="00871C75"/>
    <w:rsid w:val="008776DC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C3649B"/>
    <w:rsid w:val="00D3439C"/>
    <w:rsid w:val="00D75300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DE9C"/>
  <w15:docId w15:val="{0E1FC046-2AA4-423F-A2B0-CE9A317A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7E378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2</Pages>
  <Words>199</Words>
  <Characters>1227</Characters>
  <Application>Microsoft Office Word</Application>
  <DocSecurity>0</DocSecurity>
  <Lines>204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E/ECE/TRANS/505/Rev.3/Add.148/Amend.4</dc:title>
  <dc:subject/>
  <dc:creator>Marie DESCHAMPS</dc:creator>
  <cp:keywords/>
  <cp:lastModifiedBy>Marie Deschamps</cp:lastModifiedBy>
  <cp:revision>3</cp:revision>
  <cp:lastPrinted>2022-09-21T06:23:00Z</cp:lastPrinted>
  <dcterms:created xsi:type="dcterms:W3CDTF">2022-09-21T06:22:00Z</dcterms:created>
  <dcterms:modified xsi:type="dcterms:W3CDTF">2022-09-21T06:24:00Z</dcterms:modified>
</cp:coreProperties>
</file>