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893699" w:rsidRPr="00893699"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893699" w:rsidRDefault="0064636E" w:rsidP="003C3936"/>
        </w:tc>
        <w:tc>
          <w:tcPr>
            <w:tcW w:w="8363" w:type="dxa"/>
            <w:gridSpan w:val="2"/>
            <w:tcBorders>
              <w:bottom w:val="single" w:sz="4" w:space="0" w:color="auto"/>
            </w:tcBorders>
            <w:vAlign w:val="bottom"/>
          </w:tcPr>
          <w:p w14:paraId="21FBE7EF" w14:textId="75C11FF7" w:rsidR="0064636E" w:rsidRPr="00893699" w:rsidRDefault="0064636E" w:rsidP="00C07C8B">
            <w:pPr>
              <w:jc w:val="right"/>
            </w:pPr>
            <w:r w:rsidRPr="00893699">
              <w:rPr>
                <w:sz w:val="40"/>
              </w:rPr>
              <w:t>E</w:t>
            </w:r>
            <w:r w:rsidRPr="00893699">
              <w:t>/ECE/324</w:t>
            </w:r>
            <w:r w:rsidR="00616B23" w:rsidRPr="00893699">
              <w:t>/</w:t>
            </w:r>
            <w:r w:rsidR="00FB03A9" w:rsidRPr="00893699">
              <w:t>Rev.1/Add.12/Rev.8/Amend.</w:t>
            </w:r>
            <w:r w:rsidR="00CC3AE5" w:rsidRPr="00893699">
              <w:t>9</w:t>
            </w:r>
            <w:r w:rsidRPr="00893699">
              <w:t>−</w:t>
            </w:r>
            <w:r w:rsidRPr="00893699">
              <w:rPr>
                <w:sz w:val="40"/>
              </w:rPr>
              <w:t>E</w:t>
            </w:r>
            <w:r w:rsidRPr="00893699">
              <w:t>/ECE/TRANS/505</w:t>
            </w:r>
            <w:r w:rsidR="00841EB5" w:rsidRPr="00893699">
              <w:t>/</w:t>
            </w:r>
            <w:r w:rsidR="00FB03A9" w:rsidRPr="00893699">
              <w:t>Rev.1/Add.12/Rev.8/Amend.</w:t>
            </w:r>
            <w:r w:rsidR="00CC3AE5" w:rsidRPr="00893699">
              <w:t>9</w:t>
            </w:r>
          </w:p>
        </w:tc>
      </w:tr>
      <w:tr w:rsidR="00893699" w:rsidRPr="00893699"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Pr="00893699"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893699"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893699" w:rsidRDefault="003C3936" w:rsidP="003C3936">
            <w:pPr>
              <w:spacing w:before="120"/>
            </w:pPr>
          </w:p>
          <w:p w14:paraId="10DFEABE" w14:textId="77777777" w:rsidR="00D623A7" w:rsidRPr="00893699" w:rsidRDefault="00D623A7" w:rsidP="003C3936">
            <w:pPr>
              <w:spacing w:before="120"/>
            </w:pPr>
          </w:p>
          <w:p w14:paraId="3AAF3BDD" w14:textId="752D9C4F" w:rsidR="00C84414" w:rsidRPr="00893699" w:rsidRDefault="00893699" w:rsidP="00C07C8B">
            <w:pPr>
              <w:spacing w:before="120"/>
            </w:pPr>
            <w:r>
              <w:t>1</w:t>
            </w:r>
            <w:r w:rsidR="004874C3">
              <w:t>0</w:t>
            </w:r>
            <w:r>
              <w:t xml:space="preserve"> November</w:t>
            </w:r>
            <w:r w:rsidR="00CC3AE5" w:rsidRPr="00893699">
              <w:t xml:space="preserve"> 2022</w:t>
            </w:r>
          </w:p>
        </w:tc>
      </w:tr>
    </w:tbl>
    <w:p w14:paraId="431B1AEB" w14:textId="77777777" w:rsidR="00C711C7" w:rsidRPr="00893699" w:rsidRDefault="00C711C7" w:rsidP="00A41529">
      <w:pPr>
        <w:pStyle w:val="HChG"/>
        <w:spacing w:before="240" w:after="120"/>
      </w:pPr>
      <w:r w:rsidRPr="00893699">
        <w:tab/>
      </w:r>
      <w:r w:rsidRPr="00893699">
        <w:tab/>
      </w:r>
      <w:bookmarkStart w:id="0" w:name="_Toc340666199"/>
      <w:bookmarkStart w:id="1" w:name="_Toc340745062"/>
      <w:r w:rsidRPr="00893699">
        <w:t>Agreement</w:t>
      </w:r>
      <w:bookmarkEnd w:id="0"/>
      <w:bookmarkEnd w:id="1"/>
    </w:p>
    <w:p w14:paraId="2CD824D7" w14:textId="763DD6FA" w:rsidR="00C71AFE" w:rsidRPr="00893699" w:rsidRDefault="00C711C7" w:rsidP="00C71AFE">
      <w:pPr>
        <w:pStyle w:val="H1G"/>
        <w:spacing w:before="240"/>
      </w:pPr>
      <w:r w:rsidRPr="00893699">
        <w:rPr>
          <w:rStyle w:val="H1GChar"/>
        </w:rPr>
        <w:tab/>
      </w:r>
      <w:r w:rsidRPr="00893699">
        <w:rPr>
          <w:rStyle w:val="H1GChar"/>
        </w:rPr>
        <w:tab/>
      </w:r>
      <w:r w:rsidR="00C71AFE" w:rsidRPr="00893699">
        <w:t>Concerning the</w:t>
      </w:r>
      <w:r w:rsidR="00C71AFE" w:rsidRPr="00893699">
        <w:rPr>
          <w:smallCaps/>
        </w:rPr>
        <w:t xml:space="preserve"> </w:t>
      </w:r>
      <w:r w:rsidR="00C71AFE" w:rsidRPr="00893699">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C71AFE" w:rsidRPr="00893699">
        <w:footnoteReference w:customMarkFollows="1" w:id="2"/>
        <w:t>*</w:t>
      </w:r>
    </w:p>
    <w:p w14:paraId="3930E1C5" w14:textId="65887D87" w:rsidR="00C711C7" w:rsidRPr="00893699" w:rsidRDefault="00C71AFE" w:rsidP="00C71AFE">
      <w:pPr>
        <w:pStyle w:val="SingleTxtG"/>
      </w:pPr>
      <w:r w:rsidRPr="00893699">
        <w:t>(Revision 3, including the amendments which entered into force on 14 September 2017)</w:t>
      </w:r>
    </w:p>
    <w:p w14:paraId="23520E79" w14:textId="77777777" w:rsidR="0064636E" w:rsidRPr="00893699" w:rsidRDefault="00C711C7" w:rsidP="00B32121">
      <w:pPr>
        <w:pStyle w:val="H1G"/>
        <w:spacing w:before="120"/>
        <w:ind w:left="0" w:right="0" w:firstLine="0"/>
        <w:jc w:val="center"/>
      </w:pPr>
      <w:r w:rsidRPr="00893699">
        <w:t>_________</w:t>
      </w:r>
    </w:p>
    <w:p w14:paraId="1E020283" w14:textId="491B86E9" w:rsidR="0064636E" w:rsidRPr="00893699" w:rsidRDefault="0064636E" w:rsidP="00A41529">
      <w:pPr>
        <w:pStyle w:val="H1G"/>
        <w:spacing w:before="240" w:after="120"/>
      </w:pPr>
      <w:r w:rsidRPr="00893699">
        <w:tab/>
      </w:r>
      <w:r w:rsidRPr="00893699">
        <w:tab/>
        <w:t xml:space="preserve">Addendum </w:t>
      </w:r>
      <w:r w:rsidR="00FB03A9" w:rsidRPr="00893699">
        <w:t>12</w:t>
      </w:r>
      <w:r w:rsidRPr="00893699">
        <w:t xml:space="preserve"> – </w:t>
      </w:r>
      <w:r w:rsidR="009A28A4" w:rsidRPr="00893699">
        <w:t xml:space="preserve">UN </w:t>
      </w:r>
      <w:r w:rsidRPr="00893699">
        <w:t>Regulation No.</w:t>
      </w:r>
      <w:r w:rsidR="00271A7F" w:rsidRPr="00893699">
        <w:t xml:space="preserve"> </w:t>
      </w:r>
      <w:r w:rsidR="00FB03A9" w:rsidRPr="00893699">
        <w:t>13</w:t>
      </w:r>
    </w:p>
    <w:p w14:paraId="4E272B2A" w14:textId="5C37204B" w:rsidR="0064636E" w:rsidRPr="00893699" w:rsidRDefault="0064636E" w:rsidP="00A41529">
      <w:pPr>
        <w:pStyle w:val="H1G"/>
        <w:spacing w:before="240"/>
      </w:pPr>
      <w:r w:rsidRPr="00893699">
        <w:tab/>
      </w:r>
      <w:r w:rsidRPr="00893699">
        <w:tab/>
        <w:t xml:space="preserve">Revision </w:t>
      </w:r>
      <w:r w:rsidR="00FB03A9" w:rsidRPr="00893699">
        <w:t>8</w:t>
      </w:r>
      <w:r w:rsidR="00DE5D62" w:rsidRPr="00893699">
        <w:t xml:space="preserve"> </w:t>
      </w:r>
      <w:r w:rsidRPr="00893699">
        <w:t xml:space="preserve">- </w:t>
      </w:r>
      <w:r w:rsidR="00D623A7" w:rsidRPr="00893699">
        <w:t>Amendment</w:t>
      </w:r>
      <w:r w:rsidRPr="00893699">
        <w:t xml:space="preserve"> </w:t>
      </w:r>
      <w:r w:rsidR="00CC3AE5" w:rsidRPr="00893699">
        <w:t>9</w:t>
      </w:r>
    </w:p>
    <w:p w14:paraId="4FAFC05A" w14:textId="5C9050C6" w:rsidR="0064636E" w:rsidRPr="00893699" w:rsidRDefault="00FB03A9" w:rsidP="0064636E">
      <w:pPr>
        <w:pStyle w:val="SingleTxtG"/>
        <w:spacing w:after="360"/>
        <w:rPr>
          <w:spacing w:val="-2"/>
        </w:rPr>
      </w:pPr>
      <w:r w:rsidRPr="00893699">
        <w:rPr>
          <w:spacing w:val="-2"/>
        </w:rPr>
        <w:t>1</w:t>
      </w:r>
      <w:r w:rsidR="003E5E7C" w:rsidRPr="00893699">
        <w:rPr>
          <w:spacing w:val="-2"/>
        </w:rPr>
        <w:t>2</w:t>
      </w:r>
      <w:r w:rsidR="00D623A7" w:rsidRPr="00893699">
        <w:rPr>
          <w:spacing w:val="-2"/>
        </w:rPr>
        <w:t xml:space="preserve"> series of amendments</w:t>
      </w:r>
      <w:r w:rsidR="0064636E" w:rsidRPr="00893699">
        <w:rPr>
          <w:spacing w:val="-2"/>
        </w:rPr>
        <w:t xml:space="preserve"> – Date of entry into force: </w:t>
      </w:r>
      <w:r w:rsidR="003E5E7C" w:rsidRPr="00893699">
        <w:t>8 October 2022</w:t>
      </w:r>
    </w:p>
    <w:p w14:paraId="24730B39" w14:textId="532233B0" w:rsidR="0064636E" w:rsidRPr="00893699" w:rsidRDefault="0064636E" w:rsidP="00A41529">
      <w:pPr>
        <w:pStyle w:val="H1G"/>
        <w:spacing w:before="120" w:after="120" w:line="240" w:lineRule="exact"/>
      </w:pPr>
      <w:r w:rsidRPr="00893699">
        <w:tab/>
      </w:r>
      <w:r w:rsidRPr="00893699">
        <w:tab/>
      </w:r>
      <w:r w:rsidR="00FB03A9" w:rsidRPr="00893699">
        <w:t>Uniform provisions concerning the approval of vehicles of categories M, N and O with regard to braking</w:t>
      </w:r>
    </w:p>
    <w:p w14:paraId="6C824AF8" w14:textId="355FAE35" w:rsidR="00B32121" w:rsidRPr="00893699" w:rsidRDefault="00B32121" w:rsidP="00A41529">
      <w:pPr>
        <w:pStyle w:val="SingleTxtG"/>
        <w:spacing w:after="40"/>
        <w:rPr>
          <w:lang w:eastAsia="en-GB"/>
        </w:rPr>
      </w:pPr>
      <w:r w:rsidRPr="00893699">
        <w:rPr>
          <w:spacing w:val="-4"/>
          <w:lang w:eastAsia="en-GB"/>
        </w:rPr>
        <w:t>This document is meant purely as documentation tool. The authentic and legal binding text is:</w:t>
      </w:r>
      <w:r w:rsidRPr="00893699">
        <w:rPr>
          <w:lang w:eastAsia="en-GB"/>
        </w:rPr>
        <w:t xml:space="preserve"> </w:t>
      </w:r>
      <w:r w:rsidR="00DE5D62" w:rsidRPr="00893699">
        <w:rPr>
          <w:spacing w:val="-6"/>
          <w:lang w:eastAsia="en-GB"/>
        </w:rPr>
        <w:t>ECE/TRANS/WP.29/</w:t>
      </w:r>
      <w:r w:rsidR="00C71AFE" w:rsidRPr="00893699">
        <w:rPr>
          <w:spacing w:val="-6"/>
          <w:lang w:eastAsia="en-GB"/>
        </w:rPr>
        <w:t>20</w:t>
      </w:r>
      <w:r w:rsidR="00C07C8B" w:rsidRPr="00893699">
        <w:rPr>
          <w:spacing w:val="-6"/>
          <w:lang w:eastAsia="en-GB"/>
        </w:rPr>
        <w:t>2</w:t>
      </w:r>
      <w:r w:rsidR="003E5E7C" w:rsidRPr="00893699">
        <w:rPr>
          <w:spacing w:val="-6"/>
          <w:lang w:eastAsia="en-GB"/>
        </w:rPr>
        <w:t>2</w:t>
      </w:r>
      <w:r w:rsidR="00C07C8B" w:rsidRPr="00893699">
        <w:rPr>
          <w:spacing w:val="-6"/>
          <w:lang w:eastAsia="en-GB"/>
        </w:rPr>
        <w:t>/1</w:t>
      </w:r>
      <w:r w:rsidR="00DB2A25" w:rsidRPr="00893699">
        <w:rPr>
          <w:spacing w:val="-6"/>
          <w:lang w:eastAsia="en-GB"/>
        </w:rPr>
        <w:t>2</w:t>
      </w:r>
      <w:r w:rsidR="00EE4F45" w:rsidRPr="00893699">
        <w:rPr>
          <w:spacing w:val="-6"/>
          <w:lang w:eastAsia="en-GB"/>
        </w:rPr>
        <w:t>.</w:t>
      </w:r>
    </w:p>
    <w:p w14:paraId="62CDCABF" w14:textId="1D6C54A6" w:rsidR="000D3A4F" w:rsidRPr="00893699" w:rsidRDefault="00DE5D62" w:rsidP="00A41529">
      <w:pPr>
        <w:suppressAutoHyphens w:val="0"/>
        <w:spacing w:line="240" w:lineRule="auto"/>
        <w:jc w:val="center"/>
        <w:rPr>
          <w:b/>
          <w:sz w:val="24"/>
        </w:rPr>
      </w:pPr>
      <w:r w:rsidRPr="00893699">
        <w:rPr>
          <w:b/>
          <w:noProof/>
          <w:sz w:val="24"/>
          <w:lang w:val="en-US"/>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893699">
        <w:rPr>
          <w:b/>
          <w:sz w:val="24"/>
        </w:rPr>
        <w:t>_________</w:t>
      </w:r>
    </w:p>
    <w:p w14:paraId="52827F5C" w14:textId="71E53DB8" w:rsidR="00D623A7" w:rsidRPr="00893699" w:rsidRDefault="000D3A4F" w:rsidP="00C71AFE">
      <w:pPr>
        <w:suppressAutoHyphens w:val="0"/>
        <w:spacing w:line="240" w:lineRule="auto"/>
        <w:jc w:val="center"/>
      </w:pPr>
      <w:r w:rsidRPr="00893699">
        <w:rPr>
          <w:b/>
          <w:sz w:val="24"/>
        </w:rPr>
        <w:t>UNITED NATIONS</w:t>
      </w:r>
    </w:p>
    <w:p w14:paraId="36014A03" w14:textId="11B25CBC" w:rsidR="00DE5D62" w:rsidRPr="00893699" w:rsidRDefault="00D5540C" w:rsidP="00E8553E">
      <w:pPr>
        <w:pStyle w:val="SingleTxtG"/>
        <w:ind w:left="2250" w:hanging="1116"/>
        <w:rPr>
          <w:bCs/>
          <w:u w:val="single"/>
        </w:rPr>
      </w:pPr>
      <w:r w:rsidRPr="00893699">
        <w:br w:type="page"/>
      </w:r>
    </w:p>
    <w:p w14:paraId="6A75E6D6" w14:textId="77777777" w:rsidR="00F3184E" w:rsidRPr="00CA3CDB" w:rsidRDefault="00F3184E" w:rsidP="00F3184E">
      <w:pPr>
        <w:spacing w:after="120"/>
        <w:ind w:left="1134" w:right="1134"/>
        <w:rPr>
          <w:iCs/>
          <w:lang w:val="en-IN"/>
        </w:rPr>
      </w:pPr>
      <w:r w:rsidRPr="009F2CA3">
        <w:rPr>
          <w:i/>
          <w:lang w:val="en-IN"/>
        </w:rPr>
        <w:lastRenderedPageBreak/>
        <w:t>Paragraph 5.1.2.3.</w:t>
      </w:r>
      <w:r>
        <w:rPr>
          <w:i/>
          <w:lang w:val="en-IN"/>
        </w:rPr>
        <w:t>,</w:t>
      </w:r>
      <w:r>
        <w:rPr>
          <w:iCs/>
          <w:lang w:val="en-IN"/>
        </w:rPr>
        <w:t xml:space="preserve"> </w:t>
      </w:r>
      <w:r>
        <w:rPr>
          <w:lang w:val="en-US"/>
        </w:rPr>
        <w:t>recalled for easy convenience:</w:t>
      </w:r>
    </w:p>
    <w:p w14:paraId="48259D79" w14:textId="77777777" w:rsidR="00F3184E" w:rsidRPr="00CA3CDB" w:rsidRDefault="00F3184E" w:rsidP="00F3184E">
      <w:pPr>
        <w:spacing w:after="120"/>
        <w:ind w:left="1134" w:right="1134"/>
        <w:rPr>
          <w:lang w:val="en-US"/>
        </w:rPr>
      </w:pPr>
      <w:r>
        <w:rPr>
          <w:lang w:val="en-US"/>
        </w:rPr>
        <w:t>“</w:t>
      </w:r>
      <w:r w:rsidRPr="00CA3CDB">
        <w:rPr>
          <w:lang w:val="en-US"/>
        </w:rPr>
        <w:t>5.1.2.3.</w:t>
      </w:r>
      <w:r w:rsidRPr="00CA3CDB">
        <w:rPr>
          <w:lang w:val="en-US"/>
        </w:rPr>
        <w:tab/>
        <w:t>Parking braking system</w:t>
      </w:r>
    </w:p>
    <w:p w14:paraId="6616FCDA" w14:textId="77777777" w:rsidR="00F3184E" w:rsidRPr="00CA3CDB" w:rsidRDefault="00F3184E" w:rsidP="00F3184E">
      <w:pPr>
        <w:spacing w:after="120"/>
        <w:ind w:left="2268" w:right="1134"/>
        <w:jc w:val="both"/>
        <w:rPr>
          <w:lang w:val="en-US"/>
        </w:rPr>
      </w:pPr>
      <w:r w:rsidRPr="00CA3CDB">
        <w:rPr>
          <w:lang w:val="en-US"/>
        </w:rPr>
        <w:t>The parking braking system shall make it possible to hold the vehicle stationary on an up or down gradient even in the absence of the driver, the working parts being then held in the locked position by a purely mechanical device. The driver shall be able to achieve this braking action from his driving seat, subject, in the case of a trailer, to the provisions of paragraph 5.2.2.10. of this Regulation.</w:t>
      </w:r>
    </w:p>
    <w:p w14:paraId="1AEF257E" w14:textId="77777777" w:rsidR="00F3184E" w:rsidRDefault="00F3184E" w:rsidP="00F3184E">
      <w:pPr>
        <w:spacing w:after="120"/>
        <w:ind w:left="2268" w:right="1134"/>
        <w:jc w:val="both"/>
        <w:rPr>
          <w:lang w:val="en-US"/>
        </w:rPr>
      </w:pPr>
      <w:r w:rsidRPr="00CA3CDB">
        <w:rPr>
          <w:lang w:val="en-US"/>
        </w:rPr>
        <w:t>The trailer air brake and the parking braking system of the towing vehicle may be operated simultaneously provided that the driver is able to check, at any time, that the parking brake performance of the vehicle combination, obtained by the purely mechanical action of the parking braking system, is sufficient.</w:t>
      </w:r>
      <w:r>
        <w:rPr>
          <w:lang w:val="en-US"/>
        </w:rPr>
        <w:t>”</w:t>
      </w:r>
    </w:p>
    <w:p w14:paraId="637E14A2" w14:textId="77777777" w:rsidR="00F3184E" w:rsidRPr="00CA3CDB" w:rsidRDefault="00F3184E" w:rsidP="00F3184E">
      <w:pPr>
        <w:spacing w:after="120"/>
        <w:ind w:left="1134" w:right="1134"/>
        <w:rPr>
          <w:lang w:val="en-US"/>
        </w:rPr>
      </w:pPr>
      <w:r w:rsidRPr="00870132">
        <w:rPr>
          <w:i/>
          <w:iCs/>
          <w:lang w:val="en-US"/>
        </w:rPr>
        <w:t>Paragraph 5.2.1.26</w:t>
      </w:r>
      <w:r>
        <w:rPr>
          <w:i/>
          <w:iCs/>
          <w:lang w:val="en-US"/>
        </w:rPr>
        <w:t>.</w:t>
      </w:r>
      <w:r>
        <w:rPr>
          <w:lang w:val="en-US"/>
        </w:rPr>
        <w:t>, recalled for easy convenience:</w:t>
      </w:r>
    </w:p>
    <w:p w14:paraId="76EA7E17" w14:textId="77777777" w:rsidR="00F3184E" w:rsidRPr="00CA3CDB" w:rsidRDefault="00F3184E" w:rsidP="00F3184E">
      <w:pPr>
        <w:pStyle w:val="SingleTxtG"/>
        <w:ind w:left="2268" w:hanging="1134"/>
      </w:pPr>
      <w:r>
        <w:t>“</w:t>
      </w:r>
      <w:r w:rsidRPr="00CA3CDB">
        <w:t>5.2.1.26.</w:t>
      </w:r>
      <w:r w:rsidRPr="00CA3CDB">
        <w:tab/>
        <w:t>Special additional requirements for the electric transmission of the parking braking system</w:t>
      </w:r>
      <w:r>
        <w:t>”</w:t>
      </w:r>
    </w:p>
    <w:p w14:paraId="1CF42022" w14:textId="77777777" w:rsidR="00F3184E" w:rsidRPr="006C057F" w:rsidRDefault="00F3184E" w:rsidP="00F3184E">
      <w:pPr>
        <w:spacing w:after="120"/>
        <w:ind w:left="1134" w:right="1134"/>
        <w:rPr>
          <w:iCs/>
          <w:lang w:val="en-US"/>
        </w:rPr>
      </w:pPr>
      <w:r w:rsidRPr="00CA3CDB">
        <w:rPr>
          <w:i/>
          <w:lang w:val="en-IN"/>
        </w:rPr>
        <w:t xml:space="preserve">Paragraph 5.2.1.26.4., </w:t>
      </w:r>
      <w:r w:rsidRPr="006C057F">
        <w:rPr>
          <w:iCs/>
          <w:lang w:val="en-IN"/>
        </w:rPr>
        <w:t>amend to read:</w:t>
      </w:r>
    </w:p>
    <w:p w14:paraId="5C8181DB" w14:textId="77777777" w:rsidR="00F3184E" w:rsidRPr="000262A8" w:rsidRDefault="00F3184E" w:rsidP="00F3184E">
      <w:pPr>
        <w:suppressAutoHyphens w:val="0"/>
        <w:spacing w:after="120"/>
        <w:ind w:left="2268" w:right="1134" w:hanging="1134"/>
        <w:jc w:val="both"/>
        <w:rPr>
          <w:rFonts w:eastAsia="Calibri"/>
        </w:rPr>
      </w:pPr>
      <w:r>
        <w:rPr>
          <w:rFonts w:eastAsia="Calibri"/>
        </w:rPr>
        <w:t>“</w:t>
      </w:r>
      <w:r w:rsidRPr="00CA3CDB">
        <w:rPr>
          <w:rFonts w:eastAsia="Calibri"/>
        </w:rPr>
        <w:t>5.2.1.26.4.</w:t>
      </w:r>
      <w:r w:rsidRPr="00CA3CDB">
        <w:rPr>
          <w:rFonts w:eastAsia="Calibri"/>
        </w:rPr>
        <w:tab/>
        <w:t xml:space="preserve">After the ignition/start switch which controls the electrical energy for the </w:t>
      </w:r>
      <w:r w:rsidRPr="000262A8">
        <w:rPr>
          <w:rFonts w:eastAsia="Calibri"/>
        </w:rPr>
        <w:t>braking equipment has been switched off and/or the key removed, it shall remain possible to apply the parking braking system, whereas releasing by using the parking brake control shall be prevented.</w:t>
      </w:r>
    </w:p>
    <w:p w14:paraId="6F5F8FAA" w14:textId="77777777" w:rsidR="00F3184E" w:rsidRPr="000262A8" w:rsidRDefault="00F3184E" w:rsidP="00F3184E">
      <w:pPr>
        <w:suppressAutoHyphens w:val="0"/>
        <w:spacing w:after="120"/>
        <w:ind w:left="2268" w:right="1134"/>
        <w:jc w:val="both"/>
        <w:rPr>
          <w:rFonts w:eastAsia="Calibri"/>
        </w:rPr>
      </w:pPr>
      <w:r w:rsidRPr="000262A8">
        <w:rPr>
          <w:rFonts w:eastAsia="Calibri"/>
        </w:rPr>
        <w:t>However, the parking braking system may also be released when this action is part of an operation of a remote-control system fulfilling the technical requirements of an ACSF of Category A as specified in the 02 series of amendments to UN Regulation No. 79 or later series of amendments.</w:t>
      </w:r>
    </w:p>
    <w:p w14:paraId="4017562F" w14:textId="77777777" w:rsidR="00F3184E" w:rsidRPr="000262A8" w:rsidRDefault="00F3184E" w:rsidP="00F3184E">
      <w:pPr>
        <w:suppressAutoHyphens w:val="0"/>
        <w:spacing w:after="120"/>
        <w:ind w:left="2268" w:right="1134"/>
        <w:jc w:val="both"/>
        <w:rPr>
          <w:rFonts w:eastAsia="Calibri"/>
        </w:rPr>
      </w:pPr>
      <w:r w:rsidRPr="000262A8">
        <w:rPr>
          <w:rFonts w:eastAsia="Calibri"/>
        </w:rPr>
        <w:t>Furthermore, the parking brake shall be automatically applied, at least when the vehicle is detected to be stationary and additionally any of the following conditions is fulfilled:</w:t>
      </w:r>
    </w:p>
    <w:p w14:paraId="5A52126E" w14:textId="77777777" w:rsidR="00F3184E" w:rsidRPr="000262A8" w:rsidRDefault="00F3184E" w:rsidP="00F3184E">
      <w:pPr>
        <w:suppressAutoHyphens w:val="0"/>
        <w:spacing w:after="120"/>
        <w:ind w:left="2268" w:right="1134" w:firstLine="567"/>
        <w:jc w:val="both"/>
        <w:rPr>
          <w:rFonts w:eastAsia="Calibri"/>
        </w:rPr>
      </w:pPr>
      <w:r w:rsidRPr="000262A8">
        <w:rPr>
          <w:rFonts w:eastAsia="Calibri"/>
        </w:rPr>
        <w:t>(a)</w:t>
      </w:r>
      <w:r w:rsidRPr="000262A8">
        <w:rPr>
          <w:rFonts w:eastAsia="Calibri"/>
        </w:rPr>
        <w:tab/>
        <w:t>The ignition/start switch which controls the electrical energy for the braking equipment has been switched off and/or the key removed;</w:t>
      </w:r>
    </w:p>
    <w:p w14:paraId="1999D922" w14:textId="77777777" w:rsidR="00F3184E" w:rsidRPr="000262A8" w:rsidRDefault="00F3184E" w:rsidP="00F3184E">
      <w:pPr>
        <w:suppressAutoHyphens w:val="0"/>
        <w:spacing w:after="120"/>
        <w:ind w:left="2268" w:right="1134" w:firstLine="567"/>
        <w:jc w:val="both"/>
        <w:rPr>
          <w:rFonts w:eastAsia="Calibri"/>
        </w:rPr>
      </w:pPr>
      <w:r w:rsidRPr="000262A8">
        <w:rPr>
          <w:rFonts w:eastAsia="Calibri"/>
        </w:rPr>
        <w:t>(b)</w:t>
      </w:r>
      <w:r w:rsidRPr="000262A8">
        <w:rPr>
          <w:rFonts w:eastAsia="Calibri"/>
        </w:rPr>
        <w:tab/>
        <w:t>The driver is deemed to leave the driving seat (e.g. via a detection of door opening, unfastening of seat belt). Alternatively, for vehicles of category M, the parking brake shall be automatically applied if no input to any control by the driver nor any brakes application are detected for a time greater than 30 seconds.</w:t>
      </w:r>
    </w:p>
    <w:p w14:paraId="3E2BB8A8" w14:textId="77777777" w:rsidR="00F3184E" w:rsidRPr="000262A8" w:rsidRDefault="00F3184E" w:rsidP="00F3184E">
      <w:pPr>
        <w:suppressAutoHyphens w:val="0"/>
        <w:spacing w:after="120"/>
        <w:ind w:left="2268" w:right="1134"/>
        <w:jc w:val="both"/>
        <w:rPr>
          <w:rFonts w:eastAsia="Calibri"/>
        </w:rPr>
      </w:pPr>
      <w:r w:rsidRPr="000262A8">
        <w:rPr>
          <w:rFonts w:eastAsia="Calibri"/>
        </w:rPr>
        <w:t>However, the automatic application of the parking braking system may be suppressed by the driver (e.g. during maintenance operation, manoeuvring situations, to avoid park brake freezing in winter conditions) with a dedicated action (e.g. by pedal actuation, a switch).”</w:t>
      </w:r>
    </w:p>
    <w:p w14:paraId="2E57CD90" w14:textId="77777777" w:rsidR="00F3184E" w:rsidRPr="00CA3CDB" w:rsidRDefault="00F3184E" w:rsidP="00F3184E">
      <w:pPr>
        <w:spacing w:after="120"/>
        <w:ind w:left="1134" w:right="1134"/>
        <w:rPr>
          <w:b/>
          <w:iCs/>
        </w:rPr>
      </w:pPr>
      <w:r w:rsidRPr="00CA3CDB">
        <w:rPr>
          <w:bCs/>
          <w:i/>
        </w:rPr>
        <w:t>Paragraph 12</w:t>
      </w:r>
      <w:r>
        <w:rPr>
          <w:bCs/>
          <w:i/>
        </w:rPr>
        <w:t>.</w:t>
      </w:r>
      <w:r w:rsidRPr="00CA3CDB">
        <w:rPr>
          <w:bCs/>
          <w:i/>
        </w:rPr>
        <w:t xml:space="preserve">, </w:t>
      </w:r>
      <w:r w:rsidRPr="00CA3CDB">
        <w:rPr>
          <w:bCs/>
          <w:iCs/>
        </w:rPr>
        <w:t>amend to read:</w:t>
      </w:r>
    </w:p>
    <w:p w14:paraId="7975E08E" w14:textId="77777777" w:rsidR="00F3184E" w:rsidRPr="000262A8" w:rsidRDefault="00F3184E" w:rsidP="00F3184E">
      <w:pPr>
        <w:spacing w:after="120"/>
        <w:ind w:left="1134" w:right="1134"/>
        <w:jc w:val="both"/>
        <w:rPr>
          <w:bCs/>
          <w:iCs/>
        </w:rPr>
      </w:pPr>
      <w:r w:rsidRPr="000262A8">
        <w:rPr>
          <w:bCs/>
          <w:iCs/>
        </w:rPr>
        <w:t>“12.</w:t>
      </w:r>
      <w:r w:rsidRPr="000262A8">
        <w:rPr>
          <w:bCs/>
          <w:iCs/>
        </w:rPr>
        <w:tab/>
      </w:r>
      <w:r w:rsidRPr="000262A8">
        <w:rPr>
          <w:bCs/>
          <w:iCs/>
        </w:rPr>
        <w:tab/>
        <w:t xml:space="preserve">Transitional provisions </w:t>
      </w:r>
    </w:p>
    <w:p w14:paraId="3A34A039" w14:textId="77777777" w:rsidR="00F3184E" w:rsidRPr="000262A8" w:rsidRDefault="00F3184E" w:rsidP="00F3184E">
      <w:pPr>
        <w:spacing w:after="120"/>
        <w:ind w:left="2268" w:right="1134" w:hanging="1134"/>
        <w:jc w:val="both"/>
        <w:rPr>
          <w:bCs/>
          <w:iCs/>
        </w:rPr>
      </w:pPr>
      <w:r w:rsidRPr="000262A8">
        <w:rPr>
          <w:bCs/>
          <w:iCs/>
        </w:rPr>
        <w:t>12.1.</w:t>
      </w:r>
      <w:r w:rsidRPr="000262A8">
        <w:rPr>
          <w:bCs/>
          <w:iCs/>
        </w:rPr>
        <w:tab/>
        <w:t>As from the official date of entry into force of the 12 series of amendments, no Contracting Party applying this Regulation shall refuse to grant or refuse to accept type approvals under this Regulation as amended by the 12 series of amendments.</w:t>
      </w:r>
    </w:p>
    <w:p w14:paraId="0FF36F45" w14:textId="77777777" w:rsidR="00F3184E" w:rsidRPr="000262A8" w:rsidRDefault="00F3184E" w:rsidP="00F3184E">
      <w:pPr>
        <w:spacing w:after="120"/>
        <w:ind w:left="2268" w:right="1134" w:hanging="1134"/>
        <w:jc w:val="both"/>
        <w:rPr>
          <w:bCs/>
          <w:iCs/>
        </w:rPr>
      </w:pPr>
      <w:r w:rsidRPr="000262A8">
        <w:rPr>
          <w:bCs/>
          <w:iCs/>
        </w:rPr>
        <w:t>12.2.</w:t>
      </w:r>
      <w:r w:rsidRPr="000262A8">
        <w:rPr>
          <w:bCs/>
          <w:iCs/>
        </w:rPr>
        <w:tab/>
        <w:t>As from 1 September 2024, Contracting Parties applying this Regulation shall not be obliged to accept type approvals to the preceding series of amendments, first issued after 1 September 2024.</w:t>
      </w:r>
    </w:p>
    <w:p w14:paraId="09006543" w14:textId="77777777" w:rsidR="00F3184E" w:rsidRPr="000262A8" w:rsidRDefault="00F3184E" w:rsidP="00F3184E">
      <w:pPr>
        <w:spacing w:after="120"/>
        <w:ind w:left="2268" w:right="1134" w:hanging="1134"/>
        <w:jc w:val="both"/>
        <w:rPr>
          <w:bCs/>
          <w:iCs/>
        </w:rPr>
      </w:pPr>
      <w:r w:rsidRPr="000262A8">
        <w:rPr>
          <w:bCs/>
          <w:iCs/>
        </w:rPr>
        <w:t>12.3.</w:t>
      </w:r>
      <w:r w:rsidRPr="000262A8">
        <w:rPr>
          <w:bCs/>
          <w:iCs/>
        </w:rPr>
        <w:tab/>
        <w:t>Until 1 September 2026, Contracting Parties applying this Regulation shall accept type approvals to the preceding series of amendments, first issued before 1 September 2024.</w:t>
      </w:r>
    </w:p>
    <w:p w14:paraId="6F3981D8" w14:textId="77777777" w:rsidR="00F3184E" w:rsidRPr="000262A8" w:rsidRDefault="00F3184E" w:rsidP="00F3184E">
      <w:pPr>
        <w:spacing w:after="120"/>
        <w:ind w:left="2268" w:right="1134" w:hanging="1134"/>
        <w:jc w:val="both"/>
        <w:rPr>
          <w:bCs/>
          <w:iCs/>
        </w:rPr>
      </w:pPr>
      <w:r w:rsidRPr="000262A8">
        <w:rPr>
          <w:bCs/>
          <w:iCs/>
        </w:rPr>
        <w:lastRenderedPageBreak/>
        <w:t>12.4.</w:t>
      </w:r>
      <w:r w:rsidRPr="000262A8">
        <w:rPr>
          <w:bCs/>
          <w:iCs/>
        </w:rPr>
        <w:tab/>
        <w:t>As from 1 September 2026, Contracting Parties applying this Regulation shall not be obliged to accept type approvals issued to the preceding series of amendments to this Regulation.</w:t>
      </w:r>
    </w:p>
    <w:p w14:paraId="0C3738C1" w14:textId="77777777" w:rsidR="00F3184E" w:rsidRPr="000262A8" w:rsidRDefault="00F3184E" w:rsidP="00F3184E">
      <w:pPr>
        <w:spacing w:after="120"/>
        <w:ind w:left="2268" w:right="1134" w:hanging="1134"/>
        <w:jc w:val="both"/>
        <w:rPr>
          <w:bCs/>
          <w:iCs/>
        </w:rPr>
      </w:pPr>
      <w:r w:rsidRPr="000262A8">
        <w:rPr>
          <w:bCs/>
          <w:iCs/>
        </w:rPr>
        <w:t>12.5.</w:t>
      </w:r>
      <w:r w:rsidRPr="000262A8">
        <w:rPr>
          <w:bCs/>
          <w:iCs/>
        </w:rPr>
        <w:tab/>
        <w:t>Notwithstanding paragraph 12.4., Contracting Parties applying this Regulation shall continue to accept type approvals issued according to the preceding series of amendments to this Regulation, for the vehicles which are not affected by the changes introduced by the 12 series of amendments.</w:t>
      </w:r>
    </w:p>
    <w:p w14:paraId="3D88EC33" w14:textId="77777777" w:rsidR="00F3184E" w:rsidRPr="000262A8" w:rsidRDefault="00F3184E" w:rsidP="00F3184E">
      <w:pPr>
        <w:spacing w:after="120"/>
        <w:ind w:left="2268" w:right="1134" w:hanging="1134"/>
        <w:jc w:val="both"/>
        <w:rPr>
          <w:bCs/>
          <w:iCs/>
        </w:rPr>
      </w:pPr>
      <w:r w:rsidRPr="000262A8">
        <w:rPr>
          <w:bCs/>
          <w:iCs/>
        </w:rPr>
        <w:t>12.6.</w:t>
      </w:r>
      <w:r w:rsidRPr="000262A8">
        <w:rPr>
          <w:bCs/>
          <w:iCs/>
        </w:rPr>
        <w:tab/>
        <w:t xml:space="preserve">Contracting Parties applying this Regulation may grant type approvals according to any preceding series of amendments to this Regulation. </w:t>
      </w:r>
    </w:p>
    <w:p w14:paraId="48DA412F" w14:textId="77777777" w:rsidR="00F3184E" w:rsidRPr="000262A8" w:rsidRDefault="00F3184E" w:rsidP="00F3184E">
      <w:pPr>
        <w:spacing w:after="120"/>
        <w:ind w:left="2268" w:right="1134" w:hanging="1134"/>
        <w:jc w:val="both"/>
        <w:rPr>
          <w:bCs/>
          <w:iCs/>
        </w:rPr>
      </w:pPr>
      <w:r w:rsidRPr="000262A8">
        <w:rPr>
          <w:bCs/>
          <w:iCs/>
        </w:rPr>
        <w:t xml:space="preserve">12.7. </w:t>
      </w:r>
      <w:r w:rsidRPr="000262A8">
        <w:rPr>
          <w:bCs/>
          <w:iCs/>
        </w:rPr>
        <w:tab/>
        <w:t>Contracting Parties applying this Regulation shall continue to grant extensions of existing approvals to any preceding series of amendments to this Regulation.”</w:t>
      </w:r>
    </w:p>
    <w:p w14:paraId="78038E0C" w14:textId="77777777" w:rsidR="00F3184E" w:rsidRPr="00CA3CDB" w:rsidRDefault="00F3184E" w:rsidP="00F3184E">
      <w:pPr>
        <w:spacing w:after="120"/>
        <w:ind w:left="1134" w:right="1134"/>
        <w:rPr>
          <w:iCs/>
          <w:lang w:val="en-IN"/>
        </w:rPr>
      </w:pPr>
      <w:r w:rsidRPr="00CA3CDB">
        <w:rPr>
          <w:i/>
          <w:lang w:val="en-IN"/>
        </w:rPr>
        <w:t>Annex 4, paragraph 2.3</w:t>
      </w:r>
      <w:r>
        <w:rPr>
          <w:i/>
          <w:lang w:val="en-IN"/>
        </w:rPr>
        <w:t>.</w:t>
      </w:r>
      <w:r w:rsidRPr="00CA3CDB">
        <w:rPr>
          <w:i/>
          <w:lang w:val="en-IN"/>
        </w:rPr>
        <w:t xml:space="preserve">, </w:t>
      </w:r>
      <w:r w:rsidRPr="00CA3CDB">
        <w:rPr>
          <w:iCs/>
          <w:lang w:val="en-IN"/>
        </w:rPr>
        <w:t>amend to read:</w:t>
      </w:r>
    </w:p>
    <w:p w14:paraId="3B6D6ABB" w14:textId="77777777" w:rsidR="00F3184E" w:rsidRPr="00CA3CDB" w:rsidRDefault="00F3184E" w:rsidP="00F3184E">
      <w:pPr>
        <w:spacing w:after="120" w:line="240" w:lineRule="auto"/>
        <w:ind w:left="2268" w:right="1134" w:hanging="1134"/>
        <w:jc w:val="both"/>
        <w:rPr>
          <w:lang w:val="en-US"/>
        </w:rPr>
      </w:pPr>
      <w:r w:rsidRPr="00CA3CDB">
        <w:rPr>
          <w:lang w:val="en-US"/>
        </w:rPr>
        <w:t xml:space="preserve">2.3. </w:t>
      </w:r>
      <w:r w:rsidRPr="00CA3CDB">
        <w:rPr>
          <w:lang w:val="en-US"/>
        </w:rPr>
        <w:tab/>
        <w:t>Parking braking system</w:t>
      </w:r>
    </w:p>
    <w:p w14:paraId="6FA451E3" w14:textId="77777777" w:rsidR="00F3184E" w:rsidRPr="00CA3CDB" w:rsidRDefault="00F3184E" w:rsidP="00F3184E">
      <w:pPr>
        <w:spacing w:after="120" w:line="240" w:lineRule="auto"/>
        <w:ind w:left="2268" w:right="1134" w:hanging="1134"/>
        <w:jc w:val="both"/>
        <w:rPr>
          <w:lang w:val="en-US"/>
        </w:rPr>
      </w:pPr>
      <w:r w:rsidRPr="00CA3CDB">
        <w:rPr>
          <w:lang w:val="en-US"/>
        </w:rPr>
        <w:t>2.3.1.</w:t>
      </w:r>
      <w:r w:rsidRPr="00CA3CDB">
        <w:rPr>
          <w:lang w:val="en-US"/>
        </w:rPr>
        <w:tab/>
        <w:t>The parking braking system shall, even if it is combined with one of the other braking systems, be capable of holding the laden vehicle stationary on an 18 per cent up or down-gradient.</w:t>
      </w:r>
    </w:p>
    <w:p w14:paraId="0DE65606" w14:textId="77777777" w:rsidR="00F3184E" w:rsidRPr="00CA3CDB" w:rsidRDefault="00F3184E" w:rsidP="00F3184E">
      <w:pPr>
        <w:spacing w:after="120" w:line="240" w:lineRule="auto"/>
        <w:ind w:left="2268" w:right="1134" w:hanging="1134"/>
        <w:jc w:val="both"/>
        <w:rPr>
          <w:lang w:val="en-US"/>
        </w:rPr>
      </w:pPr>
      <w:r w:rsidRPr="00CA3CDB">
        <w:rPr>
          <w:lang w:val="en-US"/>
        </w:rPr>
        <w:t xml:space="preserve">2.3.2. </w:t>
      </w:r>
      <w:r w:rsidRPr="00CA3CDB">
        <w:rPr>
          <w:lang w:val="en-US"/>
        </w:rPr>
        <w:tab/>
        <w:t>On vehicles to which the coupling of a trailer is authorized, the parking braking system of the towing vehicle shall be capable of holding the combination of vehicles stationary on a 12 per cent up or down-gradient.</w:t>
      </w:r>
    </w:p>
    <w:p w14:paraId="587ECEAA" w14:textId="77777777" w:rsidR="00F3184E" w:rsidRPr="00CA3CDB" w:rsidRDefault="00F3184E" w:rsidP="00F3184E">
      <w:pPr>
        <w:spacing w:after="120" w:line="240" w:lineRule="auto"/>
        <w:ind w:left="2268" w:right="1134" w:hanging="1134"/>
        <w:rPr>
          <w:lang w:val="en-US"/>
        </w:rPr>
      </w:pPr>
      <w:r w:rsidRPr="00CA3CDB">
        <w:rPr>
          <w:lang w:val="en-US"/>
        </w:rPr>
        <w:t xml:space="preserve">2.3.3. </w:t>
      </w:r>
      <w:r w:rsidRPr="00CA3CDB">
        <w:rPr>
          <w:lang w:val="en-US"/>
        </w:rPr>
        <w:tab/>
        <w:t xml:space="preserve">If the control is manual, the force applied to it shall not exceed 60 </w:t>
      </w:r>
      <w:proofErr w:type="spellStart"/>
      <w:r w:rsidRPr="00CA3CDB">
        <w:rPr>
          <w:lang w:val="en-US"/>
        </w:rPr>
        <w:t>daN.</w:t>
      </w:r>
      <w:proofErr w:type="spellEnd"/>
    </w:p>
    <w:p w14:paraId="13CB293A" w14:textId="77777777" w:rsidR="00F3184E" w:rsidRPr="00CA3CDB" w:rsidRDefault="00F3184E" w:rsidP="00F3184E">
      <w:pPr>
        <w:spacing w:after="120" w:line="240" w:lineRule="auto"/>
        <w:ind w:left="2268" w:right="1134" w:hanging="1134"/>
        <w:jc w:val="both"/>
        <w:rPr>
          <w:lang w:val="en-US"/>
        </w:rPr>
      </w:pPr>
      <w:r w:rsidRPr="00CA3CDB">
        <w:rPr>
          <w:lang w:val="en-US"/>
        </w:rPr>
        <w:t xml:space="preserve">2.3.4. </w:t>
      </w:r>
      <w:r w:rsidRPr="00CA3CDB">
        <w:rPr>
          <w:lang w:val="en-US"/>
        </w:rPr>
        <w:tab/>
        <w:t xml:space="preserve">If it is a foot control, the force exerted on the control shall not exceed 70 </w:t>
      </w:r>
      <w:proofErr w:type="spellStart"/>
      <w:r w:rsidRPr="00CA3CDB">
        <w:rPr>
          <w:lang w:val="en-US"/>
        </w:rPr>
        <w:t>daN.</w:t>
      </w:r>
      <w:proofErr w:type="spellEnd"/>
    </w:p>
    <w:p w14:paraId="73F944E6" w14:textId="77777777" w:rsidR="00F3184E" w:rsidRPr="00CA3CDB" w:rsidRDefault="00F3184E" w:rsidP="00F3184E">
      <w:pPr>
        <w:spacing w:after="120" w:line="240" w:lineRule="auto"/>
        <w:ind w:left="2268" w:right="1134" w:hanging="1134"/>
        <w:jc w:val="both"/>
        <w:rPr>
          <w:lang w:val="en-US"/>
        </w:rPr>
      </w:pPr>
      <w:r w:rsidRPr="00CA3CDB">
        <w:rPr>
          <w:lang w:val="en-US"/>
        </w:rPr>
        <w:t xml:space="preserve">2.3.5. </w:t>
      </w:r>
      <w:r w:rsidRPr="00CA3CDB">
        <w:rPr>
          <w:lang w:val="en-US"/>
        </w:rPr>
        <w:tab/>
        <w:t>A parking braking system which has to be actuated several times before it attains the prescribed performance is admissible.</w:t>
      </w:r>
    </w:p>
    <w:p w14:paraId="3CD5198D" w14:textId="77777777" w:rsidR="00F3184E" w:rsidRPr="00CA3CDB" w:rsidRDefault="00F3184E" w:rsidP="00F3184E">
      <w:pPr>
        <w:spacing w:after="120" w:line="240" w:lineRule="auto"/>
        <w:ind w:left="2268" w:right="1134" w:hanging="1134"/>
        <w:jc w:val="both"/>
        <w:rPr>
          <w:lang w:val="en-US"/>
        </w:rPr>
      </w:pPr>
      <w:r w:rsidRPr="00CA3CDB">
        <w:rPr>
          <w:lang w:val="en-US"/>
        </w:rPr>
        <w:t xml:space="preserve">2.3.6. </w:t>
      </w:r>
      <w:r w:rsidRPr="00CA3CDB">
        <w:rPr>
          <w:lang w:val="en-US"/>
        </w:rPr>
        <w:tab/>
        <w:t>To check compliance with the requirement specified in paragraph 5.2.1.2.4. of this Regulation, a Type-0 test shall be carried out with the engine disconnected at an initial test speed of 30 km/h. The mean fully developed deceleration on application of the control of the parking brake system and the deceleration immediately before the vehicle stops shall not be less than 1.5 m/s2. The test shall be carried out with the laden vehicle. The force exerted on the braking control device shall not exceed the specified values.</w:t>
      </w:r>
    </w:p>
    <w:p w14:paraId="56420293" w14:textId="77777777" w:rsidR="00F3184E" w:rsidRDefault="00F3184E" w:rsidP="00F3184E">
      <w:pPr>
        <w:pStyle w:val="SingleTxtG"/>
        <w:ind w:left="2268" w:hanging="1134"/>
      </w:pPr>
      <w:r w:rsidRPr="00CA3CDB">
        <w:rPr>
          <w:lang w:val="en-US"/>
        </w:rPr>
        <w:t xml:space="preserve">2.3.7. </w:t>
      </w:r>
      <w:r w:rsidRPr="00CA3CDB">
        <w:rPr>
          <w:lang w:val="en-US"/>
        </w:rPr>
        <w:tab/>
      </w:r>
      <w:r w:rsidRPr="00CA3CDB">
        <w:rPr>
          <w:lang w:val="en-US"/>
        </w:rPr>
        <w:tab/>
        <w:t>To check the compliance with the requirements specified in paragraph</w:t>
      </w:r>
      <w:r>
        <w:rPr>
          <w:lang w:val="en-US"/>
        </w:rPr>
        <w:t> </w:t>
      </w:r>
      <w:r w:rsidRPr="00CA3CDB">
        <w:t>5.2.1.26.4</w:t>
      </w:r>
      <w:r w:rsidRPr="00BC3D82">
        <w:t>.</w:t>
      </w:r>
      <w:r w:rsidRPr="00CA3CDB">
        <w:t xml:space="preserve"> </w:t>
      </w:r>
      <w:r w:rsidRPr="00CA3CDB">
        <w:rPr>
          <w:lang w:val="en-US"/>
        </w:rPr>
        <w:t xml:space="preserve">of this Regulation, the automatic activation of the parking brake shall be checked by stopping the engine and additionally by leaving the cabin against the declared activation criteria and/or for vehicles of </w:t>
      </w:r>
      <w:r>
        <w:rPr>
          <w:lang w:val="en-US"/>
        </w:rPr>
        <w:t>C</w:t>
      </w:r>
      <w:r w:rsidRPr="00CA3CDB">
        <w:rPr>
          <w:lang w:val="en-US"/>
        </w:rPr>
        <w:t>ategory M by not operating any controls nor any brakes for a duration of at least 30 s</w:t>
      </w:r>
      <w:r>
        <w:rPr>
          <w:lang w:val="en-US"/>
        </w:rPr>
        <w:t>econds</w:t>
      </w:r>
      <w:r w:rsidRPr="00CA3CDB">
        <w:rPr>
          <w:lang w:val="en-US"/>
        </w:rPr>
        <w:t>.</w:t>
      </w:r>
      <w:r>
        <w:rPr>
          <w:lang w:val="en-US"/>
        </w:rPr>
        <w:t>”</w:t>
      </w:r>
    </w:p>
    <w:p w14:paraId="26CF6692" w14:textId="1E5FE8E5" w:rsidR="004C12D7" w:rsidRPr="001547D4" w:rsidRDefault="007D080D" w:rsidP="007D080D">
      <w:pPr>
        <w:spacing w:before="240"/>
        <w:jc w:val="center"/>
        <w:rPr>
          <w:u w:val="single"/>
        </w:rPr>
      </w:pPr>
      <w:r>
        <w:rPr>
          <w:u w:val="single"/>
        </w:rPr>
        <w:tab/>
      </w:r>
      <w:r>
        <w:rPr>
          <w:u w:val="single"/>
        </w:rPr>
        <w:tab/>
      </w:r>
      <w:r>
        <w:rPr>
          <w:u w:val="single"/>
        </w:rPr>
        <w:tab/>
      </w:r>
    </w:p>
    <w:sectPr w:rsidR="004C12D7" w:rsidRPr="001547D4" w:rsidSect="002F1502">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D113" w14:textId="77777777" w:rsidR="009A3BFE" w:rsidRDefault="009A3BFE"/>
  </w:endnote>
  <w:endnote w:type="continuationSeparator" w:id="0">
    <w:p w14:paraId="344AAD6C" w14:textId="77777777" w:rsidR="009A3BFE" w:rsidRDefault="009A3BFE"/>
  </w:endnote>
  <w:endnote w:type="continuationNotice" w:id="1">
    <w:p w14:paraId="04FF7F17" w14:textId="77777777" w:rsidR="009A3BFE" w:rsidRDefault="009A3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0473" w14:textId="668575DA"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EE4F45">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877D" w14:textId="34BC7379"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4C12D7">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818C" w14:textId="2218E191" w:rsidR="00944146" w:rsidRDefault="00944146" w:rsidP="00944146">
    <w:pPr>
      <w:pStyle w:val="Footer"/>
    </w:pPr>
    <w:r w:rsidRPr="0027112F">
      <w:rPr>
        <w:noProof/>
        <w:lang w:val="en-US"/>
      </w:rPr>
      <w:drawing>
        <wp:anchor distT="0" distB="0" distL="114300" distR="114300" simplePos="0" relativeHeight="251659264" behindDoc="0" locked="1" layoutInCell="1" allowOverlap="1" wp14:anchorId="653D0C65" wp14:editId="7211709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F923EA2" w14:textId="185BB1BD" w:rsidR="00944146" w:rsidRPr="00944146" w:rsidRDefault="00944146" w:rsidP="00944146">
    <w:pPr>
      <w:pStyle w:val="Footer"/>
      <w:ind w:right="1134"/>
      <w:rPr>
        <w:sz w:val="20"/>
      </w:rPr>
    </w:pPr>
    <w:r>
      <w:rPr>
        <w:sz w:val="20"/>
      </w:rPr>
      <w:t>GE.22-25369(E)</w:t>
    </w:r>
    <w:r>
      <w:rPr>
        <w:noProof/>
        <w:sz w:val="20"/>
      </w:rPr>
      <w:drawing>
        <wp:anchor distT="0" distB="0" distL="114300" distR="114300" simplePos="0" relativeHeight="251660288" behindDoc="0" locked="0" layoutInCell="1" allowOverlap="1" wp14:anchorId="07B7B2A0" wp14:editId="47BCAE91">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DF948" w14:textId="77777777" w:rsidR="009A3BFE" w:rsidRPr="000B175B" w:rsidRDefault="009A3BFE" w:rsidP="000B175B">
      <w:pPr>
        <w:tabs>
          <w:tab w:val="right" w:pos="2155"/>
        </w:tabs>
        <w:spacing w:after="80"/>
        <w:ind w:left="680"/>
        <w:rPr>
          <w:u w:val="single"/>
        </w:rPr>
      </w:pPr>
      <w:r>
        <w:rPr>
          <w:u w:val="single"/>
        </w:rPr>
        <w:tab/>
      </w:r>
    </w:p>
  </w:footnote>
  <w:footnote w:type="continuationSeparator" w:id="0">
    <w:p w14:paraId="0849112E" w14:textId="77777777" w:rsidR="009A3BFE" w:rsidRPr="00FC68B7" w:rsidRDefault="009A3BFE" w:rsidP="00FC68B7">
      <w:pPr>
        <w:tabs>
          <w:tab w:val="left" w:pos="2155"/>
        </w:tabs>
        <w:spacing w:after="80"/>
        <w:ind w:left="680"/>
        <w:rPr>
          <w:u w:val="single"/>
        </w:rPr>
      </w:pPr>
      <w:r>
        <w:rPr>
          <w:u w:val="single"/>
        </w:rPr>
        <w:tab/>
      </w:r>
    </w:p>
  </w:footnote>
  <w:footnote w:type="continuationNotice" w:id="1">
    <w:p w14:paraId="7E17984D" w14:textId="77777777" w:rsidR="009A3BFE" w:rsidRDefault="009A3BFE"/>
  </w:footnote>
  <w:footnote w:id="2">
    <w:p w14:paraId="4CCF2412" w14:textId="77777777" w:rsidR="00C71AFE" w:rsidRPr="00893699" w:rsidRDefault="00C71AFE" w:rsidP="00C71AFE">
      <w:pPr>
        <w:pStyle w:val="FootnoteText"/>
      </w:pPr>
      <w:r w:rsidRPr="004C12D7">
        <w:rPr>
          <w:color w:val="FF0000"/>
        </w:rPr>
        <w:tab/>
      </w:r>
      <w:r w:rsidRPr="00893699">
        <w:rPr>
          <w:rStyle w:val="FootnoteReference"/>
          <w:sz w:val="20"/>
        </w:rPr>
        <w:t>*</w:t>
      </w:r>
      <w:r w:rsidRPr="00893699">
        <w:rPr>
          <w:sz w:val="20"/>
        </w:rPr>
        <w:tab/>
      </w:r>
      <w:r w:rsidRPr="00893699">
        <w:t>Former titles of the Agreement:</w:t>
      </w:r>
    </w:p>
    <w:p w14:paraId="41A7B2F6" w14:textId="77777777" w:rsidR="00C71AFE" w:rsidRPr="00893699" w:rsidRDefault="00C71AFE" w:rsidP="00C71AFE">
      <w:pPr>
        <w:pStyle w:val="FootnoteText"/>
        <w:rPr>
          <w:sz w:val="20"/>
        </w:rPr>
      </w:pPr>
      <w:r w:rsidRPr="00893699">
        <w:tab/>
      </w:r>
      <w:r w:rsidRPr="00893699">
        <w:tab/>
      </w:r>
      <w:r w:rsidRPr="00893699">
        <w:rPr>
          <w:spacing w:val="-4"/>
        </w:rPr>
        <w:t>Agreement concerning the Adoption of Uniform Conditions of Approval and Reciprocal Recognition of Approval for Motor Vehicle Equipment and Parts, done at Geneva on 20 March 1958 (original version);</w:t>
      </w:r>
    </w:p>
    <w:p w14:paraId="59895AD6" w14:textId="77777777" w:rsidR="00C71AFE" w:rsidRPr="00893699" w:rsidRDefault="00C71AFE" w:rsidP="00C71AFE">
      <w:pPr>
        <w:pStyle w:val="FootnoteText"/>
      </w:pPr>
      <w:r w:rsidRPr="00893699">
        <w:tab/>
      </w:r>
      <w:r w:rsidRPr="00893699">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0B60" w14:textId="3860A985" w:rsidR="00B701B3" w:rsidRDefault="004C12D7">
    <w:pPr>
      <w:pStyle w:val="Header"/>
    </w:pPr>
    <w:r>
      <w:t>E/</w:t>
    </w:r>
    <w:r w:rsidRPr="001547D4">
      <w:t>ECE/324/Rev.1/Add.12/Rev.8/Amend.</w:t>
    </w:r>
    <w:r w:rsidR="003E5E7C">
      <w:t>9</w:t>
    </w:r>
    <w:r>
      <w:br/>
    </w:r>
    <w:r w:rsidR="00B701B3" w:rsidRPr="00D623A7">
      <w:t>E/ECE/TRANS/505</w:t>
    </w:r>
    <w:r w:rsidR="00B701B3" w:rsidRPr="00841EB5">
      <w:t>/</w:t>
    </w:r>
    <w:r w:rsidR="00FB03A9" w:rsidRPr="00FB03A9">
      <w:t>Rev.1/Add.12/Rev.8/Amend.</w:t>
    </w:r>
    <w:r w:rsidR="003E5E7C">
      <w:t>9</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837B" w14:textId="6FD23E14" w:rsidR="00B701B3" w:rsidRPr="00204153" w:rsidRDefault="004C12D7" w:rsidP="00776D12">
    <w:pPr>
      <w:pStyle w:val="Header"/>
      <w:jc w:val="right"/>
      <w:rPr>
        <w:lang w:val="en-US"/>
      </w:rPr>
    </w:pPr>
    <w:r>
      <w:t>E/</w:t>
    </w:r>
    <w:r w:rsidRPr="001547D4">
      <w:t>ECE/324/Rev.1/Add.12/Rev.8/Amend.</w:t>
    </w:r>
    <w:r w:rsidR="003E5E7C">
      <w:t>9</w:t>
    </w:r>
    <w:r>
      <w:br/>
    </w:r>
    <w:r w:rsidR="00204153" w:rsidRPr="00D623A7">
      <w:t>E/ECE/TRANS/505</w:t>
    </w:r>
    <w:r w:rsidR="00204153" w:rsidRPr="00841EB5">
      <w:t>/</w:t>
    </w:r>
    <w:r w:rsidR="00204153" w:rsidRPr="00FB03A9">
      <w:t>Rev.1/Add.12/Rev.8/Amend.</w:t>
    </w:r>
    <w:r w:rsidR="003E5E7C">
      <w:t>9</w:t>
    </w:r>
  </w:p>
  <w:p w14:paraId="4823CE24" w14:textId="77777777" w:rsidR="00BF4A36" w:rsidRPr="00204153" w:rsidRDefault="00BF4A36" w:rsidP="00BF4A36">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50F6B"/>
    <w:rsid w:val="00063AFE"/>
    <w:rsid w:val="00072C8C"/>
    <w:rsid w:val="00077F76"/>
    <w:rsid w:val="00086287"/>
    <w:rsid w:val="000931C0"/>
    <w:rsid w:val="00094460"/>
    <w:rsid w:val="000B175B"/>
    <w:rsid w:val="000B3A0F"/>
    <w:rsid w:val="000D3A4F"/>
    <w:rsid w:val="000E0415"/>
    <w:rsid w:val="00114763"/>
    <w:rsid w:val="001220B8"/>
    <w:rsid w:val="00127454"/>
    <w:rsid w:val="00134B40"/>
    <w:rsid w:val="001352D9"/>
    <w:rsid w:val="001547D4"/>
    <w:rsid w:val="00165E82"/>
    <w:rsid w:val="001A0455"/>
    <w:rsid w:val="001A66A2"/>
    <w:rsid w:val="001B4B04"/>
    <w:rsid w:val="001C6663"/>
    <w:rsid w:val="001C7895"/>
    <w:rsid w:val="001D26DF"/>
    <w:rsid w:val="0020269B"/>
    <w:rsid w:val="00204153"/>
    <w:rsid w:val="0020490B"/>
    <w:rsid w:val="00211E0B"/>
    <w:rsid w:val="002405A7"/>
    <w:rsid w:val="00242061"/>
    <w:rsid w:val="00271A7F"/>
    <w:rsid w:val="00292FDC"/>
    <w:rsid w:val="00293FF9"/>
    <w:rsid w:val="002A1E3A"/>
    <w:rsid w:val="002F1502"/>
    <w:rsid w:val="00300A81"/>
    <w:rsid w:val="003107FA"/>
    <w:rsid w:val="00312E48"/>
    <w:rsid w:val="00315203"/>
    <w:rsid w:val="003229D8"/>
    <w:rsid w:val="0033745A"/>
    <w:rsid w:val="0036388C"/>
    <w:rsid w:val="003852F5"/>
    <w:rsid w:val="0038647A"/>
    <w:rsid w:val="0039277A"/>
    <w:rsid w:val="003972E0"/>
    <w:rsid w:val="003A0620"/>
    <w:rsid w:val="003C2CC4"/>
    <w:rsid w:val="003C3936"/>
    <w:rsid w:val="003D4B23"/>
    <w:rsid w:val="003E5E7C"/>
    <w:rsid w:val="003F1ED3"/>
    <w:rsid w:val="004325CB"/>
    <w:rsid w:val="004353DB"/>
    <w:rsid w:val="00440758"/>
    <w:rsid w:val="00445C26"/>
    <w:rsid w:val="00446DE4"/>
    <w:rsid w:val="004701E9"/>
    <w:rsid w:val="00475FD4"/>
    <w:rsid w:val="004874C3"/>
    <w:rsid w:val="004A41CA"/>
    <w:rsid w:val="004A53CC"/>
    <w:rsid w:val="004C12D7"/>
    <w:rsid w:val="004C70C1"/>
    <w:rsid w:val="004E3FEB"/>
    <w:rsid w:val="00503228"/>
    <w:rsid w:val="00505384"/>
    <w:rsid w:val="00535748"/>
    <w:rsid w:val="005420F2"/>
    <w:rsid w:val="0054561B"/>
    <w:rsid w:val="00582B38"/>
    <w:rsid w:val="005A08D2"/>
    <w:rsid w:val="005B3DB3"/>
    <w:rsid w:val="005C3692"/>
    <w:rsid w:val="005E1409"/>
    <w:rsid w:val="00611FC4"/>
    <w:rsid w:val="00616B23"/>
    <w:rsid w:val="006176FB"/>
    <w:rsid w:val="00627ED0"/>
    <w:rsid w:val="00640B26"/>
    <w:rsid w:val="0064636E"/>
    <w:rsid w:val="00665595"/>
    <w:rsid w:val="00675451"/>
    <w:rsid w:val="0069341E"/>
    <w:rsid w:val="00694209"/>
    <w:rsid w:val="006A67EF"/>
    <w:rsid w:val="006A7392"/>
    <w:rsid w:val="006E564B"/>
    <w:rsid w:val="00713BD8"/>
    <w:rsid w:val="00722730"/>
    <w:rsid w:val="0072632A"/>
    <w:rsid w:val="00732513"/>
    <w:rsid w:val="00743CD6"/>
    <w:rsid w:val="00750602"/>
    <w:rsid w:val="00773830"/>
    <w:rsid w:val="00776D12"/>
    <w:rsid w:val="0079364A"/>
    <w:rsid w:val="007B6BA5"/>
    <w:rsid w:val="007C3390"/>
    <w:rsid w:val="007C4F4B"/>
    <w:rsid w:val="007D080D"/>
    <w:rsid w:val="007D3821"/>
    <w:rsid w:val="007F0B83"/>
    <w:rsid w:val="007F6611"/>
    <w:rsid w:val="008175E9"/>
    <w:rsid w:val="008242D7"/>
    <w:rsid w:val="00827E05"/>
    <w:rsid w:val="008311A3"/>
    <w:rsid w:val="00841EB5"/>
    <w:rsid w:val="008518D5"/>
    <w:rsid w:val="00871FD5"/>
    <w:rsid w:val="00891291"/>
    <w:rsid w:val="00893699"/>
    <w:rsid w:val="00894E2B"/>
    <w:rsid w:val="008979B1"/>
    <w:rsid w:val="008A6B25"/>
    <w:rsid w:val="008A6C4F"/>
    <w:rsid w:val="008C3804"/>
    <w:rsid w:val="008E0E46"/>
    <w:rsid w:val="008F7600"/>
    <w:rsid w:val="00907AD2"/>
    <w:rsid w:val="00944146"/>
    <w:rsid w:val="00963CBA"/>
    <w:rsid w:val="00964314"/>
    <w:rsid w:val="00974A8D"/>
    <w:rsid w:val="00991261"/>
    <w:rsid w:val="009A28A4"/>
    <w:rsid w:val="009A3BFE"/>
    <w:rsid w:val="009F3A17"/>
    <w:rsid w:val="00A00F1D"/>
    <w:rsid w:val="00A1427D"/>
    <w:rsid w:val="00A41529"/>
    <w:rsid w:val="00A569D6"/>
    <w:rsid w:val="00A72F22"/>
    <w:rsid w:val="00A748A6"/>
    <w:rsid w:val="00A85956"/>
    <w:rsid w:val="00A879A4"/>
    <w:rsid w:val="00A959D8"/>
    <w:rsid w:val="00B30179"/>
    <w:rsid w:val="00B32121"/>
    <w:rsid w:val="00B33EC0"/>
    <w:rsid w:val="00B701B3"/>
    <w:rsid w:val="00B81E12"/>
    <w:rsid w:val="00BC2683"/>
    <w:rsid w:val="00BC358D"/>
    <w:rsid w:val="00BC74E9"/>
    <w:rsid w:val="00BD2146"/>
    <w:rsid w:val="00BD538F"/>
    <w:rsid w:val="00BE21A9"/>
    <w:rsid w:val="00BE4F74"/>
    <w:rsid w:val="00BE618E"/>
    <w:rsid w:val="00BF4A36"/>
    <w:rsid w:val="00BF6D95"/>
    <w:rsid w:val="00C07C8B"/>
    <w:rsid w:val="00C17699"/>
    <w:rsid w:val="00C21992"/>
    <w:rsid w:val="00C41A28"/>
    <w:rsid w:val="00C463DD"/>
    <w:rsid w:val="00C61666"/>
    <w:rsid w:val="00C711C7"/>
    <w:rsid w:val="00C71A58"/>
    <w:rsid w:val="00C71AFE"/>
    <w:rsid w:val="00C745C3"/>
    <w:rsid w:val="00C76959"/>
    <w:rsid w:val="00C84414"/>
    <w:rsid w:val="00CA1FD0"/>
    <w:rsid w:val="00CC3AE5"/>
    <w:rsid w:val="00CD6860"/>
    <w:rsid w:val="00CE4A8F"/>
    <w:rsid w:val="00CE5E33"/>
    <w:rsid w:val="00CE66D1"/>
    <w:rsid w:val="00D2031B"/>
    <w:rsid w:val="00D25FE2"/>
    <w:rsid w:val="00D312E4"/>
    <w:rsid w:val="00D317BB"/>
    <w:rsid w:val="00D356AC"/>
    <w:rsid w:val="00D43252"/>
    <w:rsid w:val="00D5540C"/>
    <w:rsid w:val="00D623A7"/>
    <w:rsid w:val="00D6614F"/>
    <w:rsid w:val="00D86984"/>
    <w:rsid w:val="00D978C6"/>
    <w:rsid w:val="00DA6090"/>
    <w:rsid w:val="00DA67AD"/>
    <w:rsid w:val="00DB2A25"/>
    <w:rsid w:val="00DB5D0F"/>
    <w:rsid w:val="00DC3F07"/>
    <w:rsid w:val="00DD6301"/>
    <w:rsid w:val="00DE5D62"/>
    <w:rsid w:val="00DF12F7"/>
    <w:rsid w:val="00DF3A2D"/>
    <w:rsid w:val="00E02C81"/>
    <w:rsid w:val="00E130AB"/>
    <w:rsid w:val="00E506F0"/>
    <w:rsid w:val="00E53330"/>
    <w:rsid w:val="00E7260F"/>
    <w:rsid w:val="00E7744E"/>
    <w:rsid w:val="00E8553E"/>
    <w:rsid w:val="00E85B94"/>
    <w:rsid w:val="00E87921"/>
    <w:rsid w:val="00E96630"/>
    <w:rsid w:val="00EA0ED6"/>
    <w:rsid w:val="00EA264E"/>
    <w:rsid w:val="00EA52B7"/>
    <w:rsid w:val="00EA5C30"/>
    <w:rsid w:val="00ED7A2A"/>
    <w:rsid w:val="00EE4F45"/>
    <w:rsid w:val="00EF1D7F"/>
    <w:rsid w:val="00F3184E"/>
    <w:rsid w:val="00F35E54"/>
    <w:rsid w:val="00F53EDA"/>
    <w:rsid w:val="00F7753D"/>
    <w:rsid w:val="00F85F34"/>
    <w:rsid w:val="00FA06F7"/>
    <w:rsid w:val="00FB0123"/>
    <w:rsid w:val="00FB03A9"/>
    <w:rsid w:val="00FB171A"/>
    <w:rsid w:val="00FC68B7"/>
    <w:rsid w:val="00FD7BF6"/>
    <w:rsid w:val="00FF1DA4"/>
    <w:rsid w:val="00FF7D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0A858"/>
  <w15:docId w15:val="{A089882B-9FA2-4C2E-9DE0-36B2D793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ListParagraph">
    <w:name w:val="List Paragraph"/>
    <w:basedOn w:val="Normal"/>
    <w:uiPriority w:val="34"/>
    <w:qFormat/>
    <w:rsid w:val="007D080D"/>
    <w:pPr>
      <w:ind w:left="720"/>
      <w:contextualSpacing/>
    </w:pPr>
    <w:rPr>
      <w:lang w:eastAsia="fr-FR"/>
    </w:rPr>
  </w:style>
  <w:style w:type="paragraph" w:styleId="BodyTextIndent">
    <w:name w:val="Body Text Indent"/>
    <w:basedOn w:val="Normal"/>
    <w:link w:val="BodyTextIndentChar"/>
    <w:rsid w:val="007D080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1426" w:hanging="1426"/>
      <w:jc w:val="both"/>
    </w:pPr>
    <w:rPr>
      <w:sz w:val="24"/>
    </w:rPr>
  </w:style>
  <w:style w:type="character" w:customStyle="1" w:styleId="BodyTextIndentChar">
    <w:name w:val="Body Text Indent Char"/>
    <w:basedOn w:val="DefaultParagraphFont"/>
    <w:link w:val="BodyTextIndent"/>
    <w:rsid w:val="007D080D"/>
    <w:rPr>
      <w:sz w:val="24"/>
      <w:lang w:eastAsia="en-US"/>
    </w:rPr>
  </w:style>
  <w:style w:type="paragraph" w:styleId="BodyTextIndent3">
    <w:name w:val="Body Text Indent 3"/>
    <w:basedOn w:val="Normal"/>
    <w:link w:val="BodyTextIndent3Char"/>
    <w:rsid w:val="007D080D"/>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720"/>
      <w:jc w:val="both"/>
    </w:pPr>
    <w:rPr>
      <w:color w:val="000000"/>
      <w:sz w:val="24"/>
      <w:szCs w:val="24"/>
      <w:lang w:eastAsia="en-GB"/>
    </w:rPr>
  </w:style>
  <w:style w:type="character" w:customStyle="1" w:styleId="BodyTextIndent3Char">
    <w:name w:val="Body Text Indent 3 Char"/>
    <w:basedOn w:val="DefaultParagraphFont"/>
    <w:link w:val="BodyTextIndent3"/>
    <w:rsid w:val="007D080D"/>
    <w:rPr>
      <w:color w:val="000000"/>
      <w:sz w:val="24"/>
      <w:szCs w:val="24"/>
    </w:rPr>
  </w:style>
  <w:style w:type="paragraph" w:styleId="BodyTextIndent2">
    <w:name w:val="Body Text Indent 2"/>
    <w:basedOn w:val="Normal"/>
    <w:link w:val="BodyTextIndent2Char"/>
    <w:semiHidden/>
    <w:unhideWhenUsed/>
    <w:rsid w:val="007D080D"/>
    <w:pPr>
      <w:spacing w:after="120" w:line="480" w:lineRule="auto"/>
      <w:ind w:left="283"/>
    </w:pPr>
    <w:rPr>
      <w:lang w:eastAsia="fr-FR"/>
    </w:rPr>
  </w:style>
  <w:style w:type="character" w:customStyle="1" w:styleId="BodyTextIndent2Char">
    <w:name w:val="Body Text Indent 2 Char"/>
    <w:basedOn w:val="DefaultParagraphFont"/>
    <w:link w:val="BodyTextIndent2"/>
    <w:semiHidden/>
    <w:rsid w:val="007D080D"/>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5982">
      <w:bodyDiv w:val="1"/>
      <w:marLeft w:val="0"/>
      <w:marRight w:val="0"/>
      <w:marTop w:val="0"/>
      <w:marBottom w:val="0"/>
      <w:divBdr>
        <w:top w:val="none" w:sz="0" w:space="0" w:color="auto"/>
        <w:left w:val="none" w:sz="0" w:space="0" w:color="auto"/>
        <w:bottom w:val="none" w:sz="0" w:space="0" w:color="auto"/>
        <w:right w:val="none" w:sz="0" w:space="0" w:color="auto"/>
      </w:divBdr>
    </w:div>
    <w:div w:id="49908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DF0A926-AC8A-4B7F-BA35-9D812C620C48}">
  <ds:schemaRefs>
    <ds:schemaRef ds:uri="http://schemas.microsoft.com/sharepoint/v3/contenttype/forms"/>
  </ds:schemaRefs>
</ds:datastoreItem>
</file>

<file path=customXml/itemProps2.xml><?xml version="1.0" encoding="utf-8"?>
<ds:datastoreItem xmlns:ds="http://schemas.openxmlformats.org/officeDocument/2006/customXml" ds:itemID="{18F8932F-8CE7-4906-B9F5-5FA9A890B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340E4-4DA8-4C62-94A1-CAE40938A00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5528</Characters>
  <Application>Microsoft Office Word</Application>
  <DocSecurity>0</DocSecurity>
  <Lines>113</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E/ECE/324/Rev.1/Add.12/Rev.8/Amend.6</vt:lpstr>
      <vt:lpstr>1701809</vt:lpstr>
    </vt:vector>
  </TitlesOfParts>
  <Company>CSD</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E/ECE/324/Rev.1/Add.12/Rev.8/Amend.9</dc:title>
  <dc:subject>2225369</dc:subject>
  <dc:creator>Caillot</dc:creator>
  <cp:keywords/>
  <dc:description/>
  <cp:lastModifiedBy>Maria Rosario Corazon Gatmaytan</cp:lastModifiedBy>
  <cp:revision>2</cp:revision>
  <cp:lastPrinted>2022-11-10T14:27:00Z</cp:lastPrinted>
  <dcterms:created xsi:type="dcterms:W3CDTF">2022-11-12T16:37:00Z</dcterms:created>
  <dcterms:modified xsi:type="dcterms:W3CDTF">2022-11-12T16:37:00Z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170400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