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6DE89C2" w14:textId="77777777" w:rsidTr="00C97039">
        <w:trPr>
          <w:trHeight w:hRule="exact" w:val="851"/>
        </w:trPr>
        <w:tc>
          <w:tcPr>
            <w:tcW w:w="1276" w:type="dxa"/>
            <w:tcBorders>
              <w:bottom w:val="single" w:sz="4" w:space="0" w:color="auto"/>
            </w:tcBorders>
          </w:tcPr>
          <w:p w14:paraId="4E315603" w14:textId="77777777" w:rsidR="00F35BAF" w:rsidRPr="00DB58B5" w:rsidRDefault="00F35BAF" w:rsidP="006D41C7"/>
        </w:tc>
        <w:tc>
          <w:tcPr>
            <w:tcW w:w="2268" w:type="dxa"/>
            <w:tcBorders>
              <w:bottom w:val="single" w:sz="4" w:space="0" w:color="auto"/>
            </w:tcBorders>
            <w:vAlign w:val="bottom"/>
          </w:tcPr>
          <w:p w14:paraId="55BD906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5974B1" w14:textId="19313631" w:rsidR="00F35BAF" w:rsidRPr="00DB58B5" w:rsidRDefault="006D41C7" w:rsidP="006D41C7">
            <w:pPr>
              <w:jc w:val="right"/>
            </w:pPr>
            <w:r w:rsidRPr="006D41C7">
              <w:rPr>
                <w:sz w:val="40"/>
              </w:rPr>
              <w:t>ECE</w:t>
            </w:r>
            <w:r>
              <w:t>/TRANS/WP.29/GRVA/2023/5</w:t>
            </w:r>
          </w:p>
        </w:tc>
      </w:tr>
      <w:tr w:rsidR="00F35BAF" w:rsidRPr="00DB58B5" w14:paraId="7AC7C4D6" w14:textId="77777777" w:rsidTr="00C97039">
        <w:trPr>
          <w:trHeight w:hRule="exact" w:val="2835"/>
        </w:trPr>
        <w:tc>
          <w:tcPr>
            <w:tcW w:w="1276" w:type="dxa"/>
            <w:tcBorders>
              <w:top w:val="single" w:sz="4" w:space="0" w:color="auto"/>
              <w:bottom w:val="single" w:sz="12" w:space="0" w:color="auto"/>
            </w:tcBorders>
          </w:tcPr>
          <w:p w14:paraId="3257C10D" w14:textId="77777777" w:rsidR="00F35BAF" w:rsidRPr="00DB58B5" w:rsidRDefault="00F35BAF" w:rsidP="00C97039">
            <w:pPr>
              <w:spacing w:before="120"/>
              <w:jc w:val="center"/>
            </w:pPr>
            <w:r>
              <w:rPr>
                <w:noProof/>
                <w:lang w:eastAsia="fr-CH"/>
              </w:rPr>
              <w:drawing>
                <wp:inline distT="0" distB="0" distL="0" distR="0" wp14:anchorId="3769235E" wp14:editId="577E8C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95E6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A7D178" w14:textId="77777777" w:rsidR="00F35BAF" w:rsidRDefault="006D41C7" w:rsidP="00C97039">
            <w:pPr>
              <w:spacing w:before="240"/>
            </w:pPr>
            <w:proofErr w:type="spellStart"/>
            <w:r>
              <w:t>Distr</w:t>
            </w:r>
            <w:proofErr w:type="spellEnd"/>
            <w:r>
              <w:t>. générale</w:t>
            </w:r>
          </w:p>
          <w:p w14:paraId="424E7CBA" w14:textId="77777777" w:rsidR="006D41C7" w:rsidRDefault="006D41C7" w:rsidP="006D41C7">
            <w:pPr>
              <w:spacing w:line="240" w:lineRule="exact"/>
            </w:pPr>
            <w:r>
              <w:t>11 novembre 2022</w:t>
            </w:r>
          </w:p>
          <w:p w14:paraId="11E93EB5" w14:textId="77777777" w:rsidR="006D41C7" w:rsidRDefault="006D41C7" w:rsidP="006D41C7">
            <w:pPr>
              <w:spacing w:line="240" w:lineRule="exact"/>
            </w:pPr>
            <w:r>
              <w:t>Français</w:t>
            </w:r>
          </w:p>
          <w:p w14:paraId="70C96F82" w14:textId="690BA3FB" w:rsidR="006D41C7" w:rsidRPr="00DB58B5" w:rsidRDefault="006D41C7" w:rsidP="006D41C7">
            <w:pPr>
              <w:spacing w:line="240" w:lineRule="exact"/>
            </w:pPr>
            <w:r>
              <w:t>Original : anglais</w:t>
            </w:r>
          </w:p>
        </w:tc>
      </w:tr>
    </w:tbl>
    <w:p w14:paraId="5CD73443" w14:textId="1B6B1406" w:rsidR="007F20FA" w:rsidRPr="000312C0" w:rsidRDefault="007F20FA" w:rsidP="007F20FA">
      <w:pPr>
        <w:spacing w:before="120"/>
        <w:rPr>
          <w:b/>
          <w:sz w:val="28"/>
          <w:szCs w:val="28"/>
        </w:rPr>
      </w:pPr>
      <w:r w:rsidRPr="000312C0">
        <w:rPr>
          <w:b/>
          <w:sz w:val="28"/>
          <w:szCs w:val="28"/>
        </w:rPr>
        <w:t>Commission économique pour l</w:t>
      </w:r>
      <w:r w:rsidR="006D1003">
        <w:rPr>
          <w:b/>
          <w:sz w:val="28"/>
          <w:szCs w:val="28"/>
        </w:rPr>
        <w:t>’</w:t>
      </w:r>
      <w:r w:rsidRPr="000312C0">
        <w:rPr>
          <w:b/>
          <w:sz w:val="28"/>
          <w:szCs w:val="28"/>
        </w:rPr>
        <w:t>Europe</w:t>
      </w:r>
    </w:p>
    <w:p w14:paraId="46FCC52E" w14:textId="77777777" w:rsidR="007F20FA" w:rsidRDefault="007F20FA" w:rsidP="007F20FA">
      <w:pPr>
        <w:spacing w:before="120"/>
        <w:rPr>
          <w:sz w:val="28"/>
          <w:szCs w:val="28"/>
        </w:rPr>
      </w:pPr>
      <w:r w:rsidRPr="00685843">
        <w:rPr>
          <w:sz w:val="28"/>
          <w:szCs w:val="28"/>
        </w:rPr>
        <w:t>Comité des transports intérieurs</w:t>
      </w:r>
    </w:p>
    <w:p w14:paraId="621BBDCA" w14:textId="5C990729" w:rsidR="006D1003" w:rsidRPr="002C2D3B" w:rsidRDefault="006D1003" w:rsidP="006D1003">
      <w:pPr>
        <w:spacing w:before="120"/>
        <w:rPr>
          <w:b/>
          <w:sz w:val="24"/>
          <w:szCs w:val="24"/>
        </w:rPr>
      </w:pPr>
      <w:r w:rsidRPr="002C2D3B">
        <w:rPr>
          <w:b/>
          <w:bCs/>
          <w:sz w:val="24"/>
          <w:szCs w:val="24"/>
          <w:lang w:val="fr-FR"/>
        </w:rPr>
        <w:t>Forum mondial de l</w:t>
      </w:r>
      <w:r w:rsidRPr="002C2D3B">
        <w:rPr>
          <w:b/>
          <w:bCs/>
          <w:sz w:val="24"/>
          <w:szCs w:val="24"/>
          <w:lang w:val="fr-FR"/>
        </w:rPr>
        <w:t>’</w:t>
      </w:r>
      <w:r w:rsidRPr="002C2D3B">
        <w:rPr>
          <w:b/>
          <w:bCs/>
          <w:sz w:val="24"/>
          <w:szCs w:val="24"/>
          <w:lang w:val="fr-FR"/>
        </w:rPr>
        <w:t xml:space="preserve">harmonisation des Règlements </w:t>
      </w:r>
      <w:r w:rsidR="002C2D3B" w:rsidRPr="002C2D3B">
        <w:rPr>
          <w:b/>
          <w:bCs/>
          <w:sz w:val="24"/>
          <w:szCs w:val="24"/>
          <w:lang w:val="fr-FR"/>
        </w:rPr>
        <w:br/>
      </w:r>
      <w:r w:rsidRPr="002C2D3B">
        <w:rPr>
          <w:b/>
          <w:bCs/>
          <w:sz w:val="24"/>
          <w:szCs w:val="24"/>
          <w:lang w:val="fr-FR"/>
        </w:rPr>
        <w:t>concernant les véhicules</w:t>
      </w:r>
    </w:p>
    <w:p w14:paraId="5D4CDB2D" w14:textId="77777777" w:rsidR="006D1003" w:rsidRPr="00C66304" w:rsidRDefault="006D1003" w:rsidP="006D1003">
      <w:pPr>
        <w:spacing w:before="120"/>
        <w:rPr>
          <w:b/>
        </w:rPr>
      </w:pPr>
      <w:bookmarkStart w:id="0" w:name="_Hlk518466992"/>
      <w:r>
        <w:rPr>
          <w:b/>
          <w:bCs/>
          <w:lang w:val="fr-FR"/>
        </w:rPr>
        <w:t>Groupe de travail des véhicules automatisés/autonomes et connectés</w:t>
      </w:r>
      <w:bookmarkEnd w:id="0"/>
    </w:p>
    <w:p w14:paraId="688143A8" w14:textId="77777777" w:rsidR="006D1003" w:rsidRPr="00C66304" w:rsidRDefault="006D1003" w:rsidP="006D1003">
      <w:pPr>
        <w:spacing w:before="120"/>
        <w:rPr>
          <w:b/>
        </w:rPr>
      </w:pPr>
      <w:bookmarkStart w:id="1" w:name="OLE_LINK2"/>
      <w:r>
        <w:rPr>
          <w:b/>
          <w:bCs/>
          <w:lang w:val="fr-FR"/>
        </w:rPr>
        <w:t>Quinzième session</w:t>
      </w:r>
    </w:p>
    <w:p w14:paraId="420D7CF7" w14:textId="77777777" w:rsidR="006D1003" w:rsidRPr="00C66304" w:rsidRDefault="006D1003" w:rsidP="006D1003">
      <w:r>
        <w:rPr>
          <w:lang w:val="fr-FR"/>
        </w:rPr>
        <w:t>Genève, 23-27 janvier 2023</w:t>
      </w:r>
    </w:p>
    <w:p w14:paraId="1A7FF004" w14:textId="3BC4BBFA" w:rsidR="006D1003" w:rsidRPr="00C66304" w:rsidRDefault="006D1003" w:rsidP="006D1003">
      <w:r>
        <w:rPr>
          <w:lang w:val="fr-FR"/>
        </w:rPr>
        <w:t>Point 5 a) de l</w:t>
      </w:r>
      <w:r>
        <w:rPr>
          <w:lang w:val="fr-FR"/>
        </w:rPr>
        <w:t>’</w:t>
      </w:r>
      <w:r>
        <w:rPr>
          <w:lang w:val="fr-FR"/>
        </w:rPr>
        <w:t>ordre du jour provisoire</w:t>
      </w:r>
    </w:p>
    <w:p w14:paraId="39278C97" w14:textId="20A1A496" w:rsidR="006D1003" w:rsidRPr="00C66304" w:rsidRDefault="006D1003" w:rsidP="006D1003">
      <w:pPr>
        <w:rPr>
          <w:b/>
          <w:bCs/>
        </w:rPr>
      </w:pPr>
      <w:r>
        <w:rPr>
          <w:b/>
          <w:bCs/>
          <w:lang w:val="fr-FR"/>
        </w:rPr>
        <w:t>Véhicules connectés</w:t>
      </w:r>
      <w:r w:rsidR="002C2D3B">
        <w:rPr>
          <w:b/>
          <w:bCs/>
          <w:lang w:val="fr-FR"/>
        </w:rPr>
        <w:t> </w:t>
      </w:r>
      <w:r>
        <w:rPr>
          <w:b/>
          <w:bCs/>
          <w:lang w:val="fr-FR"/>
        </w:rPr>
        <w:t>:</w:t>
      </w:r>
    </w:p>
    <w:p w14:paraId="3D494D1B" w14:textId="77777777" w:rsidR="006D1003" w:rsidRPr="00C66304" w:rsidRDefault="006D1003" w:rsidP="006D1003">
      <w:pPr>
        <w:rPr>
          <w:b/>
          <w:bCs/>
        </w:rPr>
      </w:pPr>
      <w:r>
        <w:rPr>
          <w:b/>
          <w:bCs/>
          <w:lang w:val="fr-FR"/>
        </w:rPr>
        <w:t>Cybersécurité et protection des données</w:t>
      </w:r>
    </w:p>
    <w:p w14:paraId="401FCCE4" w14:textId="6C504E3F" w:rsidR="006D1003" w:rsidRPr="00C66304" w:rsidRDefault="006D1003" w:rsidP="002C2D3B">
      <w:pPr>
        <w:pStyle w:val="HChG"/>
      </w:pPr>
      <w:r>
        <w:rPr>
          <w:lang w:val="fr-FR"/>
        </w:rPr>
        <w:tab/>
      </w:r>
      <w:r>
        <w:rPr>
          <w:lang w:val="fr-FR"/>
        </w:rPr>
        <w:tab/>
        <w:t>Proposition d</w:t>
      </w:r>
      <w:r>
        <w:rPr>
          <w:lang w:val="fr-FR"/>
        </w:rPr>
        <w:t>’</w:t>
      </w:r>
      <w:r>
        <w:rPr>
          <w:lang w:val="fr-FR"/>
        </w:rPr>
        <w:t>amendements au document d</w:t>
      </w:r>
      <w:r>
        <w:rPr>
          <w:lang w:val="fr-FR"/>
        </w:rPr>
        <w:t>’</w:t>
      </w:r>
      <w:r>
        <w:rPr>
          <w:lang w:val="fr-FR"/>
        </w:rPr>
        <w:t xml:space="preserve">interprétation pour le Règlement ONU </w:t>
      </w:r>
      <w:r w:rsidRPr="00824717">
        <w:rPr>
          <w:lang w:val="fr-FR"/>
        </w:rPr>
        <w:t>n</w:t>
      </w:r>
      <w:r w:rsidRPr="00824717">
        <w:rPr>
          <w:vertAlign w:val="superscript"/>
          <w:lang w:val="fr-FR"/>
        </w:rPr>
        <w:t>o</w:t>
      </w:r>
      <w:r>
        <w:rPr>
          <w:vertAlign w:val="superscript"/>
          <w:lang w:val="fr-FR"/>
        </w:rPr>
        <w:t> </w:t>
      </w:r>
      <w:r>
        <w:rPr>
          <w:lang w:val="fr-FR"/>
        </w:rPr>
        <w:t xml:space="preserve">155 (Cybersécurité et système </w:t>
      </w:r>
      <w:r w:rsidR="00F666D3">
        <w:rPr>
          <w:lang w:val="fr-FR"/>
        </w:rPr>
        <w:br/>
      </w:r>
      <w:r>
        <w:rPr>
          <w:lang w:val="fr-FR"/>
        </w:rPr>
        <w:t>de gestion de la cybersécurité)</w:t>
      </w:r>
      <w:bookmarkEnd w:id="1"/>
    </w:p>
    <w:p w14:paraId="1F0416A1" w14:textId="16F18FC1" w:rsidR="006D1003" w:rsidRPr="00C66304" w:rsidRDefault="006D1003" w:rsidP="002C2D3B">
      <w:pPr>
        <w:pStyle w:val="H1G"/>
      </w:pPr>
      <w:r>
        <w:rPr>
          <w:lang w:val="fr-FR"/>
        </w:rPr>
        <w:tab/>
      </w:r>
      <w:r>
        <w:rPr>
          <w:lang w:val="fr-FR"/>
        </w:rPr>
        <w:tab/>
        <w:t>Communication de l</w:t>
      </w:r>
      <w:r>
        <w:rPr>
          <w:lang w:val="fr-FR"/>
        </w:rPr>
        <w:t>’</w:t>
      </w:r>
      <w:r>
        <w:rPr>
          <w:lang w:val="fr-FR"/>
        </w:rPr>
        <w:t>expert de la France</w:t>
      </w:r>
      <w:r w:rsidRPr="00F666D3">
        <w:rPr>
          <w:rStyle w:val="Appelnotedebasdep"/>
          <w:b w:val="0"/>
          <w:bCs/>
          <w:sz w:val="20"/>
          <w:vertAlign w:val="baseline"/>
          <w:lang w:val="fr-FR"/>
        </w:rPr>
        <w:footnoteReference w:customMarkFollows="1" w:id="2"/>
        <w:t>*</w:t>
      </w:r>
    </w:p>
    <w:p w14:paraId="7AE4E31F" w14:textId="1686F36C" w:rsidR="006D1003" w:rsidRDefault="006D1003" w:rsidP="00F666D3">
      <w:pPr>
        <w:pStyle w:val="SingleTxtG"/>
        <w:ind w:firstLine="567"/>
        <w:rPr>
          <w:lang w:val="fr-FR"/>
        </w:rPr>
      </w:pPr>
      <w:r>
        <w:rPr>
          <w:lang w:val="fr-FR"/>
        </w:rPr>
        <w:tab/>
        <w:t>Le texte ci-après a été établi par l</w:t>
      </w:r>
      <w:r>
        <w:rPr>
          <w:lang w:val="fr-FR"/>
        </w:rPr>
        <w:t>’</w:t>
      </w:r>
      <w:r>
        <w:rPr>
          <w:lang w:val="fr-FR"/>
        </w:rPr>
        <w:t>expert de la France. La proposition vise à ajouter une explication précisant que les autorités d</w:t>
      </w:r>
      <w:r>
        <w:rPr>
          <w:lang w:val="fr-FR"/>
        </w:rPr>
        <w:t>’</w:t>
      </w:r>
      <w:r>
        <w:rPr>
          <w:lang w:val="fr-FR"/>
        </w:rPr>
        <w:t>homologation peuvent reconnaître les certificats de conformité du système de gestion de la cybersécurité (CSMS) délivrés par l</w:t>
      </w:r>
      <w:r>
        <w:rPr>
          <w:lang w:val="fr-FR"/>
        </w:rPr>
        <w:t>’</w:t>
      </w:r>
      <w:r>
        <w:rPr>
          <w:lang w:val="fr-FR"/>
        </w:rPr>
        <w:t>autorité d</w:t>
      </w:r>
      <w:r>
        <w:rPr>
          <w:lang w:val="fr-FR"/>
        </w:rPr>
        <w:t>’</w:t>
      </w:r>
      <w:r>
        <w:rPr>
          <w:lang w:val="fr-FR"/>
        </w:rPr>
        <w:t>homologation d</w:t>
      </w:r>
      <w:r>
        <w:rPr>
          <w:lang w:val="fr-FR"/>
        </w:rPr>
        <w:t>’</w:t>
      </w:r>
      <w:r>
        <w:rPr>
          <w:lang w:val="fr-FR"/>
        </w:rPr>
        <w:t>une autre Partie contractante. Les modifications qu</w:t>
      </w:r>
      <w:r>
        <w:rPr>
          <w:lang w:val="fr-FR"/>
        </w:rPr>
        <w:t>’</w:t>
      </w:r>
      <w:r>
        <w:rPr>
          <w:lang w:val="fr-FR"/>
        </w:rPr>
        <w:t>il est proposé d</w:t>
      </w:r>
      <w:r>
        <w:rPr>
          <w:lang w:val="fr-FR"/>
        </w:rPr>
        <w:t>’</w:t>
      </w:r>
      <w:r>
        <w:rPr>
          <w:lang w:val="fr-FR"/>
        </w:rPr>
        <w:t xml:space="preserve">apporter au texte actuel du Règlement ONU figurent en caractères gras pour les ajouts et biffés pour les suppressions. </w:t>
      </w:r>
    </w:p>
    <w:p w14:paraId="39EA04CA" w14:textId="77777777" w:rsidR="006D1003" w:rsidRDefault="006D1003" w:rsidP="006D1003">
      <w:pPr>
        <w:suppressAutoHyphens w:val="0"/>
        <w:spacing w:line="240" w:lineRule="auto"/>
        <w:rPr>
          <w:lang w:val="fr-FR"/>
        </w:rPr>
      </w:pPr>
      <w:r>
        <w:rPr>
          <w:lang w:val="fr-FR"/>
        </w:rPr>
        <w:br w:type="page"/>
      </w:r>
    </w:p>
    <w:p w14:paraId="61C67BD8" w14:textId="53B9E233" w:rsidR="006D1003" w:rsidRPr="00C66304" w:rsidRDefault="009E67E0" w:rsidP="009E67E0">
      <w:pPr>
        <w:pStyle w:val="HChG"/>
      </w:pPr>
      <w:r>
        <w:rPr>
          <w:lang w:val="fr-FR"/>
        </w:rPr>
        <w:lastRenderedPageBreak/>
        <w:tab/>
      </w:r>
      <w:r w:rsidR="006D1003">
        <w:rPr>
          <w:lang w:val="fr-FR"/>
        </w:rPr>
        <w:t>I.</w:t>
      </w:r>
      <w:r w:rsidR="006D1003">
        <w:rPr>
          <w:lang w:val="fr-FR"/>
        </w:rPr>
        <w:tab/>
        <w:t>Proposition</w:t>
      </w:r>
    </w:p>
    <w:p w14:paraId="1689EBBB" w14:textId="77777777" w:rsidR="006D1003" w:rsidRPr="00C66304" w:rsidRDefault="006D1003" w:rsidP="009E67E0">
      <w:pPr>
        <w:pStyle w:val="SingleTxtG"/>
      </w:pPr>
      <w:r w:rsidRPr="009E67E0">
        <w:rPr>
          <w:i/>
          <w:iCs/>
          <w:lang w:val="fr-FR"/>
        </w:rPr>
        <w:t>Section K</w:t>
      </w:r>
      <w:r>
        <w:rPr>
          <w:lang w:val="fr-FR"/>
        </w:rPr>
        <w:t>, lire :</w:t>
      </w:r>
    </w:p>
    <w:p w14:paraId="44252BBE" w14:textId="77777777" w:rsidR="006D1003" w:rsidRPr="00C66304" w:rsidRDefault="006D1003" w:rsidP="009E67E0">
      <w:pPr>
        <w:pStyle w:val="SingleTxtG"/>
        <w:keepNext/>
        <w:ind w:left="2268" w:hanging="1134"/>
        <w:jc w:val="left"/>
        <w:rPr>
          <w:iCs/>
        </w:rPr>
      </w:pPr>
      <w:r>
        <w:rPr>
          <w:lang w:val="fr-FR"/>
        </w:rPr>
        <w:t>« 6.</w:t>
      </w:r>
      <w:r>
        <w:rPr>
          <w:lang w:val="fr-FR"/>
        </w:rPr>
        <w:tab/>
        <w:t>Certificat de conformité du système de gestion de la cybersécurité (CSMS)</w:t>
      </w:r>
    </w:p>
    <w:p w14:paraId="610BE473" w14:textId="2DD794F5" w:rsidR="006D1003" w:rsidRPr="00C66304" w:rsidRDefault="006D1003" w:rsidP="009E67E0">
      <w:pPr>
        <w:pStyle w:val="SingleTxtG"/>
        <w:ind w:left="2268" w:hanging="1134"/>
        <w:rPr>
          <w:iCs/>
        </w:rPr>
      </w:pPr>
      <w:r>
        <w:rPr>
          <w:lang w:val="fr-FR"/>
        </w:rPr>
        <w:t>6.1</w:t>
      </w:r>
      <w:r>
        <w:rPr>
          <w:lang w:val="fr-FR"/>
        </w:rPr>
        <w:tab/>
        <w:t>Les Parties contractantes doivent désigner une autorité d</w:t>
      </w:r>
      <w:r>
        <w:rPr>
          <w:lang w:val="fr-FR"/>
        </w:rPr>
        <w:t>’</w:t>
      </w:r>
      <w:r>
        <w:rPr>
          <w:lang w:val="fr-FR"/>
        </w:rPr>
        <w:t>homologation chargée de procéder à l</w:t>
      </w:r>
      <w:r>
        <w:rPr>
          <w:lang w:val="fr-FR"/>
        </w:rPr>
        <w:t>’</w:t>
      </w:r>
      <w:r>
        <w:rPr>
          <w:lang w:val="fr-FR"/>
        </w:rPr>
        <w:t>évaluation du constructeur et de délivrer le certificat de conformité du CSMS..</w:t>
      </w:r>
    </w:p>
    <w:p w14:paraId="2047F41C" w14:textId="77777777" w:rsidR="006D1003" w:rsidRPr="00535734" w:rsidRDefault="006D1003" w:rsidP="00535734">
      <w:pPr>
        <w:pStyle w:val="SingleTxtG"/>
        <w:keepNext/>
        <w:rPr>
          <w:i/>
          <w:iCs/>
        </w:rPr>
      </w:pPr>
      <w:r w:rsidRPr="00535734">
        <w:rPr>
          <w:i/>
          <w:iCs/>
          <w:lang w:val="fr-FR"/>
        </w:rPr>
        <w:t>Explication de la prescription</w:t>
      </w:r>
    </w:p>
    <w:p w14:paraId="036C91F8" w14:textId="237EC36C" w:rsidR="006D1003" w:rsidRPr="00535734" w:rsidRDefault="006D1003" w:rsidP="00535734">
      <w:pPr>
        <w:pStyle w:val="SingleTxtG"/>
        <w:rPr>
          <w:b/>
          <w:bCs/>
          <w:iCs/>
        </w:rPr>
      </w:pPr>
      <w:r w:rsidRPr="00535734">
        <w:rPr>
          <w:b/>
          <w:bCs/>
          <w:lang w:val="fr-FR"/>
        </w:rPr>
        <w:tab/>
        <w:t>Lorsqu</w:t>
      </w:r>
      <w:r w:rsidRPr="00535734">
        <w:rPr>
          <w:b/>
          <w:bCs/>
          <w:lang w:val="fr-FR"/>
        </w:rPr>
        <w:t>’</w:t>
      </w:r>
      <w:r w:rsidRPr="00535734">
        <w:rPr>
          <w:b/>
          <w:bCs/>
          <w:lang w:val="fr-FR"/>
        </w:rPr>
        <w:t>elle procède à l</w:t>
      </w:r>
      <w:r w:rsidRPr="00535734">
        <w:rPr>
          <w:b/>
          <w:bCs/>
          <w:lang w:val="fr-FR"/>
        </w:rPr>
        <w:t>’</w:t>
      </w:r>
      <w:r w:rsidRPr="00535734">
        <w:rPr>
          <w:b/>
          <w:bCs/>
          <w:lang w:val="fr-FR"/>
        </w:rPr>
        <w:t>évaluation du constructeur, une autorité d</w:t>
      </w:r>
      <w:r w:rsidRPr="00535734">
        <w:rPr>
          <w:b/>
          <w:bCs/>
          <w:lang w:val="fr-FR"/>
        </w:rPr>
        <w:t>’</w:t>
      </w:r>
      <w:r w:rsidRPr="00535734">
        <w:rPr>
          <w:b/>
          <w:bCs/>
          <w:lang w:val="fr-FR"/>
        </w:rPr>
        <w:t>homologation peut reconnaître, en totalité ou en partie, un certificat de conformité du CSMS délivré par l</w:t>
      </w:r>
      <w:r w:rsidRPr="00535734">
        <w:rPr>
          <w:b/>
          <w:bCs/>
          <w:lang w:val="fr-FR"/>
        </w:rPr>
        <w:t>’</w:t>
      </w:r>
      <w:r w:rsidRPr="00535734">
        <w:rPr>
          <w:b/>
          <w:bCs/>
          <w:lang w:val="fr-FR"/>
        </w:rPr>
        <w:t>autorité d</w:t>
      </w:r>
      <w:r w:rsidRPr="00535734">
        <w:rPr>
          <w:b/>
          <w:bCs/>
          <w:lang w:val="fr-FR"/>
        </w:rPr>
        <w:t>’</w:t>
      </w:r>
      <w:r w:rsidRPr="00535734">
        <w:rPr>
          <w:b/>
          <w:bCs/>
          <w:lang w:val="fr-FR"/>
        </w:rPr>
        <w:t>homologation d</w:t>
      </w:r>
      <w:r w:rsidRPr="00535734">
        <w:rPr>
          <w:b/>
          <w:bCs/>
          <w:lang w:val="fr-FR"/>
        </w:rPr>
        <w:t>’</w:t>
      </w:r>
      <w:r w:rsidRPr="00535734">
        <w:rPr>
          <w:b/>
          <w:bCs/>
          <w:lang w:val="fr-FR"/>
        </w:rPr>
        <w:t>une autre Partie contractante. Cela peut prendre la forme d</w:t>
      </w:r>
      <w:r w:rsidRPr="00535734">
        <w:rPr>
          <w:b/>
          <w:bCs/>
          <w:lang w:val="fr-FR"/>
        </w:rPr>
        <w:t>’</w:t>
      </w:r>
      <w:r w:rsidRPr="00535734">
        <w:rPr>
          <w:b/>
          <w:bCs/>
          <w:lang w:val="fr-FR"/>
        </w:rPr>
        <w:t>un accord entre les autorités d</w:t>
      </w:r>
      <w:r w:rsidRPr="00535734">
        <w:rPr>
          <w:b/>
          <w:bCs/>
          <w:lang w:val="fr-FR"/>
        </w:rPr>
        <w:t>’</w:t>
      </w:r>
      <w:r w:rsidRPr="00535734">
        <w:rPr>
          <w:b/>
          <w:bCs/>
          <w:lang w:val="fr-FR"/>
        </w:rPr>
        <w:t>homologation énonçant par exemple à quelles conditions un certificat peut être reconnu. Les autorités d</w:t>
      </w:r>
      <w:r w:rsidRPr="00535734">
        <w:rPr>
          <w:b/>
          <w:bCs/>
          <w:lang w:val="fr-FR"/>
        </w:rPr>
        <w:t>’</w:t>
      </w:r>
      <w:r w:rsidRPr="00535734">
        <w:rPr>
          <w:b/>
          <w:bCs/>
          <w:lang w:val="fr-FR"/>
        </w:rPr>
        <w:t>homologation qui reconnaissent un certificat demeurent entièrement responsables de toutes les homologations de type accordées par la suite en vertu dudit certificat, et sont notamment garantes de la validité du certificat de conformité du CSMS.</w:t>
      </w:r>
    </w:p>
    <w:p w14:paraId="7728889E" w14:textId="0B6941A7" w:rsidR="006D1003" w:rsidRPr="00535734" w:rsidRDefault="006D1003" w:rsidP="00535734">
      <w:pPr>
        <w:pStyle w:val="SingleTxtG"/>
        <w:rPr>
          <w:b/>
          <w:bCs/>
          <w:iCs/>
        </w:rPr>
      </w:pPr>
      <w:r w:rsidRPr="00535734">
        <w:rPr>
          <w:b/>
          <w:bCs/>
          <w:lang w:val="fr-FR"/>
        </w:rPr>
        <w:tab/>
        <w:t>Lorsqu</w:t>
      </w:r>
      <w:r w:rsidRPr="00535734">
        <w:rPr>
          <w:b/>
          <w:bCs/>
          <w:lang w:val="fr-FR"/>
        </w:rPr>
        <w:t>’</w:t>
      </w:r>
      <w:r w:rsidRPr="00535734">
        <w:rPr>
          <w:b/>
          <w:bCs/>
          <w:lang w:val="fr-FR"/>
        </w:rPr>
        <w:t>elles reconnaissent en partie un certificat de conformité du CSMS, les autorités d</w:t>
      </w:r>
      <w:r w:rsidRPr="00535734">
        <w:rPr>
          <w:b/>
          <w:bCs/>
          <w:lang w:val="fr-FR"/>
        </w:rPr>
        <w:t>’</w:t>
      </w:r>
      <w:r w:rsidRPr="00535734">
        <w:rPr>
          <w:b/>
          <w:bCs/>
          <w:lang w:val="fr-FR"/>
        </w:rPr>
        <w:t>homologation doivent délivrer en parallèle leur propre certificat, pour lequel elles sont responsables et qui sera le seul à figurer sur les fiches de communication pour toutes les homologations de type accordées par la suite en vertu dudit certificat. ».</w:t>
      </w:r>
    </w:p>
    <w:p w14:paraId="690E1812" w14:textId="66D44D2E" w:rsidR="006D1003" w:rsidRPr="00C36C01" w:rsidRDefault="0015193A" w:rsidP="0015193A">
      <w:pPr>
        <w:pStyle w:val="HChG"/>
      </w:pPr>
      <w:r>
        <w:rPr>
          <w:lang w:val="fr-FR"/>
        </w:rPr>
        <w:tab/>
      </w:r>
      <w:r w:rsidR="006D1003">
        <w:rPr>
          <w:lang w:val="fr-FR"/>
        </w:rPr>
        <w:t>II.</w:t>
      </w:r>
      <w:r w:rsidR="006D1003">
        <w:rPr>
          <w:lang w:val="fr-FR"/>
        </w:rPr>
        <w:tab/>
        <w:t>Justification</w:t>
      </w:r>
    </w:p>
    <w:p w14:paraId="0B9D1324" w14:textId="134CEDBE" w:rsidR="006D1003" w:rsidRDefault="0015193A" w:rsidP="006D1003">
      <w:pPr>
        <w:spacing w:after="120"/>
        <w:ind w:left="1134" w:right="1134"/>
        <w:jc w:val="both"/>
      </w:pPr>
      <w:r>
        <w:t>1.</w:t>
      </w:r>
      <w:r>
        <w:tab/>
      </w:r>
      <w:r w:rsidR="006D1003">
        <w:rPr>
          <w:lang w:val="fr-FR"/>
        </w:rPr>
        <w:t>Les certificats de conformité du CSMS ne sont pas des fiches de communication telles que définies par l</w:t>
      </w:r>
      <w:r w:rsidR="006D1003">
        <w:rPr>
          <w:lang w:val="fr-FR"/>
        </w:rPr>
        <w:t>’</w:t>
      </w:r>
      <w:r w:rsidR="006D1003">
        <w:rPr>
          <w:lang w:val="fr-FR"/>
        </w:rPr>
        <w:t>Accord de 1958. Par conséquent, à défaut d</w:t>
      </w:r>
      <w:r w:rsidR="006D1003">
        <w:rPr>
          <w:lang w:val="fr-FR"/>
        </w:rPr>
        <w:t>’</w:t>
      </w:r>
      <w:r w:rsidR="006D1003">
        <w:rPr>
          <w:lang w:val="fr-FR"/>
        </w:rPr>
        <w:t>un accord spécifique entre les autorités d</w:t>
      </w:r>
      <w:r w:rsidR="006D1003">
        <w:rPr>
          <w:lang w:val="fr-FR"/>
        </w:rPr>
        <w:t>’</w:t>
      </w:r>
      <w:r w:rsidR="006D1003">
        <w:rPr>
          <w:lang w:val="fr-FR"/>
        </w:rPr>
        <w:t>homologation, un constructeur souhaitant obtenir une homologation de type dans plusieurs pays doit se voir délivrer un certificat par l</w:t>
      </w:r>
      <w:r w:rsidR="006D1003">
        <w:rPr>
          <w:lang w:val="fr-FR"/>
        </w:rPr>
        <w:t>’</w:t>
      </w:r>
      <w:r w:rsidR="006D1003">
        <w:rPr>
          <w:lang w:val="fr-FR"/>
        </w:rPr>
        <w:t>autorité de chacun des pays, même si le CSMS est identique. Cela signifie qu</w:t>
      </w:r>
      <w:r w:rsidR="006D1003">
        <w:rPr>
          <w:lang w:val="fr-FR"/>
        </w:rPr>
        <w:t>’</w:t>
      </w:r>
      <w:r w:rsidR="006D1003">
        <w:rPr>
          <w:lang w:val="fr-FR"/>
        </w:rPr>
        <w:t>il doit faire auditer plusieurs fois les mêmes procédures,</w:t>
      </w:r>
      <w:r w:rsidR="006D1003" w:rsidRPr="00A96C9C">
        <w:rPr>
          <w:lang w:val="fr-FR"/>
        </w:rPr>
        <w:t xml:space="preserve"> </w:t>
      </w:r>
      <w:r w:rsidR="006D1003">
        <w:rPr>
          <w:lang w:val="fr-FR"/>
        </w:rPr>
        <w:t>ce qui présente peu d</w:t>
      </w:r>
      <w:r w:rsidR="006D1003">
        <w:rPr>
          <w:lang w:val="fr-FR"/>
        </w:rPr>
        <w:t>’</w:t>
      </w:r>
      <w:r w:rsidR="006D1003">
        <w:rPr>
          <w:lang w:val="fr-FR"/>
        </w:rPr>
        <w:t>intérêt étant donné que seules certaines de ces procédures sont prises en compte pour les homologations de type délivrées par la suite,</w:t>
      </w:r>
      <w:r w:rsidR="006D1003" w:rsidRPr="001C1B45">
        <w:rPr>
          <w:lang w:val="fr-FR"/>
        </w:rPr>
        <w:t xml:space="preserve"> </w:t>
      </w:r>
      <w:r w:rsidR="006D1003" w:rsidRPr="00A96C9C">
        <w:rPr>
          <w:lang w:val="fr-FR"/>
        </w:rPr>
        <w:t>comme c</w:t>
      </w:r>
      <w:r w:rsidR="006D1003">
        <w:rPr>
          <w:lang w:val="fr-FR"/>
        </w:rPr>
        <w:t>’</w:t>
      </w:r>
      <w:r w:rsidR="006D1003" w:rsidRPr="00A96C9C">
        <w:rPr>
          <w:lang w:val="fr-FR"/>
        </w:rPr>
        <w:t xml:space="preserve">est souvent le cas </w:t>
      </w:r>
      <w:r w:rsidR="006D1003">
        <w:rPr>
          <w:lang w:val="fr-FR"/>
        </w:rPr>
        <w:t>pour les</w:t>
      </w:r>
      <w:r w:rsidR="006D1003" w:rsidRPr="00A96C9C">
        <w:rPr>
          <w:lang w:val="fr-FR"/>
        </w:rPr>
        <w:t xml:space="preserve"> partenariats entre constructeurs</w:t>
      </w:r>
      <w:r w:rsidR="006D1003">
        <w:rPr>
          <w:lang w:val="fr-FR"/>
        </w:rPr>
        <w:t>.</w:t>
      </w:r>
    </w:p>
    <w:p w14:paraId="4FC7D0D0" w14:textId="52A5FF22" w:rsidR="00F9573C" w:rsidRDefault="006D1003" w:rsidP="006D1003">
      <w:pPr>
        <w:spacing w:after="120"/>
        <w:ind w:left="1134" w:right="1134"/>
        <w:jc w:val="both"/>
        <w:rPr>
          <w:lang w:val="fr-FR"/>
        </w:rPr>
      </w:pPr>
      <w:r>
        <w:t>2.</w:t>
      </w:r>
      <w:r>
        <w:tab/>
      </w:r>
      <w:r>
        <w:rPr>
          <w:lang w:val="fr-FR"/>
        </w:rPr>
        <w:t>Cette question a été longuement examinée dans le cadre de l</w:t>
      </w:r>
      <w:r>
        <w:rPr>
          <w:lang w:val="fr-FR"/>
        </w:rPr>
        <w:t>’</w:t>
      </w:r>
      <w:r>
        <w:rPr>
          <w:lang w:val="fr-FR"/>
        </w:rPr>
        <w:t>atelier sur l</w:t>
      </w:r>
      <w:r>
        <w:rPr>
          <w:lang w:val="fr-FR"/>
        </w:rPr>
        <w:t>’</w:t>
      </w:r>
      <w:r>
        <w:rPr>
          <w:lang w:val="fr-FR"/>
        </w:rPr>
        <w:t xml:space="preserve">application du Règlement ONU </w:t>
      </w:r>
      <w:r w:rsidR="00466EFB" w:rsidRPr="00466EFB">
        <w:rPr>
          <w:rFonts w:eastAsia="MS Mincho"/>
          <w:lang w:val="fr-FR"/>
        </w:rPr>
        <w:t>n</w:t>
      </w:r>
      <w:r w:rsidR="00466EFB" w:rsidRPr="00466EFB">
        <w:rPr>
          <w:rFonts w:eastAsia="MS Mincho"/>
          <w:vertAlign w:val="superscript"/>
          <w:lang w:val="fr-FR"/>
        </w:rPr>
        <w:t>o</w:t>
      </w:r>
      <w:r w:rsidR="00466EFB">
        <w:rPr>
          <w:lang w:val="fr-FR"/>
        </w:rPr>
        <w:t> </w:t>
      </w:r>
      <w:r>
        <w:rPr>
          <w:lang w:val="fr-FR"/>
        </w:rPr>
        <w:t>155. Les experts qui y ont participé ont décidé que les Parties contractantes pouvaient reconnaître les certificats de conformité du CSMS délivrés par les autorités d</w:t>
      </w:r>
      <w:r>
        <w:rPr>
          <w:lang w:val="fr-FR"/>
        </w:rPr>
        <w:t>’</w:t>
      </w:r>
      <w:r>
        <w:rPr>
          <w:lang w:val="fr-FR"/>
        </w:rPr>
        <w:t>autres Parties contractantes, comme cela est suggéré dans le document informel GRVA-14-46 présenté à la quatorzième session du GRVA. La présente proposition vise à clarifier le document d</w:t>
      </w:r>
      <w:r>
        <w:rPr>
          <w:lang w:val="fr-FR"/>
        </w:rPr>
        <w:t>’</w:t>
      </w:r>
      <w:r>
        <w:rPr>
          <w:lang w:val="fr-FR"/>
        </w:rPr>
        <w:t>interprétation à la lumière des décisions prises par les participants à l</w:t>
      </w:r>
      <w:r>
        <w:rPr>
          <w:lang w:val="fr-FR"/>
        </w:rPr>
        <w:t>’</w:t>
      </w:r>
      <w:r>
        <w:rPr>
          <w:lang w:val="fr-FR"/>
        </w:rPr>
        <w:t>atelier.</w:t>
      </w:r>
    </w:p>
    <w:p w14:paraId="4539AD05" w14:textId="73366693" w:rsidR="00F829A1" w:rsidRPr="00F829A1" w:rsidRDefault="00F829A1" w:rsidP="00F829A1">
      <w:pPr>
        <w:pStyle w:val="SingleTxtG"/>
        <w:spacing w:before="240" w:after="0"/>
        <w:jc w:val="center"/>
        <w:rPr>
          <w:u w:val="single"/>
        </w:rPr>
      </w:pPr>
      <w:r>
        <w:rPr>
          <w:u w:val="single"/>
        </w:rPr>
        <w:tab/>
      </w:r>
      <w:r>
        <w:rPr>
          <w:u w:val="single"/>
        </w:rPr>
        <w:tab/>
      </w:r>
      <w:r>
        <w:rPr>
          <w:u w:val="single"/>
        </w:rPr>
        <w:tab/>
      </w:r>
      <w:r>
        <w:rPr>
          <w:u w:val="single"/>
        </w:rPr>
        <w:tab/>
      </w:r>
    </w:p>
    <w:sectPr w:rsidR="00F829A1" w:rsidRPr="00F829A1" w:rsidSect="006D41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2776" w14:textId="77777777" w:rsidR="004A4386" w:rsidRDefault="004A4386" w:rsidP="00F95C08">
      <w:pPr>
        <w:spacing w:line="240" w:lineRule="auto"/>
      </w:pPr>
    </w:p>
  </w:endnote>
  <w:endnote w:type="continuationSeparator" w:id="0">
    <w:p w14:paraId="1FEE8971" w14:textId="77777777" w:rsidR="004A4386" w:rsidRPr="00AC3823" w:rsidRDefault="004A4386" w:rsidP="00AC3823"/>
  </w:endnote>
  <w:endnote w:type="continuationNotice" w:id="1">
    <w:p w14:paraId="43676949" w14:textId="77777777" w:rsidR="004A4386" w:rsidRDefault="004A43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A96" w14:textId="6DED9C68" w:rsidR="006D41C7" w:rsidRPr="006D41C7" w:rsidRDefault="006D41C7" w:rsidP="006D41C7">
    <w:pPr>
      <w:tabs>
        <w:tab w:val="right" w:pos="9638"/>
      </w:tabs>
      <w:rPr>
        <w:sz w:val="16"/>
      </w:rPr>
    </w:pPr>
    <w:r w:rsidRPr="006D41C7">
      <w:rPr>
        <w:b/>
        <w:sz w:val="18"/>
      </w:rPr>
      <w:fldChar w:fldCharType="begin"/>
    </w:r>
    <w:r w:rsidRPr="006D41C7">
      <w:rPr>
        <w:b/>
        <w:sz w:val="18"/>
      </w:rPr>
      <w:instrText xml:space="preserve"> PAGE  \* MERGEFORMAT </w:instrText>
    </w:r>
    <w:r w:rsidRPr="006D41C7">
      <w:rPr>
        <w:b/>
        <w:sz w:val="18"/>
      </w:rPr>
      <w:fldChar w:fldCharType="separate"/>
    </w:r>
    <w:r w:rsidRPr="006D41C7">
      <w:rPr>
        <w:b/>
        <w:noProof/>
        <w:sz w:val="18"/>
      </w:rPr>
      <w:t>2</w:t>
    </w:r>
    <w:r w:rsidRPr="006D41C7">
      <w:rPr>
        <w:b/>
        <w:sz w:val="18"/>
      </w:rPr>
      <w:fldChar w:fldCharType="end"/>
    </w:r>
    <w:r>
      <w:rPr>
        <w:b/>
        <w:sz w:val="18"/>
      </w:rPr>
      <w:tab/>
    </w:r>
    <w:r>
      <w:t>GE.22-25493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F2D2" w14:textId="6F4AB3C3" w:rsidR="006D41C7" w:rsidRPr="006D41C7" w:rsidRDefault="006D41C7" w:rsidP="006D41C7">
    <w:pPr>
      <w:tabs>
        <w:tab w:val="right" w:pos="9638"/>
      </w:tabs>
      <w:rPr>
        <w:b/>
        <w:sz w:val="18"/>
      </w:rPr>
    </w:pPr>
    <w:r>
      <w:t>GE.22-25493</w:t>
    </w:r>
    <w:r>
      <w:tab/>
    </w:r>
    <w:r w:rsidRPr="006D41C7">
      <w:rPr>
        <w:b/>
        <w:sz w:val="18"/>
      </w:rPr>
      <w:fldChar w:fldCharType="begin"/>
    </w:r>
    <w:r w:rsidRPr="006D41C7">
      <w:rPr>
        <w:b/>
        <w:sz w:val="18"/>
      </w:rPr>
      <w:instrText xml:space="preserve"> PAGE  \* MERGEFORMAT </w:instrText>
    </w:r>
    <w:r w:rsidRPr="006D41C7">
      <w:rPr>
        <w:b/>
        <w:sz w:val="18"/>
      </w:rPr>
      <w:fldChar w:fldCharType="separate"/>
    </w:r>
    <w:r w:rsidRPr="006D41C7">
      <w:rPr>
        <w:b/>
        <w:noProof/>
        <w:sz w:val="18"/>
      </w:rPr>
      <w:t>3</w:t>
    </w:r>
    <w:r w:rsidRPr="006D41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3208" w14:textId="618D35F9" w:rsidR="007F20FA" w:rsidRPr="006D41C7" w:rsidRDefault="006D41C7" w:rsidP="006D41C7">
    <w:pPr>
      <w:spacing w:before="120" w:line="240" w:lineRule="auto"/>
    </w:pPr>
    <w:r>
      <w:t>GE.</w:t>
    </w:r>
    <w:r w:rsidR="007F20FA">
      <w:rPr>
        <w:noProof/>
        <w:lang w:eastAsia="fr-CH"/>
      </w:rPr>
      <w:drawing>
        <wp:anchor distT="0" distB="0" distL="114300" distR="114300" simplePos="0" relativeHeight="251659264" behindDoc="0" locked="0" layoutInCell="1" allowOverlap="0" wp14:anchorId="2D20B5C5" wp14:editId="3AE4CD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22-25493  (F)</w:t>
    </w:r>
    <w:r>
      <w:rPr>
        <w:noProof/>
      </w:rPr>
      <w:drawing>
        <wp:anchor distT="0" distB="0" distL="114300" distR="114300" simplePos="0" relativeHeight="251660288" behindDoc="0" locked="0" layoutInCell="1" allowOverlap="1" wp14:anchorId="0F120EE8" wp14:editId="05693AA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291122    291122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977F" w14:textId="77777777" w:rsidR="004A4386" w:rsidRPr="00AC3823" w:rsidRDefault="004A4386" w:rsidP="00AC3823">
      <w:pPr>
        <w:tabs>
          <w:tab w:val="right" w:pos="2155"/>
        </w:tabs>
        <w:spacing w:after="80"/>
        <w:ind w:left="680"/>
        <w:rPr>
          <w:u w:val="single"/>
        </w:rPr>
      </w:pPr>
      <w:r>
        <w:rPr>
          <w:u w:val="single"/>
        </w:rPr>
        <w:tab/>
      </w:r>
    </w:p>
  </w:footnote>
  <w:footnote w:type="continuationSeparator" w:id="0">
    <w:p w14:paraId="69CFEE8F" w14:textId="77777777" w:rsidR="004A4386" w:rsidRPr="00AC3823" w:rsidRDefault="004A4386" w:rsidP="00AC3823">
      <w:pPr>
        <w:tabs>
          <w:tab w:val="right" w:pos="2155"/>
        </w:tabs>
        <w:spacing w:after="80"/>
        <w:ind w:left="680"/>
        <w:rPr>
          <w:u w:val="single"/>
        </w:rPr>
      </w:pPr>
      <w:r>
        <w:rPr>
          <w:u w:val="single"/>
        </w:rPr>
        <w:tab/>
      </w:r>
    </w:p>
  </w:footnote>
  <w:footnote w:type="continuationNotice" w:id="1">
    <w:p w14:paraId="37659171" w14:textId="77777777" w:rsidR="004A4386" w:rsidRPr="00AC3823" w:rsidRDefault="004A4386">
      <w:pPr>
        <w:spacing w:line="240" w:lineRule="auto"/>
        <w:rPr>
          <w:sz w:val="2"/>
          <w:szCs w:val="2"/>
        </w:rPr>
      </w:pPr>
    </w:p>
  </w:footnote>
  <w:footnote w:id="2">
    <w:p w14:paraId="57184E4C" w14:textId="77777777" w:rsidR="006D1003" w:rsidRPr="00C66304" w:rsidRDefault="006D1003" w:rsidP="00F666D3">
      <w:pPr>
        <w:pStyle w:val="Notedebasdepage"/>
      </w:pPr>
      <w:r>
        <w:rPr>
          <w:lang w:val="fr-FR"/>
        </w:rPr>
        <w:tab/>
      </w:r>
      <w:r w:rsidRPr="00F666D3">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584B" w14:textId="2C2878D6" w:rsidR="006D41C7" w:rsidRPr="006D41C7" w:rsidRDefault="006D41C7" w:rsidP="009E67E0">
    <w:pPr>
      <w:pStyle w:val="En-tte"/>
    </w:pPr>
    <w:fldSimple w:instr=" TITLE  \* MERGEFORMAT ">
      <w:r w:rsidR="006D1003">
        <w:t>ECE/TRANS/WP.29/GRVA/2023/5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DF8F" w14:textId="38338E22" w:rsidR="006D41C7" w:rsidRPr="006D41C7" w:rsidRDefault="006D41C7" w:rsidP="006D41C7">
    <w:pPr>
      <w:jc w:val="right"/>
      <w:rPr>
        <w:sz w:val="18"/>
      </w:rPr>
    </w:pPr>
    <w:fldSimple w:instr=" TITLE  \* MERGEFORMAT ">
      <w:r w:rsidR="006D1003">
        <w:t>ECE/TRANS/WP.29/GRVA/2023/5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86"/>
    <w:rsid w:val="00017F94"/>
    <w:rsid w:val="00023842"/>
    <w:rsid w:val="000334F9"/>
    <w:rsid w:val="00045FEB"/>
    <w:rsid w:val="0007796D"/>
    <w:rsid w:val="000B7790"/>
    <w:rsid w:val="00111F2F"/>
    <w:rsid w:val="0014365E"/>
    <w:rsid w:val="00143C66"/>
    <w:rsid w:val="0015193A"/>
    <w:rsid w:val="00176178"/>
    <w:rsid w:val="001F525A"/>
    <w:rsid w:val="00201148"/>
    <w:rsid w:val="00223272"/>
    <w:rsid w:val="0024779E"/>
    <w:rsid w:val="00257168"/>
    <w:rsid w:val="002744B8"/>
    <w:rsid w:val="002832AC"/>
    <w:rsid w:val="002C2D3B"/>
    <w:rsid w:val="002D7C93"/>
    <w:rsid w:val="00305801"/>
    <w:rsid w:val="003916DE"/>
    <w:rsid w:val="00421996"/>
    <w:rsid w:val="00441C3B"/>
    <w:rsid w:val="00446FE5"/>
    <w:rsid w:val="00452396"/>
    <w:rsid w:val="00466EFB"/>
    <w:rsid w:val="00477EB2"/>
    <w:rsid w:val="004837D8"/>
    <w:rsid w:val="004A4386"/>
    <w:rsid w:val="004E2EED"/>
    <w:rsid w:val="004E468C"/>
    <w:rsid w:val="00535734"/>
    <w:rsid w:val="005505B7"/>
    <w:rsid w:val="00573BE5"/>
    <w:rsid w:val="00586ED3"/>
    <w:rsid w:val="00596AA9"/>
    <w:rsid w:val="006D1003"/>
    <w:rsid w:val="006D41C7"/>
    <w:rsid w:val="0071601D"/>
    <w:rsid w:val="007A62E6"/>
    <w:rsid w:val="007F20FA"/>
    <w:rsid w:val="0080684C"/>
    <w:rsid w:val="00871C75"/>
    <w:rsid w:val="008776DC"/>
    <w:rsid w:val="008D5EF9"/>
    <w:rsid w:val="009446C0"/>
    <w:rsid w:val="00950672"/>
    <w:rsid w:val="009705C8"/>
    <w:rsid w:val="009C1CF4"/>
    <w:rsid w:val="009E67E0"/>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666D3"/>
    <w:rsid w:val="00F829A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0B2C"/>
  <w15:docId w15:val="{838FF8B6-2729-4650-91E1-28A22331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0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D1003"/>
    <w:pPr>
      <w:keepNext/>
      <w:keepLines/>
      <w:spacing w:after="0" w:line="240" w:lineRule="auto"/>
      <w:ind w:right="0"/>
      <w:jc w:val="left"/>
      <w:outlineLvl w:val="0"/>
    </w:pPr>
  </w:style>
  <w:style w:type="paragraph" w:styleId="Titre2">
    <w:name w:val="heading 2"/>
    <w:basedOn w:val="Normal"/>
    <w:next w:val="Normal"/>
    <w:link w:val="Titre2Car"/>
    <w:semiHidden/>
    <w:qFormat/>
    <w:rsid w:val="006D1003"/>
    <w:pPr>
      <w:outlineLvl w:val="1"/>
    </w:pPr>
  </w:style>
  <w:style w:type="paragraph" w:styleId="Titre3">
    <w:name w:val="heading 3"/>
    <w:basedOn w:val="Normal"/>
    <w:next w:val="Normal"/>
    <w:link w:val="Titre3Car"/>
    <w:semiHidden/>
    <w:qFormat/>
    <w:rsid w:val="006D1003"/>
    <w:pPr>
      <w:outlineLvl w:val="2"/>
    </w:pPr>
  </w:style>
  <w:style w:type="paragraph" w:styleId="Titre4">
    <w:name w:val="heading 4"/>
    <w:basedOn w:val="Normal"/>
    <w:next w:val="Normal"/>
    <w:link w:val="Titre4Car"/>
    <w:semiHidden/>
    <w:qFormat/>
    <w:rsid w:val="006D1003"/>
    <w:pPr>
      <w:outlineLvl w:val="3"/>
    </w:pPr>
  </w:style>
  <w:style w:type="paragraph" w:styleId="Titre5">
    <w:name w:val="heading 5"/>
    <w:basedOn w:val="Normal"/>
    <w:next w:val="Normal"/>
    <w:link w:val="Titre5Car"/>
    <w:semiHidden/>
    <w:qFormat/>
    <w:rsid w:val="006D1003"/>
    <w:pPr>
      <w:outlineLvl w:val="4"/>
    </w:pPr>
  </w:style>
  <w:style w:type="paragraph" w:styleId="Titre6">
    <w:name w:val="heading 6"/>
    <w:basedOn w:val="Normal"/>
    <w:next w:val="Normal"/>
    <w:link w:val="Titre6Car"/>
    <w:semiHidden/>
    <w:qFormat/>
    <w:rsid w:val="006D1003"/>
    <w:pPr>
      <w:outlineLvl w:val="5"/>
    </w:pPr>
  </w:style>
  <w:style w:type="paragraph" w:styleId="Titre7">
    <w:name w:val="heading 7"/>
    <w:basedOn w:val="Normal"/>
    <w:next w:val="Normal"/>
    <w:link w:val="Titre7Car"/>
    <w:semiHidden/>
    <w:qFormat/>
    <w:rsid w:val="006D1003"/>
    <w:pPr>
      <w:outlineLvl w:val="6"/>
    </w:pPr>
  </w:style>
  <w:style w:type="paragraph" w:styleId="Titre8">
    <w:name w:val="heading 8"/>
    <w:basedOn w:val="Normal"/>
    <w:next w:val="Normal"/>
    <w:link w:val="Titre8Car"/>
    <w:semiHidden/>
    <w:qFormat/>
    <w:rsid w:val="006D1003"/>
    <w:pPr>
      <w:outlineLvl w:val="7"/>
    </w:pPr>
  </w:style>
  <w:style w:type="paragraph" w:styleId="Titre9">
    <w:name w:val="heading 9"/>
    <w:basedOn w:val="Normal"/>
    <w:next w:val="Normal"/>
    <w:link w:val="Titre9Car"/>
    <w:semiHidden/>
    <w:qFormat/>
    <w:rsid w:val="006D1003"/>
    <w:pPr>
      <w:outlineLvl w:val="8"/>
    </w:pPr>
  </w:style>
  <w:style w:type="character" w:default="1" w:styleId="Policepardfaut">
    <w:name w:val="Default Paragraph Font"/>
    <w:uiPriority w:val="1"/>
    <w:semiHidden/>
    <w:unhideWhenUsed/>
    <w:rsid w:val="006D100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D1003"/>
  </w:style>
  <w:style w:type="paragraph" w:styleId="En-tte">
    <w:name w:val="header"/>
    <w:aliases w:val="6_G"/>
    <w:basedOn w:val="Normal"/>
    <w:next w:val="Normal"/>
    <w:link w:val="En-tteCar"/>
    <w:qFormat/>
    <w:rsid w:val="006D100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D1003"/>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D1003"/>
    <w:pPr>
      <w:spacing w:line="240" w:lineRule="auto"/>
    </w:pPr>
    <w:rPr>
      <w:sz w:val="16"/>
    </w:rPr>
  </w:style>
  <w:style w:type="character" w:customStyle="1" w:styleId="PieddepageCar">
    <w:name w:val="Pied de page Car"/>
    <w:aliases w:val="3_G Car"/>
    <w:basedOn w:val="Policepardfaut"/>
    <w:link w:val="Pieddepage"/>
    <w:rsid w:val="006D100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D1003"/>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D1003"/>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6D1003"/>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6D1003"/>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D1003"/>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D1003"/>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6D1003"/>
    <w:pPr>
      <w:spacing w:after="120"/>
      <w:ind w:left="1134" w:right="1134"/>
      <w:jc w:val="both"/>
    </w:pPr>
  </w:style>
  <w:style w:type="paragraph" w:customStyle="1" w:styleId="SLG">
    <w:name w:val="__S_L_G"/>
    <w:basedOn w:val="Normal"/>
    <w:next w:val="Normal"/>
    <w:rsid w:val="006D1003"/>
    <w:pPr>
      <w:keepNext/>
      <w:keepLines/>
      <w:spacing w:before="240" w:after="240" w:line="580" w:lineRule="exact"/>
      <w:ind w:left="1134" w:right="1134"/>
    </w:pPr>
    <w:rPr>
      <w:b/>
      <w:sz w:val="56"/>
    </w:rPr>
  </w:style>
  <w:style w:type="paragraph" w:customStyle="1" w:styleId="SMG">
    <w:name w:val="__S_M_G"/>
    <w:basedOn w:val="Normal"/>
    <w:next w:val="Normal"/>
    <w:rsid w:val="006D1003"/>
    <w:pPr>
      <w:keepNext/>
      <w:keepLines/>
      <w:spacing w:before="240" w:after="240" w:line="420" w:lineRule="exact"/>
      <w:ind w:left="1134" w:right="1134"/>
    </w:pPr>
    <w:rPr>
      <w:b/>
      <w:sz w:val="40"/>
    </w:rPr>
  </w:style>
  <w:style w:type="paragraph" w:customStyle="1" w:styleId="SSG">
    <w:name w:val="__S_S_G"/>
    <w:basedOn w:val="Normal"/>
    <w:next w:val="Normal"/>
    <w:rsid w:val="006D1003"/>
    <w:pPr>
      <w:keepNext/>
      <w:keepLines/>
      <w:spacing w:before="240" w:after="240" w:line="300" w:lineRule="exact"/>
      <w:ind w:left="1134" w:right="1134"/>
    </w:pPr>
    <w:rPr>
      <w:b/>
      <w:sz w:val="28"/>
    </w:rPr>
  </w:style>
  <w:style w:type="paragraph" w:customStyle="1" w:styleId="XLargeG">
    <w:name w:val="__XLarge_G"/>
    <w:basedOn w:val="Normal"/>
    <w:next w:val="Normal"/>
    <w:rsid w:val="006D1003"/>
    <w:pPr>
      <w:keepNext/>
      <w:keepLines/>
      <w:spacing w:before="240" w:after="240" w:line="420" w:lineRule="exact"/>
      <w:ind w:left="1134" w:right="1134"/>
    </w:pPr>
    <w:rPr>
      <w:b/>
      <w:sz w:val="40"/>
    </w:rPr>
  </w:style>
  <w:style w:type="paragraph" w:customStyle="1" w:styleId="Bullet1G">
    <w:name w:val="_Bullet 1_G"/>
    <w:basedOn w:val="Normal"/>
    <w:qFormat/>
    <w:rsid w:val="006D1003"/>
    <w:pPr>
      <w:numPr>
        <w:numId w:val="1"/>
      </w:numPr>
      <w:spacing w:after="120"/>
      <w:ind w:right="1134"/>
      <w:jc w:val="both"/>
    </w:pPr>
  </w:style>
  <w:style w:type="paragraph" w:customStyle="1" w:styleId="Bullet2G">
    <w:name w:val="_Bullet 2_G"/>
    <w:basedOn w:val="Normal"/>
    <w:qFormat/>
    <w:rsid w:val="006D1003"/>
    <w:pPr>
      <w:numPr>
        <w:numId w:val="2"/>
      </w:numPr>
      <w:spacing w:after="120"/>
      <w:ind w:right="1134"/>
      <w:jc w:val="both"/>
    </w:pPr>
  </w:style>
  <w:style w:type="paragraph" w:customStyle="1" w:styleId="ParNoG">
    <w:name w:val="_ParNo_G"/>
    <w:basedOn w:val="Normal"/>
    <w:qFormat/>
    <w:rsid w:val="006D1003"/>
    <w:pPr>
      <w:numPr>
        <w:numId w:val="3"/>
      </w:numPr>
      <w:tabs>
        <w:tab w:val="clear" w:pos="1701"/>
      </w:tabs>
      <w:spacing w:after="120"/>
      <w:ind w:right="1134"/>
      <w:jc w:val="both"/>
    </w:pPr>
  </w:style>
  <w:style w:type="character" w:styleId="Appelnotedebasdep">
    <w:name w:val="footnote reference"/>
    <w:aliases w:val="4_G"/>
    <w:basedOn w:val="Policepardfaut"/>
    <w:qFormat/>
    <w:rsid w:val="006D1003"/>
    <w:rPr>
      <w:rFonts w:ascii="Times New Roman" w:hAnsi="Times New Roman"/>
      <w:sz w:val="18"/>
      <w:vertAlign w:val="superscript"/>
      <w:lang w:val="fr-CH"/>
    </w:rPr>
  </w:style>
  <w:style w:type="character" w:styleId="Appeldenotedefin">
    <w:name w:val="endnote reference"/>
    <w:aliases w:val="1_G"/>
    <w:basedOn w:val="Appelnotedebasdep"/>
    <w:qFormat/>
    <w:rsid w:val="006D1003"/>
    <w:rPr>
      <w:rFonts w:ascii="Times New Roman" w:hAnsi="Times New Roman"/>
      <w:sz w:val="18"/>
      <w:vertAlign w:val="superscript"/>
      <w:lang w:val="fr-CH"/>
    </w:rPr>
  </w:style>
  <w:style w:type="table" w:styleId="Grilledutableau">
    <w:name w:val="Table Grid"/>
    <w:basedOn w:val="TableauNormal"/>
    <w:rsid w:val="006D100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6D1003"/>
    <w:rPr>
      <w:color w:val="0000FF"/>
      <w:u w:val="none"/>
    </w:rPr>
  </w:style>
  <w:style w:type="character" w:styleId="Lienhypertextesuivivisit">
    <w:name w:val="FollowedHyperlink"/>
    <w:basedOn w:val="Policepardfaut"/>
    <w:unhideWhenUsed/>
    <w:rsid w:val="006D1003"/>
    <w:rPr>
      <w:color w:val="0000FF"/>
      <w:u w:val="none"/>
    </w:rPr>
  </w:style>
  <w:style w:type="paragraph" w:styleId="Notedebasdepage">
    <w:name w:val="footnote text"/>
    <w:aliases w:val="5_G"/>
    <w:basedOn w:val="Normal"/>
    <w:link w:val="NotedebasdepageCar"/>
    <w:qFormat/>
    <w:rsid w:val="006D100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D1003"/>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D1003"/>
  </w:style>
  <w:style w:type="character" w:customStyle="1" w:styleId="NotedefinCar">
    <w:name w:val="Note de fin Car"/>
    <w:aliases w:val="2_G Car"/>
    <w:basedOn w:val="Policepardfaut"/>
    <w:link w:val="Notedefin"/>
    <w:rsid w:val="006D1003"/>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D1003"/>
    <w:rPr>
      <w:rFonts w:ascii="Times New Roman" w:hAnsi="Times New Roman"/>
      <w:b/>
      <w:sz w:val="18"/>
      <w:lang w:val="fr-CH"/>
    </w:rPr>
  </w:style>
  <w:style w:type="character" w:customStyle="1" w:styleId="Titre1Car">
    <w:name w:val="Titre 1 Car"/>
    <w:aliases w:val="Table_G Car"/>
    <w:basedOn w:val="Policepardfaut"/>
    <w:link w:val="Titre1"/>
    <w:rsid w:val="006D1003"/>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D1003"/>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D1003"/>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D1003"/>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D1003"/>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D1003"/>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D1003"/>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D1003"/>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D1003"/>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6D10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03"/>
    <w:rPr>
      <w:rFonts w:ascii="Tahoma" w:eastAsiaTheme="minorHAnsi" w:hAnsi="Tahoma" w:cs="Tahoma"/>
      <w:sz w:val="16"/>
      <w:szCs w:val="16"/>
      <w:lang w:eastAsia="en-US"/>
    </w:rPr>
  </w:style>
  <w:style w:type="character" w:customStyle="1" w:styleId="SingleTxtGChar">
    <w:name w:val="_ Single Txt_G Char"/>
    <w:link w:val="SingleTxtG"/>
    <w:qFormat/>
    <w:rsid w:val="006D1003"/>
    <w:rPr>
      <w:rFonts w:ascii="Times New Roman" w:eastAsiaTheme="minorHAnsi" w:hAnsi="Times New Roman" w:cs="Times New Roman"/>
      <w:sz w:val="20"/>
      <w:szCs w:val="20"/>
      <w:lang w:eastAsia="en-US"/>
    </w:rPr>
  </w:style>
  <w:style w:type="character" w:customStyle="1" w:styleId="HChGChar">
    <w:name w:val="_ H _Ch_G Char"/>
    <w:link w:val="HChG"/>
    <w:qFormat/>
    <w:rsid w:val="006D1003"/>
    <w:rPr>
      <w:rFonts w:ascii="Times New Roman" w:eastAsiaTheme="minorHAnsi" w:hAnsi="Times New Roman" w:cs="Times New Roman"/>
      <w:b/>
      <w:sz w:val="28"/>
      <w:szCs w:val="20"/>
      <w:lang w:eastAsia="en-US"/>
    </w:rPr>
  </w:style>
  <w:style w:type="character" w:customStyle="1" w:styleId="H1GChar">
    <w:name w:val="_ H_1_G Char"/>
    <w:link w:val="H1G"/>
    <w:rsid w:val="006D100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467</Words>
  <Characters>3270</Characters>
  <Application>Microsoft Office Word</Application>
  <DocSecurity>0</DocSecurity>
  <Lines>272</Lines>
  <Paragraphs>149</Paragraphs>
  <ScaleCrop>false</ScaleCrop>
  <HeadingPairs>
    <vt:vector size="2" baseType="variant">
      <vt:variant>
        <vt:lpstr>Titre</vt:lpstr>
      </vt:variant>
      <vt:variant>
        <vt:i4>1</vt:i4>
      </vt:variant>
    </vt:vector>
  </HeadingPairs>
  <TitlesOfParts>
    <vt:vector size="1" baseType="lpstr">
      <vt:lpstr>ECE/TRANS/WP.29/GRVA/2023/5</vt:lpstr>
    </vt:vector>
  </TitlesOfParts>
  <Company>DCM</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ECE/TRANS/WP.29/GRVA/2023/5</dc:title>
  <dc:subject/>
  <dc:creator>Nathalie VITTOZ</dc:creator>
  <cp:keywords/>
  <cp:lastModifiedBy>Nathalie Vittoz</cp:lastModifiedBy>
  <cp:revision>2</cp:revision>
  <cp:lastPrinted>2014-05-14T10:59:00Z</cp:lastPrinted>
  <dcterms:created xsi:type="dcterms:W3CDTF">2022-11-29T09:21:00Z</dcterms:created>
  <dcterms:modified xsi:type="dcterms:W3CDTF">2022-11-29T09:21:00Z</dcterms:modified>
</cp:coreProperties>
</file>