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42C8C5A" w14:textId="77777777" w:rsidTr="00B20551">
        <w:trPr>
          <w:cantSplit/>
          <w:trHeight w:hRule="exact" w:val="851"/>
        </w:trPr>
        <w:tc>
          <w:tcPr>
            <w:tcW w:w="1276" w:type="dxa"/>
            <w:tcBorders>
              <w:bottom w:val="single" w:sz="4" w:space="0" w:color="auto"/>
            </w:tcBorders>
            <w:vAlign w:val="bottom"/>
          </w:tcPr>
          <w:p w14:paraId="0CAD62E5" w14:textId="77777777" w:rsidR="009E6CB7" w:rsidRDefault="009E6CB7" w:rsidP="00B20551">
            <w:pPr>
              <w:spacing w:after="80"/>
            </w:pPr>
          </w:p>
        </w:tc>
        <w:tc>
          <w:tcPr>
            <w:tcW w:w="2268" w:type="dxa"/>
            <w:tcBorders>
              <w:bottom w:val="single" w:sz="4" w:space="0" w:color="auto"/>
            </w:tcBorders>
            <w:vAlign w:val="bottom"/>
          </w:tcPr>
          <w:p w14:paraId="72B79E8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949180E" w14:textId="35C3D826" w:rsidR="009E6CB7" w:rsidRPr="00D47EEA" w:rsidRDefault="00AF32E7" w:rsidP="00AF32E7">
            <w:pPr>
              <w:jc w:val="right"/>
            </w:pPr>
            <w:r w:rsidRPr="00AF32E7">
              <w:rPr>
                <w:sz w:val="40"/>
              </w:rPr>
              <w:t>ECE</w:t>
            </w:r>
            <w:r>
              <w:t>/TRANS/WP.15/AC.1/2023/4</w:t>
            </w:r>
          </w:p>
        </w:tc>
      </w:tr>
      <w:tr w:rsidR="009E6CB7" w14:paraId="4D59F6A3" w14:textId="77777777" w:rsidTr="00B20551">
        <w:trPr>
          <w:cantSplit/>
          <w:trHeight w:hRule="exact" w:val="2835"/>
        </w:trPr>
        <w:tc>
          <w:tcPr>
            <w:tcW w:w="1276" w:type="dxa"/>
            <w:tcBorders>
              <w:top w:val="single" w:sz="4" w:space="0" w:color="auto"/>
              <w:bottom w:val="single" w:sz="12" w:space="0" w:color="auto"/>
            </w:tcBorders>
          </w:tcPr>
          <w:p w14:paraId="4C114C89" w14:textId="77777777" w:rsidR="009E6CB7" w:rsidRDefault="00686A48" w:rsidP="00B20551">
            <w:pPr>
              <w:spacing w:before="120"/>
            </w:pPr>
            <w:r>
              <w:rPr>
                <w:noProof/>
                <w:lang w:val="fr-CH" w:eastAsia="fr-CH"/>
              </w:rPr>
              <w:drawing>
                <wp:inline distT="0" distB="0" distL="0" distR="0" wp14:anchorId="2F1F0A5F" wp14:editId="54DDBD3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B1F69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9B1EE85" w14:textId="77777777" w:rsidR="009E6CB7" w:rsidRDefault="00AF32E7" w:rsidP="00AF32E7">
            <w:pPr>
              <w:spacing w:before="240" w:line="240" w:lineRule="exact"/>
            </w:pPr>
            <w:r>
              <w:t>Distr.: General</w:t>
            </w:r>
          </w:p>
          <w:p w14:paraId="749F6DCC" w14:textId="3623096D" w:rsidR="00AF32E7" w:rsidRDefault="00DC0C5C" w:rsidP="00AF32E7">
            <w:pPr>
              <w:spacing w:line="240" w:lineRule="exact"/>
            </w:pPr>
            <w:r>
              <w:t>21 November</w:t>
            </w:r>
            <w:r w:rsidR="00AF32E7">
              <w:t xml:space="preserve"> 2022</w:t>
            </w:r>
          </w:p>
          <w:p w14:paraId="05B4F67A" w14:textId="77777777" w:rsidR="00AF32E7" w:rsidRDefault="00AF32E7" w:rsidP="00AF32E7">
            <w:pPr>
              <w:spacing w:line="240" w:lineRule="exact"/>
            </w:pPr>
          </w:p>
          <w:p w14:paraId="1C4CE781" w14:textId="0A605322" w:rsidR="00AF32E7" w:rsidRDefault="00AF32E7" w:rsidP="00AF32E7">
            <w:pPr>
              <w:spacing w:line="240" w:lineRule="exact"/>
            </w:pPr>
            <w:r>
              <w:t>Original: English</w:t>
            </w:r>
          </w:p>
        </w:tc>
      </w:tr>
    </w:tbl>
    <w:p w14:paraId="38054E71" w14:textId="77777777" w:rsidR="004340C1" w:rsidRPr="00A65C0D" w:rsidRDefault="004340C1" w:rsidP="00C411EB">
      <w:pPr>
        <w:spacing w:before="120"/>
        <w:rPr>
          <w:b/>
          <w:sz w:val="28"/>
          <w:szCs w:val="28"/>
        </w:rPr>
      </w:pPr>
      <w:r w:rsidRPr="00A65C0D">
        <w:rPr>
          <w:b/>
          <w:sz w:val="28"/>
          <w:szCs w:val="28"/>
        </w:rPr>
        <w:t>Economic Commission for Europe</w:t>
      </w:r>
    </w:p>
    <w:p w14:paraId="3E9F203D" w14:textId="77777777" w:rsidR="004340C1" w:rsidRPr="00A65C0D" w:rsidRDefault="004340C1" w:rsidP="00C411EB">
      <w:pPr>
        <w:spacing w:before="120"/>
        <w:rPr>
          <w:sz w:val="28"/>
          <w:szCs w:val="28"/>
        </w:rPr>
      </w:pPr>
      <w:r w:rsidRPr="00A65C0D">
        <w:rPr>
          <w:sz w:val="28"/>
          <w:szCs w:val="28"/>
        </w:rPr>
        <w:t>Inland Transport Committee</w:t>
      </w:r>
    </w:p>
    <w:p w14:paraId="79A4A02B" w14:textId="77777777" w:rsidR="004340C1" w:rsidRPr="00A65C0D" w:rsidRDefault="004340C1" w:rsidP="00C411EB">
      <w:pPr>
        <w:spacing w:before="120"/>
        <w:rPr>
          <w:b/>
          <w:sz w:val="24"/>
          <w:szCs w:val="24"/>
        </w:rPr>
      </w:pPr>
      <w:r w:rsidRPr="00A65C0D">
        <w:rPr>
          <w:b/>
          <w:sz w:val="24"/>
          <w:szCs w:val="24"/>
        </w:rPr>
        <w:t>Working Party on the Transport of Dangerous Goods</w:t>
      </w:r>
    </w:p>
    <w:p w14:paraId="3BA193EC" w14:textId="77777777" w:rsidR="004340C1" w:rsidRPr="00A65C0D" w:rsidRDefault="004340C1" w:rsidP="00C411EB">
      <w:pPr>
        <w:spacing w:before="120"/>
        <w:rPr>
          <w:b/>
        </w:rPr>
      </w:pPr>
      <w:r w:rsidRPr="00A65C0D">
        <w:rPr>
          <w:b/>
        </w:rPr>
        <w:t>Joint Meeting of the RID Committee of Experts and the</w:t>
      </w:r>
      <w:r w:rsidRPr="00A65C0D">
        <w:rPr>
          <w:b/>
        </w:rPr>
        <w:br/>
        <w:t>Working Party on the Transport of Dangerous Goods</w:t>
      </w:r>
    </w:p>
    <w:p w14:paraId="40B499C7" w14:textId="3A970B5D" w:rsidR="004340C1" w:rsidRPr="00A65C0D" w:rsidRDefault="00143653" w:rsidP="00C411EB">
      <w:r w:rsidRPr="00A65C0D">
        <w:t>Berne, 20-24 March 2023</w:t>
      </w:r>
    </w:p>
    <w:p w14:paraId="6B7C4759" w14:textId="7EF04494" w:rsidR="004340C1" w:rsidRPr="00A65C0D" w:rsidRDefault="004340C1" w:rsidP="00C411EB">
      <w:r w:rsidRPr="00A65C0D">
        <w:t xml:space="preserve">Item </w:t>
      </w:r>
      <w:r w:rsidR="00AF3C0A" w:rsidRPr="00A65C0D">
        <w:t>5 (b)</w:t>
      </w:r>
      <w:r w:rsidRPr="00A65C0D">
        <w:t xml:space="preserve"> of the provisional agenda</w:t>
      </w:r>
    </w:p>
    <w:p w14:paraId="51909A8F" w14:textId="77777777" w:rsidR="001F15FD" w:rsidRPr="00A65C0D" w:rsidRDefault="00C84987" w:rsidP="00C84987">
      <w:pPr>
        <w:rPr>
          <w:b/>
        </w:rPr>
      </w:pPr>
      <w:r w:rsidRPr="00A65C0D">
        <w:rPr>
          <w:b/>
        </w:rPr>
        <w:t xml:space="preserve">Proposals for amendments to RID/ADR/ADN: </w:t>
      </w:r>
    </w:p>
    <w:p w14:paraId="3E14DCB6" w14:textId="5147FBB8" w:rsidR="00E74BF8" w:rsidRPr="00A65C0D" w:rsidRDefault="00C84987" w:rsidP="00C84987">
      <w:r w:rsidRPr="00A65C0D">
        <w:rPr>
          <w:b/>
        </w:rPr>
        <w:t>new proposals</w:t>
      </w:r>
    </w:p>
    <w:p w14:paraId="258C8DC4" w14:textId="6797A5F5" w:rsidR="00E74BF8" w:rsidRPr="00A65C0D" w:rsidRDefault="00C84987" w:rsidP="00F55139">
      <w:pPr>
        <w:pStyle w:val="HChG"/>
        <w:spacing w:before="240" w:after="120"/>
      </w:pPr>
      <w:r w:rsidRPr="00A65C0D">
        <w:tab/>
      </w:r>
      <w:r w:rsidRPr="00A65C0D">
        <w:tab/>
      </w:r>
      <w:r w:rsidR="00E74BF8" w:rsidRPr="00A65C0D">
        <w:t>Amendment to existing special provision 668</w:t>
      </w:r>
    </w:p>
    <w:p w14:paraId="1C276F92" w14:textId="2A12AF7A" w:rsidR="00E74BF8" w:rsidRPr="00A65C0D" w:rsidRDefault="00C84987" w:rsidP="00C84987">
      <w:pPr>
        <w:pStyle w:val="H1G"/>
        <w:rPr>
          <w:vertAlign w:val="superscript"/>
        </w:rPr>
      </w:pPr>
      <w:r w:rsidRPr="00A65C0D">
        <w:tab/>
      </w:r>
      <w:r w:rsidRPr="00A65C0D">
        <w:tab/>
      </w:r>
      <w:r w:rsidR="00F55139" w:rsidRPr="00A65C0D">
        <w:t>Submitted</w:t>
      </w:r>
      <w:r w:rsidR="00E74BF8" w:rsidRPr="00A65C0D">
        <w:rPr>
          <w:spacing w:val="1"/>
        </w:rPr>
        <w:t xml:space="preserve"> b</w:t>
      </w:r>
      <w:r w:rsidR="00E74BF8" w:rsidRPr="00A65C0D">
        <w:t xml:space="preserve">y </w:t>
      </w:r>
      <w:r w:rsidR="00E74BF8" w:rsidRPr="00A65C0D">
        <w:rPr>
          <w:spacing w:val="-1"/>
        </w:rPr>
        <w:t>t</w:t>
      </w:r>
      <w:r w:rsidR="00E74BF8" w:rsidRPr="00A65C0D">
        <w:rPr>
          <w:spacing w:val="1"/>
        </w:rPr>
        <w:t>h</w:t>
      </w:r>
      <w:r w:rsidR="00E74BF8" w:rsidRPr="00A65C0D">
        <w:t>e</w:t>
      </w:r>
      <w:r w:rsidR="00E74BF8" w:rsidRPr="00A65C0D">
        <w:rPr>
          <w:spacing w:val="-1"/>
        </w:rPr>
        <w:t xml:space="preserve"> </w:t>
      </w:r>
      <w:r w:rsidR="00E74BF8" w:rsidRPr="00A65C0D">
        <w:rPr>
          <w:spacing w:val="1"/>
        </w:rPr>
        <w:t xml:space="preserve">International </w:t>
      </w:r>
      <w:r w:rsidR="00E74BF8" w:rsidRPr="00A65C0D">
        <w:rPr>
          <w:spacing w:val="-1"/>
        </w:rPr>
        <w:t>A</w:t>
      </w:r>
      <w:r w:rsidR="00E74BF8" w:rsidRPr="00A65C0D">
        <w:t>sso</w:t>
      </w:r>
      <w:r w:rsidR="00E74BF8" w:rsidRPr="00A65C0D">
        <w:rPr>
          <w:spacing w:val="-1"/>
        </w:rPr>
        <w:t>c</w:t>
      </w:r>
      <w:r w:rsidR="00E74BF8" w:rsidRPr="00A65C0D">
        <w:rPr>
          <w:spacing w:val="1"/>
        </w:rPr>
        <w:t>i</w:t>
      </w:r>
      <w:r w:rsidR="00E74BF8" w:rsidRPr="00A65C0D">
        <w:t>a</w:t>
      </w:r>
      <w:r w:rsidR="00E74BF8" w:rsidRPr="00A65C0D">
        <w:rPr>
          <w:spacing w:val="-1"/>
        </w:rPr>
        <w:t>t</w:t>
      </w:r>
      <w:r w:rsidR="00E74BF8" w:rsidRPr="00A65C0D">
        <w:rPr>
          <w:spacing w:val="1"/>
        </w:rPr>
        <w:t>i</w:t>
      </w:r>
      <w:r w:rsidR="00E74BF8" w:rsidRPr="00A65C0D">
        <w:t>on</w:t>
      </w:r>
      <w:r w:rsidR="00E74BF8" w:rsidRPr="00A65C0D">
        <w:rPr>
          <w:spacing w:val="1"/>
        </w:rPr>
        <w:t xml:space="preserve"> </w:t>
      </w:r>
      <w:r w:rsidR="00E74BF8" w:rsidRPr="00A65C0D">
        <w:t>of</w:t>
      </w:r>
      <w:r w:rsidR="00E74BF8" w:rsidRPr="00A65C0D">
        <w:rPr>
          <w:spacing w:val="-1"/>
        </w:rPr>
        <w:t xml:space="preserve"> D</w:t>
      </w:r>
      <w:r w:rsidR="00E74BF8" w:rsidRPr="00A65C0D">
        <w:t>a</w:t>
      </w:r>
      <w:r w:rsidR="00E74BF8" w:rsidRPr="00A65C0D">
        <w:rPr>
          <w:spacing w:val="1"/>
        </w:rPr>
        <w:t>n</w:t>
      </w:r>
      <w:r w:rsidR="00E74BF8" w:rsidRPr="00A65C0D">
        <w:t>g</w:t>
      </w:r>
      <w:r w:rsidR="00E74BF8" w:rsidRPr="00A65C0D">
        <w:rPr>
          <w:spacing w:val="-1"/>
        </w:rPr>
        <w:t>er</w:t>
      </w:r>
      <w:r w:rsidR="00E74BF8" w:rsidRPr="00A65C0D">
        <w:t>o</w:t>
      </w:r>
      <w:r w:rsidR="00E74BF8" w:rsidRPr="00A65C0D">
        <w:rPr>
          <w:spacing w:val="1"/>
        </w:rPr>
        <w:t>u</w:t>
      </w:r>
      <w:r w:rsidR="00E74BF8" w:rsidRPr="00A65C0D">
        <w:t xml:space="preserve">s </w:t>
      </w:r>
      <w:r w:rsidR="00E74BF8" w:rsidRPr="00A65C0D">
        <w:rPr>
          <w:spacing w:val="1"/>
        </w:rPr>
        <w:t>G</w:t>
      </w:r>
      <w:r w:rsidR="00E74BF8" w:rsidRPr="00A65C0D">
        <w:t>oo</w:t>
      </w:r>
      <w:r w:rsidR="00E74BF8" w:rsidRPr="00A65C0D">
        <w:rPr>
          <w:spacing w:val="1"/>
        </w:rPr>
        <w:t>d</w:t>
      </w:r>
      <w:r w:rsidR="00E74BF8" w:rsidRPr="00A65C0D">
        <w:t xml:space="preserve">s </w:t>
      </w:r>
      <w:r w:rsidR="00E74BF8" w:rsidRPr="00A65C0D">
        <w:rPr>
          <w:spacing w:val="1"/>
        </w:rPr>
        <w:t>S</w:t>
      </w:r>
      <w:r w:rsidR="00E74BF8" w:rsidRPr="00A65C0D">
        <w:t>a</w:t>
      </w:r>
      <w:r w:rsidR="00E74BF8" w:rsidRPr="00A65C0D">
        <w:rPr>
          <w:spacing w:val="-1"/>
        </w:rPr>
        <w:t>fet</w:t>
      </w:r>
      <w:r w:rsidR="00E74BF8" w:rsidRPr="00A65C0D">
        <w:t xml:space="preserve">y </w:t>
      </w:r>
      <w:r w:rsidR="00E74BF8" w:rsidRPr="00A65C0D">
        <w:rPr>
          <w:spacing w:val="-1"/>
        </w:rPr>
        <w:t>A</w:t>
      </w:r>
      <w:r w:rsidR="00E74BF8" w:rsidRPr="00A65C0D">
        <w:rPr>
          <w:spacing w:val="1"/>
        </w:rPr>
        <w:t>d</w:t>
      </w:r>
      <w:r w:rsidR="00E74BF8" w:rsidRPr="00A65C0D">
        <w:t>v</w:t>
      </w:r>
      <w:r w:rsidR="00E74BF8" w:rsidRPr="00A65C0D">
        <w:rPr>
          <w:spacing w:val="1"/>
        </w:rPr>
        <w:t>i</w:t>
      </w:r>
      <w:r w:rsidR="00E74BF8" w:rsidRPr="00A65C0D">
        <w:t>s</w:t>
      </w:r>
      <w:r w:rsidR="00E74BF8" w:rsidRPr="00A65C0D">
        <w:rPr>
          <w:spacing w:val="-1"/>
        </w:rPr>
        <w:t>er</w:t>
      </w:r>
      <w:r w:rsidR="00E74BF8" w:rsidRPr="00A65C0D">
        <w:t xml:space="preserve">s </w:t>
      </w:r>
      <w:r w:rsidR="00E74BF8" w:rsidRPr="00A65C0D">
        <w:rPr>
          <w:spacing w:val="-1"/>
        </w:rPr>
        <w:t>(</w:t>
      </w:r>
      <w:r w:rsidR="00E74BF8" w:rsidRPr="00A65C0D">
        <w:rPr>
          <w:spacing w:val="1"/>
        </w:rPr>
        <w:t>I</w:t>
      </w:r>
      <w:r w:rsidR="00E74BF8" w:rsidRPr="00A65C0D">
        <w:rPr>
          <w:spacing w:val="-1"/>
        </w:rPr>
        <w:t>A</w:t>
      </w:r>
      <w:r w:rsidR="00E74BF8" w:rsidRPr="00A65C0D">
        <w:rPr>
          <w:spacing w:val="1"/>
        </w:rPr>
        <w:t>S</w:t>
      </w:r>
      <w:r w:rsidR="00E74BF8" w:rsidRPr="00A65C0D">
        <w:rPr>
          <w:spacing w:val="-1"/>
        </w:rPr>
        <w:t>A</w:t>
      </w:r>
      <w:r w:rsidR="00E74BF8" w:rsidRPr="00A65C0D">
        <w:t>)</w:t>
      </w:r>
      <w:r w:rsidR="003E1803" w:rsidRPr="00A65C0D">
        <w:rPr>
          <w:rStyle w:val="FootnoteReference"/>
        </w:rPr>
        <w:footnoteReference w:id="2"/>
      </w:r>
      <w:r w:rsidR="00EC4FAA" w:rsidRPr="00A65C0D">
        <w:rPr>
          <w:vertAlign w:val="superscript"/>
        </w:rPr>
        <w:t xml:space="preserve">, </w:t>
      </w:r>
      <w:r w:rsidR="00EC4FAA" w:rsidRPr="00A65C0D">
        <w:rPr>
          <w:rStyle w:val="FootnoteReference"/>
        </w:rPr>
        <w:footnoteReference w:customMarkFollows="1" w:id="3"/>
        <w:t>**</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82"/>
      </w:tblGrid>
      <w:tr w:rsidR="00E74BF8" w:rsidRPr="00A65C0D" w14:paraId="2620901F" w14:textId="77777777" w:rsidTr="00341D13">
        <w:trPr>
          <w:jc w:val="center"/>
        </w:trPr>
        <w:tc>
          <w:tcPr>
            <w:tcW w:w="9082" w:type="dxa"/>
            <w:tcBorders>
              <w:bottom w:val="nil"/>
            </w:tcBorders>
            <w:shd w:val="clear" w:color="auto" w:fill="auto"/>
          </w:tcPr>
          <w:p w14:paraId="2FF005F0" w14:textId="77777777" w:rsidR="00E74BF8" w:rsidRPr="00A65C0D" w:rsidRDefault="00E74BF8" w:rsidP="009F7FEC">
            <w:pPr>
              <w:numPr>
                <w:ilvl w:val="0"/>
                <w:numId w:val="25"/>
              </w:numPr>
              <w:tabs>
                <w:tab w:val="left" w:pos="255"/>
              </w:tabs>
              <w:spacing w:before="120" w:after="120"/>
              <w:ind w:left="969" w:hanging="357"/>
              <w:rPr>
                <w:sz w:val="24"/>
              </w:rPr>
            </w:pPr>
            <w:r w:rsidRPr="00A65C0D">
              <w:rPr>
                <w:i/>
                <w:sz w:val="24"/>
              </w:rPr>
              <w:t>Summary</w:t>
            </w:r>
          </w:p>
        </w:tc>
      </w:tr>
      <w:tr w:rsidR="00E74BF8" w:rsidRPr="00A65C0D" w14:paraId="6F8F1380" w14:textId="77777777" w:rsidTr="00341D13">
        <w:trPr>
          <w:jc w:val="center"/>
        </w:trPr>
        <w:tc>
          <w:tcPr>
            <w:tcW w:w="9082" w:type="dxa"/>
            <w:tcBorders>
              <w:top w:val="nil"/>
              <w:bottom w:val="nil"/>
            </w:tcBorders>
            <w:shd w:val="clear" w:color="auto" w:fill="auto"/>
          </w:tcPr>
          <w:p w14:paraId="34C1ABEC" w14:textId="77777777" w:rsidR="00E500AD" w:rsidRPr="00A65C0D" w:rsidRDefault="00E74BF8" w:rsidP="00F55139">
            <w:pPr>
              <w:pStyle w:val="Hoofdtekst"/>
              <w:tabs>
                <w:tab w:val="left" w:pos="1139"/>
                <w:tab w:val="left" w:pos="3407"/>
              </w:tabs>
              <w:spacing w:before="60"/>
              <w:ind w:left="3408" w:right="714" w:hanging="2268"/>
              <w:jc w:val="both"/>
              <w:rPr>
                <w:rFonts w:ascii="Times New Roman" w:hAnsi="Times New Roman" w:cs="Times New Roman"/>
                <w:color w:val="auto"/>
                <w:sz w:val="20"/>
                <w:szCs w:val="20"/>
                <w:lang w:val="en-GB"/>
              </w:rPr>
            </w:pPr>
            <w:r w:rsidRPr="00A65C0D">
              <w:rPr>
                <w:rFonts w:ascii="Times New Roman" w:eastAsia="Times New Roman" w:hAnsi="Times New Roman" w:cs="Times New Roman"/>
                <w:b/>
                <w:color w:val="auto"/>
                <w:sz w:val="20"/>
                <w:lang w:val="en-GB" w:eastAsia="en-US"/>
              </w:rPr>
              <w:t>Executive summary</w:t>
            </w:r>
            <w:r w:rsidRPr="00A65C0D">
              <w:rPr>
                <w:rFonts w:ascii="Times New Roman" w:eastAsia="Times New Roman" w:hAnsi="Times New Roman" w:cs="Times New Roman"/>
                <w:color w:val="auto"/>
                <w:sz w:val="20"/>
                <w:lang w:val="en-GB" w:eastAsia="en-US"/>
              </w:rPr>
              <w:t>:</w:t>
            </w:r>
            <w:r w:rsidRPr="00A65C0D">
              <w:rPr>
                <w:rFonts w:ascii="Times New Roman" w:eastAsia="Times New Roman" w:hAnsi="Times New Roman" w:cs="Times New Roman"/>
                <w:color w:val="auto"/>
                <w:sz w:val="20"/>
                <w:szCs w:val="20"/>
                <w:lang w:val="en-GB" w:eastAsia="en-US"/>
              </w:rPr>
              <w:tab/>
            </w:r>
            <w:r w:rsidRPr="00A65C0D">
              <w:rPr>
                <w:rFonts w:ascii="Times New Roman" w:hAnsi="Times New Roman" w:cs="Times New Roman"/>
                <w:color w:val="auto"/>
                <w:sz w:val="20"/>
                <w:szCs w:val="20"/>
                <w:lang w:val="en-GB"/>
              </w:rPr>
              <w:t>Special provision 668 permits the transport of elevated temperature substances for the purpose of applying road markings, without being subject to the requirements of RID/ADR, provided that certain conditions are met.</w:t>
            </w:r>
          </w:p>
          <w:p w14:paraId="574AB0B0" w14:textId="77777777" w:rsidR="00E500AD" w:rsidRPr="00A65C0D" w:rsidRDefault="00E500AD" w:rsidP="00E500AD">
            <w:pPr>
              <w:pStyle w:val="Hoofdtekst"/>
              <w:tabs>
                <w:tab w:val="left" w:pos="1139"/>
                <w:tab w:val="left" w:pos="3407"/>
              </w:tabs>
              <w:spacing w:before="60"/>
              <w:ind w:left="3408" w:right="714" w:hanging="2268"/>
              <w:jc w:val="both"/>
              <w:rPr>
                <w:rFonts w:ascii="Times New Roman" w:hAnsi="Times New Roman" w:cs="Times New Roman"/>
                <w:color w:val="auto"/>
                <w:sz w:val="20"/>
                <w:szCs w:val="20"/>
                <w:lang w:val="en-GB"/>
              </w:rPr>
            </w:pPr>
            <w:r w:rsidRPr="00A65C0D">
              <w:rPr>
                <w:rFonts w:ascii="Times New Roman" w:eastAsia="Times New Roman" w:hAnsi="Times New Roman" w:cs="Times New Roman"/>
                <w:b/>
                <w:color w:val="auto"/>
                <w:sz w:val="20"/>
                <w:lang w:val="en-GB" w:eastAsia="en-US"/>
              </w:rPr>
              <w:tab/>
            </w:r>
            <w:r w:rsidR="00E74BF8" w:rsidRPr="00A65C0D">
              <w:rPr>
                <w:rFonts w:ascii="Times New Roman" w:hAnsi="Times New Roman" w:cs="Times New Roman"/>
                <w:color w:val="auto"/>
                <w:sz w:val="20"/>
                <w:szCs w:val="20"/>
                <w:lang w:val="en-GB"/>
              </w:rPr>
              <w:t xml:space="preserve">Elevated temperature substances for purposes other than applying road markings are used in the asphalt industry, </w:t>
            </w:r>
            <w:proofErr w:type="gramStart"/>
            <w:r w:rsidR="00E74BF8" w:rsidRPr="00A65C0D">
              <w:rPr>
                <w:rFonts w:ascii="Times New Roman" w:hAnsi="Times New Roman" w:cs="Times New Roman"/>
                <w:color w:val="auto"/>
                <w:sz w:val="20"/>
                <w:szCs w:val="20"/>
                <w:lang w:val="en-GB"/>
              </w:rPr>
              <w:t>e.g.</w:t>
            </w:r>
            <w:proofErr w:type="gramEnd"/>
            <w:r w:rsidR="00E74BF8" w:rsidRPr="00A65C0D">
              <w:rPr>
                <w:rFonts w:ascii="Times New Roman" w:hAnsi="Times New Roman" w:cs="Times New Roman"/>
                <w:color w:val="auto"/>
                <w:sz w:val="20"/>
                <w:szCs w:val="20"/>
                <w:lang w:val="en-GB"/>
              </w:rPr>
              <w:t xml:space="preserve"> for sealing and repairing cracks and crevices on road surfaces.</w:t>
            </w:r>
          </w:p>
          <w:p w14:paraId="42CBC3B7" w14:textId="4BFA8DB8" w:rsidR="00E500AD" w:rsidRPr="00A65C0D" w:rsidRDefault="00E500AD" w:rsidP="00E500AD">
            <w:pPr>
              <w:pStyle w:val="Hoofdtekst"/>
              <w:tabs>
                <w:tab w:val="left" w:pos="1139"/>
                <w:tab w:val="left" w:pos="3407"/>
              </w:tabs>
              <w:spacing w:before="60"/>
              <w:ind w:left="3408" w:right="714" w:hanging="2268"/>
              <w:jc w:val="both"/>
              <w:rPr>
                <w:rFonts w:ascii="Times New Roman" w:hAnsi="Times New Roman" w:cs="Times New Roman"/>
                <w:color w:val="auto"/>
                <w:sz w:val="20"/>
                <w:szCs w:val="20"/>
                <w:lang w:val="en-GB"/>
              </w:rPr>
            </w:pPr>
            <w:r w:rsidRPr="00A65C0D">
              <w:rPr>
                <w:rFonts w:ascii="Times New Roman" w:hAnsi="Times New Roman" w:cs="Times New Roman"/>
                <w:color w:val="auto"/>
                <w:sz w:val="20"/>
                <w:szCs w:val="20"/>
                <w:lang w:val="en-GB"/>
              </w:rPr>
              <w:tab/>
              <w:t>T</w:t>
            </w:r>
            <w:r w:rsidR="00E74BF8" w:rsidRPr="00A65C0D">
              <w:rPr>
                <w:rFonts w:ascii="Times New Roman" w:hAnsi="Times New Roman" w:cs="Times New Roman"/>
                <w:color w:val="auto"/>
                <w:sz w:val="20"/>
                <w:szCs w:val="20"/>
                <w:lang w:val="en-GB"/>
              </w:rPr>
              <w:t xml:space="preserve">his proposal </w:t>
            </w:r>
            <w:r w:rsidR="00A65C0D" w:rsidRPr="00A65C0D">
              <w:rPr>
                <w:rFonts w:ascii="Times New Roman" w:hAnsi="Times New Roman" w:cs="Times New Roman"/>
                <w:color w:val="auto"/>
                <w:sz w:val="20"/>
                <w:szCs w:val="20"/>
                <w:lang w:val="en-GB"/>
              </w:rPr>
              <w:t xml:space="preserve">aims </w:t>
            </w:r>
            <w:r w:rsidR="00E74BF8" w:rsidRPr="00A65C0D">
              <w:rPr>
                <w:rFonts w:ascii="Times New Roman" w:hAnsi="Times New Roman" w:cs="Times New Roman"/>
                <w:color w:val="auto"/>
                <w:sz w:val="20"/>
                <w:szCs w:val="20"/>
                <w:lang w:val="en-GB"/>
              </w:rPr>
              <w:t>to include the transport of hot bitumen and other similar products for the purpose of repairing cracks and crevices in road surfaces.</w:t>
            </w:r>
          </w:p>
          <w:p w14:paraId="336309E4" w14:textId="711E106B" w:rsidR="00E74BF8" w:rsidRPr="00A65C0D" w:rsidRDefault="00E500AD" w:rsidP="00E500AD">
            <w:pPr>
              <w:pStyle w:val="Hoofdtekst"/>
              <w:tabs>
                <w:tab w:val="left" w:pos="1139"/>
                <w:tab w:val="left" w:pos="3407"/>
              </w:tabs>
              <w:spacing w:before="60"/>
              <w:ind w:left="3408" w:right="714" w:hanging="2268"/>
              <w:jc w:val="both"/>
              <w:rPr>
                <w:rFonts w:ascii="Times New Roman" w:hAnsi="Times New Roman" w:cs="Times New Roman"/>
                <w:color w:val="auto"/>
                <w:sz w:val="20"/>
                <w:szCs w:val="20"/>
                <w:lang w:val="en-GB"/>
              </w:rPr>
            </w:pPr>
            <w:r w:rsidRPr="00A65C0D">
              <w:rPr>
                <w:rFonts w:ascii="Times New Roman" w:hAnsi="Times New Roman" w:cs="Times New Roman"/>
                <w:color w:val="auto"/>
                <w:sz w:val="20"/>
                <w:szCs w:val="20"/>
                <w:lang w:val="en-GB"/>
              </w:rPr>
              <w:tab/>
            </w:r>
            <w:r w:rsidR="00E74BF8" w:rsidRPr="00A65C0D">
              <w:rPr>
                <w:rFonts w:ascii="Times New Roman" w:hAnsi="Times New Roman" w:cs="Times New Roman"/>
                <w:color w:val="auto"/>
                <w:sz w:val="20"/>
                <w:szCs w:val="20"/>
                <w:lang w:val="en-GB"/>
              </w:rPr>
              <w:t>IASA previously submitted a similar proposal ECE/TRANS/WP.15/AC.1/2022/6, which has been revised to accommodate feedback from previous meetings.</w:t>
            </w:r>
          </w:p>
          <w:p w14:paraId="4A45B720" w14:textId="09E86478" w:rsidR="00E500AD" w:rsidRPr="00A65C0D" w:rsidRDefault="00E500AD" w:rsidP="00E500AD">
            <w:pPr>
              <w:pStyle w:val="Hoofdtekst"/>
              <w:tabs>
                <w:tab w:val="left" w:pos="1139"/>
                <w:tab w:val="left" w:pos="3407"/>
              </w:tabs>
              <w:spacing w:before="60"/>
              <w:ind w:left="3408" w:right="714" w:hanging="2268"/>
              <w:jc w:val="both"/>
              <w:rPr>
                <w:rFonts w:ascii="Times New Roman" w:hAnsi="Times New Roman" w:cs="Times New Roman"/>
                <w:color w:val="auto"/>
                <w:sz w:val="20"/>
                <w:szCs w:val="20"/>
                <w:lang w:val="en-GB"/>
              </w:rPr>
            </w:pPr>
          </w:p>
        </w:tc>
      </w:tr>
      <w:tr w:rsidR="00E74BF8" w:rsidRPr="00A65C0D" w14:paraId="30328FE8" w14:textId="77777777" w:rsidTr="00341D13">
        <w:trPr>
          <w:jc w:val="center"/>
        </w:trPr>
        <w:tc>
          <w:tcPr>
            <w:tcW w:w="9082" w:type="dxa"/>
            <w:tcBorders>
              <w:top w:val="nil"/>
              <w:bottom w:val="nil"/>
            </w:tcBorders>
            <w:shd w:val="clear" w:color="auto" w:fill="auto"/>
          </w:tcPr>
          <w:p w14:paraId="5EEBFD46" w14:textId="1A804CD4" w:rsidR="00E74BF8" w:rsidRPr="00A65C0D" w:rsidRDefault="00E74BF8" w:rsidP="00341D13">
            <w:pPr>
              <w:spacing w:after="120"/>
              <w:ind w:left="3402" w:right="713" w:hanging="2268"/>
              <w:jc w:val="both"/>
            </w:pPr>
            <w:r w:rsidRPr="00A65C0D">
              <w:rPr>
                <w:b/>
              </w:rPr>
              <w:t>Action to be taken</w:t>
            </w:r>
            <w:r w:rsidRPr="00A65C0D">
              <w:t>:</w:t>
            </w:r>
            <w:r w:rsidRPr="00A65C0D">
              <w:tab/>
              <w:t>Amend special provision 668 in such a way that transport to construction sites and the use of elevated temperature substances for the purpose of repair work to roads is not subject to the requirements of Class 9.</w:t>
            </w:r>
          </w:p>
          <w:p w14:paraId="70DB82B7" w14:textId="2FB4AA2B" w:rsidR="00E74BF8" w:rsidRPr="00A65C0D" w:rsidRDefault="00E74BF8" w:rsidP="009F7FEC">
            <w:pPr>
              <w:spacing w:after="120"/>
              <w:ind w:left="3402" w:right="713" w:hanging="2268"/>
            </w:pPr>
            <w:r w:rsidRPr="00A65C0D">
              <w:rPr>
                <w:b/>
              </w:rPr>
              <w:t>Related document:</w:t>
            </w:r>
            <w:r w:rsidRPr="00A65C0D">
              <w:rPr>
                <w:b/>
              </w:rPr>
              <w:tab/>
            </w:r>
            <w:r w:rsidRPr="00A65C0D">
              <w:t>ECE</w:t>
            </w:r>
            <w:r w:rsidRPr="00A65C0D">
              <w:rPr>
                <w:snapToGrid w:val="0"/>
              </w:rPr>
              <w:t>/TRANS/WP.15/AC.1/2021/30 (IASA)</w:t>
            </w:r>
            <w:r w:rsidR="009F7FEC" w:rsidRPr="00A65C0D">
              <w:rPr>
                <w:snapToGrid w:val="0"/>
              </w:rPr>
              <w:br/>
            </w:r>
            <w:r w:rsidRPr="00A65C0D">
              <w:t>ECE/TRANS/WP.15/AC.1/2022/6 (IASA)</w:t>
            </w:r>
          </w:p>
        </w:tc>
      </w:tr>
      <w:tr w:rsidR="00E74BF8" w:rsidRPr="00A65C0D" w14:paraId="669EC062" w14:textId="77777777" w:rsidTr="009F7FEC">
        <w:trPr>
          <w:trHeight w:val="60"/>
          <w:jc w:val="center"/>
        </w:trPr>
        <w:tc>
          <w:tcPr>
            <w:tcW w:w="9082" w:type="dxa"/>
            <w:tcBorders>
              <w:top w:val="nil"/>
            </w:tcBorders>
            <w:shd w:val="clear" w:color="auto" w:fill="auto"/>
          </w:tcPr>
          <w:p w14:paraId="1EC780A3" w14:textId="77777777" w:rsidR="00E74BF8" w:rsidRPr="00A65C0D" w:rsidRDefault="00E74BF8" w:rsidP="00341D13"/>
        </w:tc>
      </w:tr>
    </w:tbl>
    <w:p w14:paraId="73476144" w14:textId="47102B1F" w:rsidR="00E74BF8" w:rsidRPr="00A65C0D" w:rsidRDefault="00E74BF8" w:rsidP="00E74BF8">
      <w:pPr>
        <w:pStyle w:val="HChG"/>
        <w:tabs>
          <w:tab w:val="clear" w:pos="851"/>
          <w:tab w:val="right" w:pos="567"/>
        </w:tabs>
        <w:ind w:hanging="708"/>
      </w:pPr>
      <w:r w:rsidRPr="00A65C0D">
        <w:lastRenderedPageBreak/>
        <w:tab/>
        <w:t>Introduction</w:t>
      </w:r>
    </w:p>
    <w:p w14:paraId="146B5C9A" w14:textId="49969277" w:rsidR="00E74BF8" w:rsidRPr="00A65C0D" w:rsidRDefault="00E500AD" w:rsidP="00E500AD">
      <w:pPr>
        <w:pStyle w:val="SingleTxtG"/>
      </w:pPr>
      <w:r w:rsidRPr="00A65C0D">
        <w:tab/>
        <w:t>1.</w:t>
      </w:r>
      <w:r w:rsidRPr="00A65C0D">
        <w:tab/>
      </w:r>
      <w:r w:rsidR="00E74BF8" w:rsidRPr="00A65C0D">
        <w:t>A new special provision was introduced in RID/ADR 2017 allowing elevated temperature substances for the purpose of applying road markings to be transported without being subject to the requirements of RID/ADR, provided that certain conditions are met.</w:t>
      </w:r>
    </w:p>
    <w:p w14:paraId="34E0934A" w14:textId="50322C76" w:rsidR="00E74BF8" w:rsidRPr="00A65C0D" w:rsidRDefault="00E500AD" w:rsidP="00E500AD">
      <w:pPr>
        <w:pStyle w:val="SingleTxtG"/>
      </w:pPr>
      <w:r w:rsidRPr="00A65C0D">
        <w:t>2.</w:t>
      </w:r>
      <w:r w:rsidRPr="00A65C0D">
        <w:tab/>
      </w:r>
      <w:r w:rsidR="00E74BF8" w:rsidRPr="00A65C0D">
        <w:t xml:space="preserve">The full text of </w:t>
      </w:r>
      <w:r w:rsidR="00B27A25">
        <w:t>special provision (</w:t>
      </w:r>
      <w:r w:rsidR="00E74BF8" w:rsidRPr="00A65C0D">
        <w:t>SP</w:t>
      </w:r>
      <w:r w:rsidR="00B27A25">
        <w:t>)</w:t>
      </w:r>
      <w:r w:rsidR="00E74BF8" w:rsidRPr="00A65C0D">
        <w:t xml:space="preserve"> 668 reads:</w:t>
      </w:r>
    </w:p>
    <w:p w14:paraId="4D7D892E" w14:textId="5F2CFA17" w:rsidR="00E74BF8" w:rsidRPr="00A65C0D" w:rsidRDefault="00B27A25" w:rsidP="006C4CDB">
      <w:pPr>
        <w:pStyle w:val="SingleTxtG"/>
        <w:ind w:left="1701"/>
      </w:pPr>
      <w:r>
        <w:t>“</w:t>
      </w:r>
      <w:r w:rsidR="00E74BF8" w:rsidRPr="00A65C0D">
        <w:t>SP 668</w:t>
      </w:r>
      <w:r w:rsidR="00B32C72">
        <w:tab/>
      </w:r>
      <w:r w:rsidR="00E74BF8" w:rsidRPr="00A65C0D">
        <w:t>Elevated temperature substances for the purpose of applying road markings are not subject to the requirements of RID/ADR, provided that the following conditions are met:</w:t>
      </w:r>
    </w:p>
    <w:p w14:paraId="640480B3" w14:textId="15908747" w:rsidR="00E74BF8" w:rsidRPr="00A65C0D" w:rsidRDefault="00E74BF8" w:rsidP="006C4CDB">
      <w:pPr>
        <w:pStyle w:val="SingleTxtG"/>
        <w:ind w:left="1701"/>
        <w:rPr>
          <w:sz w:val="28"/>
          <w:szCs w:val="28"/>
        </w:rPr>
      </w:pPr>
      <w:r w:rsidRPr="00A65C0D">
        <w:t xml:space="preserve">(a) </w:t>
      </w:r>
      <w:r w:rsidR="006C4CDB" w:rsidRPr="00A65C0D">
        <w:tab/>
      </w:r>
      <w:r w:rsidRPr="00A65C0D">
        <w:t xml:space="preserve">They do not fulfil the criteria of any class other than Class </w:t>
      </w:r>
      <w:proofErr w:type="gramStart"/>
      <w:r w:rsidRPr="00A65C0D">
        <w:t>9;</w:t>
      </w:r>
      <w:proofErr w:type="gramEnd"/>
      <w:r w:rsidRPr="00A65C0D">
        <w:rPr>
          <w:sz w:val="24"/>
          <w:szCs w:val="24"/>
        </w:rPr>
        <w:t xml:space="preserve"> </w:t>
      </w:r>
    </w:p>
    <w:p w14:paraId="1BCA4ED0" w14:textId="64A25BBF" w:rsidR="00E74BF8" w:rsidRPr="00A65C0D" w:rsidRDefault="00E74BF8" w:rsidP="006C4CDB">
      <w:pPr>
        <w:pStyle w:val="SingleTxtG"/>
        <w:ind w:left="1701"/>
        <w:rPr>
          <w:sz w:val="28"/>
          <w:szCs w:val="28"/>
        </w:rPr>
      </w:pPr>
      <w:r w:rsidRPr="00A65C0D">
        <w:t xml:space="preserve">(b) </w:t>
      </w:r>
      <w:r w:rsidR="006C4CDB" w:rsidRPr="00A65C0D">
        <w:tab/>
      </w:r>
      <w:r w:rsidRPr="00A65C0D">
        <w:t>The temperature of the outer surface of the boiler does not exceed 70 °</w:t>
      </w:r>
      <w:proofErr w:type="gramStart"/>
      <w:r w:rsidRPr="00A65C0D">
        <w:t>C;</w:t>
      </w:r>
      <w:proofErr w:type="gramEnd"/>
      <w:r w:rsidRPr="00A65C0D">
        <w:rPr>
          <w:sz w:val="24"/>
          <w:szCs w:val="24"/>
        </w:rPr>
        <w:t xml:space="preserve"> </w:t>
      </w:r>
    </w:p>
    <w:p w14:paraId="3B3E37BC" w14:textId="067AD7E3" w:rsidR="00E74BF8" w:rsidRPr="00A65C0D" w:rsidRDefault="00E74BF8" w:rsidP="006C4CDB">
      <w:pPr>
        <w:pStyle w:val="SingleTxtG"/>
        <w:ind w:left="1701"/>
        <w:rPr>
          <w:sz w:val="24"/>
          <w:szCs w:val="24"/>
        </w:rPr>
      </w:pPr>
      <w:r w:rsidRPr="00A65C0D">
        <w:t xml:space="preserve">(c) </w:t>
      </w:r>
      <w:r w:rsidR="006C4CDB" w:rsidRPr="00A65C0D">
        <w:tab/>
      </w:r>
      <w:r w:rsidRPr="00A65C0D">
        <w:t>The boiler is closed in such a way that any loss of product is prevented during</w:t>
      </w:r>
      <w:r w:rsidR="006C4CDB" w:rsidRPr="00A65C0D">
        <w:t xml:space="preserve"> </w:t>
      </w:r>
      <w:proofErr w:type="gramStart"/>
      <w:r w:rsidRPr="00A65C0D">
        <w:t>carriage;</w:t>
      </w:r>
      <w:proofErr w:type="gramEnd"/>
      <w:r w:rsidRPr="00A65C0D">
        <w:rPr>
          <w:sz w:val="24"/>
          <w:szCs w:val="24"/>
        </w:rPr>
        <w:t xml:space="preserve"> </w:t>
      </w:r>
    </w:p>
    <w:p w14:paraId="5CED0DA6" w14:textId="1DC0FCDD" w:rsidR="00E74BF8" w:rsidRPr="00A65C0D" w:rsidRDefault="00E74BF8" w:rsidP="006C4CDB">
      <w:pPr>
        <w:pStyle w:val="SingleTxtG"/>
        <w:ind w:left="1701"/>
        <w:rPr>
          <w:sz w:val="28"/>
          <w:szCs w:val="28"/>
        </w:rPr>
      </w:pPr>
      <w:r w:rsidRPr="00A65C0D">
        <w:t xml:space="preserve">(d) </w:t>
      </w:r>
      <w:r w:rsidR="006C4CDB" w:rsidRPr="00A65C0D">
        <w:tab/>
      </w:r>
      <w:r w:rsidRPr="00A65C0D">
        <w:t xml:space="preserve">The maximum capacity of the boiler is limited to 3 000 </w:t>
      </w:r>
      <w:r w:rsidRPr="00A65C0D">
        <w:rPr>
          <w:i/>
          <w:iCs/>
        </w:rPr>
        <w:t>l</w:t>
      </w:r>
      <w:r w:rsidRPr="00A65C0D">
        <w:t>.</w:t>
      </w:r>
      <w:r w:rsidR="00B27A25">
        <w:t>”</w:t>
      </w:r>
    </w:p>
    <w:p w14:paraId="3DCD5C18" w14:textId="461EF4E3" w:rsidR="00E74BF8" w:rsidRPr="00A65C0D" w:rsidRDefault="008C0B00" w:rsidP="008C0B00">
      <w:pPr>
        <w:pStyle w:val="SingleTxtG"/>
        <w:rPr>
          <w:bCs/>
        </w:rPr>
      </w:pPr>
      <w:r w:rsidRPr="00A65C0D">
        <w:tab/>
        <w:t>3.</w:t>
      </w:r>
      <w:r w:rsidRPr="00A65C0D">
        <w:tab/>
      </w:r>
      <w:r w:rsidR="00E74BF8" w:rsidRPr="00A65C0D">
        <w:t>It would be desirable to widen the scope of special provision 668, in which the transport of elevated temperature substances used for repair work to road surfaces is included in the exemption when these substances are transported and used to repair cracks and crevices in road surfaces.</w:t>
      </w:r>
    </w:p>
    <w:p w14:paraId="0A52EB26" w14:textId="66B262EB" w:rsidR="00E74BF8" w:rsidRPr="00A65C0D" w:rsidRDefault="008C0B00" w:rsidP="008C0B00">
      <w:pPr>
        <w:pStyle w:val="SingleTxtG"/>
        <w:rPr>
          <w:spacing w:val="1"/>
        </w:rPr>
      </w:pPr>
      <w:r w:rsidRPr="00A65C0D">
        <w:rPr>
          <w:spacing w:val="1"/>
        </w:rPr>
        <w:tab/>
        <w:t>4.</w:t>
      </w:r>
      <w:r w:rsidRPr="00A65C0D">
        <w:rPr>
          <w:spacing w:val="1"/>
        </w:rPr>
        <w:tab/>
      </w:r>
      <w:r w:rsidR="00E74BF8" w:rsidRPr="00A65C0D">
        <w:rPr>
          <w:spacing w:val="1"/>
        </w:rPr>
        <w:t xml:space="preserve">When transported for the purpose of repairing cracks and crevices, bitumen and other similar substances assigned to UN 3257 only </w:t>
      </w:r>
      <w:proofErr w:type="gramStart"/>
      <w:r w:rsidR="00E74BF8" w:rsidRPr="00A65C0D">
        <w:rPr>
          <w:spacing w:val="1"/>
        </w:rPr>
        <w:t>on the basis of</w:t>
      </w:r>
      <w:proofErr w:type="gramEnd"/>
      <w:r w:rsidR="00E74BF8" w:rsidRPr="00A65C0D">
        <w:rPr>
          <w:spacing w:val="1"/>
        </w:rPr>
        <w:t xml:space="preserve"> their elevated temperature are transported in boilers similar to those used for road marking. The limitation in the first sentence of special provision 668 does not allow these products to be transported under the conditions mentioned unless the purpose of such transport is to apply road markings, even though the transport, application and conditions are quite similar when these substances are carried for other purposes.</w:t>
      </w:r>
    </w:p>
    <w:p w14:paraId="551B5BC8" w14:textId="0F60FD47" w:rsidR="00E74BF8" w:rsidRPr="00A65C0D" w:rsidRDefault="00E74BF8" w:rsidP="008C0B00">
      <w:pPr>
        <w:pStyle w:val="SingleTxtG"/>
        <w:jc w:val="center"/>
      </w:pPr>
      <w:r w:rsidRPr="00A65C0D">
        <w:t>Example of applying crack sealing to road surface.</w:t>
      </w:r>
    </w:p>
    <w:p w14:paraId="159CEE76" w14:textId="364C4082" w:rsidR="00E74BF8" w:rsidRPr="00A65C0D" w:rsidRDefault="00E74BF8" w:rsidP="00E74BF8">
      <w:pPr>
        <w:pStyle w:val="ListParagraph"/>
        <w:tabs>
          <w:tab w:val="clear" w:pos="74"/>
          <w:tab w:val="clear" w:pos="1366"/>
          <w:tab w:val="clear" w:pos="2665"/>
          <w:tab w:val="clear" w:pos="3963"/>
          <w:tab w:val="clear" w:pos="5256"/>
          <w:tab w:val="clear" w:pos="6555"/>
          <w:tab w:val="clear" w:pos="7847"/>
          <w:tab w:val="clear" w:pos="9146"/>
        </w:tabs>
        <w:spacing w:line="250" w:lineRule="auto"/>
        <w:ind w:left="567" w:right="708"/>
        <w:contextualSpacing/>
        <w:jc w:val="center"/>
        <w:rPr>
          <w:spacing w:val="1"/>
          <w:vertAlign w:val="subscript"/>
          <w:lang w:val="en-GB"/>
        </w:rPr>
      </w:pPr>
      <w:r w:rsidRPr="00A65C0D">
        <w:rPr>
          <w:noProof/>
          <w:spacing w:val="1"/>
          <w:vertAlign w:val="subscript"/>
          <w:lang w:val="en-GB"/>
        </w:rPr>
        <w:drawing>
          <wp:inline distT="0" distB="0" distL="0" distR="0" wp14:anchorId="332CF434" wp14:editId="75757667">
            <wp:extent cx="3930650" cy="18415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0650" cy="1841500"/>
                    </a:xfrm>
                    <a:prstGeom prst="rect">
                      <a:avLst/>
                    </a:prstGeom>
                    <a:noFill/>
                    <a:ln>
                      <a:noFill/>
                    </a:ln>
                  </pic:spPr>
                </pic:pic>
              </a:graphicData>
            </a:graphic>
          </wp:inline>
        </w:drawing>
      </w:r>
    </w:p>
    <w:p w14:paraId="4074E06F" w14:textId="33AFBE91" w:rsidR="00E74BF8" w:rsidRPr="00A65C0D" w:rsidRDefault="00E74BF8" w:rsidP="008C0B00">
      <w:pPr>
        <w:pStyle w:val="HChG"/>
      </w:pPr>
      <w:r w:rsidRPr="00A65C0D">
        <w:tab/>
      </w:r>
      <w:r w:rsidR="008C0B00" w:rsidRPr="00A65C0D">
        <w:tab/>
      </w:r>
      <w:r w:rsidRPr="00A65C0D">
        <w:t>Proposal</w:t>
      </w:r>
    </w:p>
    <w:p w14:paraId="5ED2EBAC" w14:textId="40E71D06" w:rsidR="00E74BF8" w:rsidRPr="00A65C0D" w:rsidRDefault="008C0B00" w:rsidP="008C0B00">
      <w:pPr>
        <w:pStyle w:val="SingleTxtG"/>
      </w:pPr>
      <w:r w:rsidRPr="00A65C0D">
        <w:tab/>
        <w:t>5.</w:t>
      </w:r>
      <w:r w:rsidRPr="00A65C0D">
        <w:tab/>
      </w:r>
      <w:r w:rsidR="00E74BF8" w:rsidRPr="00A65C0D">
        <w:t xml:space="preserve">Amend special provision 668 to read as follows </w:t>
      </w:r>
      <w:r w:rsidR="00E74BF8" w:rsidRPr="00A65C0D">
        <w:rPr>
          <w:spacing w:val="1"/>
        </w:rPr>
        <w:t>(n</w:t>
      </w:r>
      <w:r w:rsidR="00E74BF8" w:rsidRPr="00A65C0D">
        <w:t>ew</w:t>
      </w:r>
      <w:r w:rsidR="00E74BF8" w:rsidRPr="00A65C0D">
        <w:rPr>
          <w:spacing w:val="-2"/>
        </w:rPr>
        <w:t xml:space="preserve"> </w:t>
      </w:r>
      <w:r w:rsidR="00E74BF8" w:rsidRPr="00A65C0D">
        <w:t>t</w:t>
      </w:r>
      <w:r w:rsidR="00E74BF8" w:rsidRPr="00A65C0D">
        <w:rPr>
          <w:spacing w:val="-2"/>
        </w:rPr>
        <w:t>e</w:t>
      </w:r>
      <w:r w:rsidR="00E74BF8" w:rsidRPr="00A65C0D">
        <w:rPr>
          <w:spacing w:val="1"/>
        </w:rPr>
        <w:t>x</w:t>
      </w:r>
      <w:r w:rsidR="00E74BF8" w:rsidRPr="00A65C0D">
        <w:t>t</w:t>
      </w:r>
      <w:r w:rsidR="00E74BF8" w:rsidRPr="00A65C0D">
        <w:rPr>
          <w:spacing w:val="-3"/>
        </w:rPr>
        <w:t xml:space="preserve"> </w:t>
      </w:r>
      <w:r w:rsidR="00E74BF8" w:rsidRPr="00A65C0D">
        <w:t>is</w:t>
      </w:r>
      <w:r w:rsidR="00E74BF8" w:rsidRPr="00A65C0D">
        <w:rPr>
          <w:spacing w:val="-1"/>
        </w:rPr>
        <w:t xml:space="preserve"> </w:t>
      </w:r>
      <w:r w:rsidR="00E74BF8" w:rsidRPr="00A65C0D">
        <w:rPr>
          <w:spacing w:val="1"/>
        </w:rPr>
        <w:t>und</w:t>
      </w:r>
      <w:r w:rsidR="00E74BF8" w:rsidRPr="00A65C0D">
        <w:t>e</w:t>
      </w:r>
      <w:r w:rsidR="00E74BF8" w:rsidRPr="00A65C0D">
        <w:rPr>
          <w:spacing w:val="1"/>
        </w:rPr>
        <w:t>r</w:t>
      </w:r>
      <w:r w:rsidR="00E74BF8" w:rsidRPr="00A65C0D">
        <w:rPr>
          <w:spacing w:val="-3"/>
        </w:rPr>
        <w:t>l</w:t>
      </w:r>
      <w:r w:rsidR="00E74BF8" w:rsidRPr="00A65C0D">
        <w:t>i</w:t>
      </w:r>
      <w:r w:rsidR="00E74BF8" w:rsidRPr="00A65C0D">
        <w:rPr>
          <w:spacing w:val="1"/>
        </w:rPr>
        <w:t>n</w:t>
      </w:r>
      <w:r w:rsidR="00E74BF8" w:rsidRPr="00A65C0D">
        <w:t>e</w:t>
      </w:r>
      <w:r w:rsidR="00E74BF8" w:rsidRPr="00A65C0D">
        <w:rPr>
          <w:spacing w:val="1"/>
        </w:rPr>
        <w:t>d)</w:t>
      </w:r>
      <w:r w:rsidR="00E74BF8" w:rsidRPr="00A65C0D">
        <w:t>:</w:t>
      </w:r>
    </w:p>
    <w:p w14:paraId="36340B38" w14:textId="6B1B3FE7" w:rsidR="00E74BF8" w:rsidRPr="00A65C0D" w:rsidRDefault="004F59B8" w:rsidP="00EE4A1E">
      <w:pPr>
        <w:pStyle w:val="SingleTxtG"/>
        <w:ind w:left="1701"/>
      </w:pPr>
      <w:r>
        <w:t>“</w:t>
      </w:r>
      <w:r w:rsidR="00E74BF8" w:rsidRPr="00A65C0D">
        <w:t>SP 668</w:t>
      </w:r>
      <w:r>
        <w:tab/>
      </w:r>
      <w:r w:rsidR="00E74BF8" w:rsidRPr="00A65C0D">
        <w:t xml:space="preserve">Elevated temperature substances, </w:t>
      </w:r>
      <w:r w:rsidR="00E74BF8" w:rsidRPr="00A65C0D">
        <w:rPr>
          <w:u w:val="single"/>
        </w:rPr>
        <w:t>such as bitumen and similar products assigned to UN number 3257</w:t>
      </w:r>
      <w:r w:rsidR="00E74BF8" w:rsidRPr="00A65C0D">
        <w:t xml:space="preserve"> for the purpose of applying road markings </w:t>
      </w:r>
      <w:r w:rsidR="00E74BF8" w:rsidRPr="00A65C0D">
        <w:rPr>
          <w:u w:val="single"/>
        </w:rPr>
        <w:t>and repairing cracks and crevices in existing road surfaces</w:t>
      </w:r>
      <w:r w:rsidR="00E74BF8" w:rsidRPr="00A65C0D">
        <w:t xml:space="preserve"> are not subject to the requirements of RID/ADR, provided that the following conditions are met:</w:t>
      </w:r>
    </w:p>
    <w:p w14:paraId="475D185E" w14:textId="32DE3DDF" w:rsidR="00E74BF8" w:rsidRPr="00A65C0D" w:rsidRDefault="0058430A" w:rsidP="00DF0F3A">
      <w:pPr>
        <w:pStyle w:val="SingleTxtG"/>
        <w:ind w:left="1701"/>
        <w:rPr>
          <w:rFonts w:eastAsia="MS Mincho"/>
          <w:lang w:eastAsia="da-DK"/>
        </w:rPr>
      </w:pPr>
      <w:r w:rsidRPr="00A65C0D">
        <w:rPr>
          <w:rFonts w:eastAsia="MS Mincho"/>
          <w:lang w:eastAsia="da-DK"/>
        </w:rPr>
        <w:tab/>
      </w:r>
      <w:r w:rsidR="00D90566" w:rsidRPr="00A65C0D">
        <w:rPr>
          <w:rFonts w:eastAsia="MS Mincho"/>
          <w:lang w:eastAsia="da-DK"/>
        </w:rPr>
        <w:t>(a)</w:t>
      </w:r>
      <w:r w:rsidRPr="00A65C0D">
        <w:rPr>
          <w:rFonts w:eastAsia="MS Mincho"/>
          <w:lang w:eastAsia="da-DK"/>
        </w:rPr>
        <w:tab/>
      </w:r>
      <w:r w:rsidR="00E74BF8" w:rsidRPr="00A65C0D">
        <w:rPr>
          <w:rFonts w:eastAsia="MS Mincho"/>
          <w:lang w:eastAsia="da-DK"/>
        </w:rPr>
        <w:t xml:space="preserve">They do not fulfil the criteria of any class other than Class </w:t>
      </w:r>
      <w:proofErr w:type="gramStart"/>
      <w:r w:rsidR="00E74BF8" w:rsidRPr="00A65C0D">
        <w:rPr>
          <w:rFonts w:eastAsia="MS Mincho"/>
          <w:lang w:eastAsia="da-DK"/>
        </w:rPr>
        <w:t>9;</w:t>
      </w:r>
      <w:proofErr w:type="gramEnd"/>
    </w:p>
    <w:p w14:paraId="597CB985" w14:textId="38CB245B" w:rsidR="00E74BF8" w:rsidRPr="00A65C0D" w:rsidRDefault="00D90566" w:rsidP="00DF0F3A">
      <w:pPr>
        <w:pStyle w:val="SingleTxtG"/>
        <w:ind w:left="1701"/>
        <w:rPr>
          <w:rFonts w:eastAsia="MS Mincho"/>
          <w:lang w:eastAsia="da-DK"/>
        </w:rPr>
      </w:pPr>
      <w:r w:rsidRPr="00A65C0D">
        <w:rPr>
          <w:rFonts w:eastAsia="MS Mincho"/>
          <w:lang w:eastAsia="da-DK"/>
        </w:rPr>
        <w:tab/>
        <w:t>(b)</w:t>
      </w:r>
      <w:r w:rsidRPr="00A65C0D">
        <w:rPr>
          <w:rFonts w:eastAsia="MS Mincho"/>
          <w:lang w:eastAsia="da-DK"/>
        </w:rPr>
        <w:tab/>
      </w:r>
      <w:r w:rsidR="00E74BF8" w:rsidRPr="00A65C0D">
        <w:rPr>
          <w:rFonts w:eastAsia="MS Mincho"/>
          <w:lang w:eastAsia="da-DK"/>
        </w:rPr>
        <w:t>The temperature of the outer surface of the boiler does not exceed 70 °</w:t>
      </w:r>
      <w:proofErr w:type="gramStart"/>
      <w:r w:rsidR="00E74BF8" w:rsidRPr="00A65C0D">
        <w:rPr>
          <w:rFonts w:eastAsia="MS Mincho"/>
          <w:lang w:eastAsia="da-DK"/>
        </w:rPr>
        <w:t>C;</w:t>
      </w:r>
      <w:proofErr w:type="gramEnd"/>
    </w:p>
    <w:p w14:paraId="1C2CBDBD" w14:textId="77777777" w:rsidR="00D90566" w:rsidRPr="00A65C0D" w:rsidRDefault="00D90566">
      <w:pPr>
        <w:suppressAutoHyphens w:val="0"/>
        <w:spacing w:line="240" w:lineRule="auto"/>
        <w:rPr>
          <w:rFonts w:eastAsia="MS Mincho"/>
          <w:lang w:eastAsia="da-DK"/>
        </w:rPr>
      </w:pPr>
      <w:r w:rsidRPr="00A65C0D">
        <w:rPr>
          <w:rFonts w:eastAsia="MS Mincho"/>
          <w:lang w:eastAsia="da-DK"/>
        </w:rPr>
        <w:br w:type="page"/>
      </w:r>
    </w:p>
    <w:p w14:paraId="20E60852" w14:textId="38B1E862" w:rsidR="00E74BF8" w:rsidRPr="00A65C0D" w:rsidRDefault="00D90566" w:rsidP="00DF0F3A">
      <w:pPr>
        <w:pStyle w:val="SingleTxtG"/>
        <w:ind w:left="1701"/>
        <w:rPr>
          <w:color w:val="231F20"/>
        </w:rPr>
      </w:pPr>
      <w:r w:rsidRPr="00A65C0D">
        <w:rPr>
          <w:rFonts w:eastAsia="MS Mincho"/>
          <w:lang w:eastAsia="da-DK"/>
        </w:rPr>
        <w:lastRenderedPageBreak/>
        <w:tab/>
        <w:t>(c)</w:t>
      </w:r>
      <w:r w:rsidRPr="00A65C0D">
        <w:rPr>
          <w:rFonts w:eastAsia="MS Mincho"/>
          <w:lang w:eastAsia="da-DK"/>
        </w:rPr>
        <w:tab/>
      </w:r>
      <w:r w:rsidR="00E74BF8" w:rsidRPr="00A65C0D">
        <w:rPr>
          <w:rFonts w:eastAsia="MS Mincho"/>
          <w:lang w:eastAsia="da-DK"/>
        </w:rPr>
        <w:t xml:space="preserve">The boiler is closed in such a way that any loss of product is prevented during </w:t>
      </w:r>
      <w:proofErr w:type="gramStart"/>
      <w:r w:rsidR="00E74BF8" w:rsidRPr="00A65C0D">
        <w:rPr>
          <w:rFonts w:eastAsia="MS Mincho"/>
          <w:lang w:eastAsia="da-DK"/>
        </w:rPr>
        <w:t>carriage;</w:t>
      </w:r>
      <w:proofErr w:type="gramEnd"/>
    </w:p>
    <w:p w14:paraId="4E227AFD" w14:textId="49820842" w:rsidR="00E74BF8" w:rsidRPr="00A65C0D" w:rsidRDefault="00D90566" w:rsidP="00D90566">
      <w:pPr>
        <w:pStyle w:val="SingleTxtG"/>
        <w:ind w:left="1701"/>
        <w:rPr>
          <w:color w:val="231F20"/>
        </w:rPr>
      </w:pPr>
      <w:r w:rsidRPr="00A65C0D">
        <w:rPr>
          <w:rFonts w:eastAsia="MS Mincho"/>
          <w:lang w:eastAsia="da-DK"/>
        </w:rPr>
        <w:tab/>
        <w:t>(d)</w:t>
      </w:r>
      <w:r w:rsidRPr="00A65C0D">
        <w:rPr>
          <w:rFonts w:eastAsia="MS Mincho"/>
          <w:lang w:eastAsia="da-DK"/>
        </w:rPr>
        <w:tab/>
      </w:r>
      <w:r w:rsidR="00E74BF8" w:rsidRPr="00A65C0D">
        <w:rPr>
          <w:rFonts w:eastAsia="MS Mincho"/>
          <w:lang w:eastAsia="da-DK"/>
        </w:rPr>
        <w:t xml:space="preserve">The maximum capacity of the boiler is limited to 3 000 </w:t>
      </w:r>
      <w:r w:rsidR="00E74BF8" w:rsidRPr="00A65C0D">
        <w:rPr>
          <w:rFonts w:ascii="TimesNewRomanPS-ItalicMT" w:eastAsia="MS Mincho" w:hAnsi="TimesNewRomanPS-ItalicMT" w:cs="TimesNewRomanPS-ItalicMT"/>
          <w:i/>
          <w:iCs/>
          <w:lang w:eastAsia="da-DK"/>
        </w:rPr>
        <w:t>l</w:t>
      </w:r>
      <w:r w:rsidR="00E74BF8" w:rsidRPr="00A65C0D">
        <w:rPr>
          <w:rFonts w:eastAsia="MS Mincho"/>
          <w:lang w:eastAsia="da-DK"/>
        </w:rPr>
        <w:t>.</w:t>
      </w:r>
      <w:r w:rsidR="004F59B8">
        <w:rPr>
          <w:color w:val="231F20"/>
        </w:rPr>
        <w:t>”</w:t>
      </w:r>
    </w:p>
    <w:p w14:paraId="1BD51B99" w14:textId="77777777" w:rsidR="00E74BF8" w:rsidRPr="00A65C0D" w:rsidRDefault="00E74BF8" w:rsidP="00D90566">
      <w:pPr>
        <w:pStyle w:val="HChG"/>
      </w:pPr>
      <w:r w:rsidRPr="00A65C0D">
        <w:tab/>
      </w:r>
      <w:r w:rsidRPr="00A65C0D">
        <w:rPr>
          <w:sz w:val="24"/>
          <w:szCs w:val="24"/>
        </w:rPr>
        <w:tab/>
      </w:r>
      <w:r w:rsidRPr="00A65C0D">
        <w:t>Justification</w:t>
      </w:r>
    </w:p>
    <w:p w14:paraId="14E5A419" w14:textId="34255CDE" w:rsidR="00E74BF8" w:rsidRPr="00A65C0D" w:rsidRDefault="00D90566" w:rsidP="00D90566">
      <w:pPr>
        <w:pStyle w:val="SingleTxtG"/>
        <w:rPr>
          <w:rStyle w:val="SingleTxtGChar"/>
        </w:rPr>
      </w:pPr>
      <w:r w:rsidRPr="00A65C0D">
        <w:rPr>
          <w:rStyle w:val="SingleTxtGChar"/>
        </w:rPr>
        <w:t>6.</w:t>
      </w:r>
      <w:r w:rsidRPr="00A65C0D">
        <w:rPr>
          <w:rStyle w:val="SingleTxtGChar"/>
        </w:rPr>
        <w:tab/>
      </w:r>
      <w:r w:rsidR="00E74BF8" w:rsidRPr="00A65C0D">
        <w:rPr>
          <w:rStyle w:val="SingleTxtGChar"/>
        </w:rPr>
        <w:t xml:space="preserve">This would ensure uniform application of the regulations concerning the transport of elevated temperature substances, whether for road marking or for </w:t>
      </w:r>
      <w:r w:rsidR="00E74BF8" w:rsidRPr="00A65C0D">
        <w:rPr>
          <w:rStyle w:val="SingleTxtGChar"/>
          <w:lang w:eastAsia="fr-FR"/>
        </w:rPr>
        <w:t>sealing</w:t>
      </w:r>
      <w:r w:rsidR="00E74BF8" w:rsidRPr="00A65C0D">
        <w:rPr>
          <w:rStyle w:val="SingleTxtGChar"/>
        </w:rPr>
        <w:t xml:space="preserve"> cracks and crevices in existing road surfaces.</w:t>
      </w:r>
    </w:p>
    <w:p w14:paraId="59576F6A" w14:textId="7908AE75" w:rsidR="004340C1" w:rsidRPr="00A65C0D" w:rsidRDefault="00D90566" w:rsidP="00D90566">
      <w:pPr>
        <w:pStyle w:val="SingleTxtG"/>
        <w:rPr>
          <w:rStyle w:val="SingleTxtGChar"/>
        </w:rPr>
      </w:pPr>
      <w:r w:rsidRPr="00A65C0D">
        <w:rPr>
          <w:rStyle w:val="SingleTxtGChar"/>
        </w:rPr>
        <w:tab/>
        <w:t>7.</w:t>
      </w:r>
      <w:r w:rsidRPr="00A65C0D">
        <w:rPr>
          <w:rStyle w:val="SingleTxtGChar"/>
        </w:rPr>
        <w:tab/>
      </w:r>
      <w:r w:rsidR="00E74BF8" w:rsidRPr="00A65C0D">
        <w:rPr>
          <w:rStyle w:val="SingleTxtGChar"/>
        </w:rPr>
        <w:t>Since the equipment used for the transport and application is very similar, or even the same in both situations described, no safety implications are anticipated.</w:t>
      </w:r>
    </w:p>
    <w:p w14:paraId="3CDBD85A" w14:textId="28225399" w:rsidR="00D90566" w:rsidRPr="00A65C0D" w:rsidRDefault="00D90566" w:rsidP="00D90566">
      <w:pPr>
        <w:spacing w:before="240"/>
        <w:jc w:val="center"/>
        <w:rPr>
          <w:rStyle w:val="SingleTxtGChar"/>
          <w:u w:val="single"/>
        </w:rPr>
      </w:pPr>
      <w:r w:rsidRPr="00A65C0D">
        <w:rPr>
          <w:rStyle w:val="SingleTxtGChar"/>
          <w:u w:val="single"/>
        </w:rPr>
        <w:tab/>
      </w:r>
      <w:r w:rsidRPr="00A65C0D">
        <w:rPr>
          <w:rStyle w:val="SingleTxtGChar"/>
          <w:u w:val="single"/>
        </w:rPr>
        <w:tab/>
      </w:r>
      <w:r w:rsidRPr="00A65C0D">
        <w:rPr>
          <w:rStyle w:val="SingleTxtGChar"/>
          <w:u w:val="single"/>
        </w:rPr>
        <w:tab/>
      </w:r>
    </w:p>
    <w:sectPr w:rsidR="00D90566" w:rsidRPr="00A65C0D" w:rsidSect="00AF32E7">
      <w:headerReference w:type="even" r:id="rId13"/>
      <w:headerReference w:type="default" r:id="rId14"/>
      <w:footerReference w:type="even" r:id="rId15"/>
      <w:footerReference w:type="default" r:id="rId16"/>
      <w:headerReference w:type="first" r:id="rId17"/>
      <w:footerReference w:type="first" r:id="rId18"/>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557B7" w14:textId="77777777" w:rsidR="00D516AD" w:rsidRDefault="00D516AD"/>
  </w:endnote>
  <w:endnote w:type="continuationSeparator" w:id="0">
    <w:p w14:paraId="0A3FCAF5" w14:textId="77777777" w:rsidR="00D516AD" w:rsidRDefault="00D516AD"/>
  </w:endnote>
  <w:endnote w:type="continuationNotice" w:id="1">
    <w:p w14:paraId="2E08E535" w14:textId="77777777" w:rsidR="00D516AD" w:rsidRDefault="00D51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DD83" w14:textId="3886B5CD" w:rsidR="00AF32E7" w:rsidRPr="00AF32E7" w:rsidRDefault="00AF32E7" w:rsidP="00AF32E7">
    <w:pPr>
      <w:pStyle w:val="Footer"/>
      <w:tabs>
        <w:tab w:val="right" w:pos="9638"/>
      </w:tabs>
      <w:rPr>
        <w:sz w:val="18"/>
      </w:rPr>
    </w:pPr>
    <w:r w:rsidRPr="00AF32E7">
      <w:rPr>
        <w:b/>
        <w:sz w:val="18"/>
      </w:rPr>
      <w:fldChar w:fldCharType="begin"/>
    </w:r>
    <w:r w:rsidRPr="00AF32E7">
      <w:rPr>
        <w:b/>
        <w:sz w:val="18"/>
      </w:rPr>
      <w:instrText xml:space="preserve"> PAGE  \* MERGEFORMAT </w:instrText>
    </w:r>
    <w:r w:rsidRPr="00AF32E7">
      <w:rPr>
        <w:b/>
        <w:sz w:val="18"/>
      </w:rPr>
      <w:fldChar w:fldCharType="separate"/>
    </w:r>
    <w:r w:rsidRPr="00AF32E7">
      <w:rPr>
        <w:b/>
        <w:noProof/>
        <w:sz w:val="18"/>
      </w:rPr>
      <w:t>2</w:t>
    </w:r>
    <w:r w:rsidRPr="00AF32E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4041" w14:textId="2210341C" w:rsidR="00AF32E7" w:rsidRPr="00AF32E7" w:rsidRDefault="00AF32E7" w:rsidP="00AF32E7">
    <w:pPr>
      <w:pStyle w:val="Footer"/>
      <w:tabs>
        <w:tab w:val="right" w:pos="9638"/>
      </w:tabs>
      <w:rPr>
        <w:b/>
        <w:sz w:val="18"/>
      </w:rPr>
    </w:pPr>
    <w:r>
      <w:tab/>
    </w:r>
    <w:r w:rsidRPr="00AF32E7">
      <w:rPr>
        <w:b/>
        <w:sz w:val="18"/>
      </w:rPr>
      <w:fldChar w:fldCharType="begin"/>
    </w:r>
    <w:r w:rsidRPr="00AF32E7">
      <w:rPr>
        <w:b/>
        <w:sz w:val="18"/>
      </w:rPr>
      <w:instrText xml:space="preserve"> PAGE  \* MERGEFORMAT </w:instrText>
    </w:r>
    <w:r w:rsidRPr="00AF32E7">
      <w:rPr>
        <w:b/>
        <w:sz w:val="18"/>
      </w:rPr>
      <w:fldChar w:fldCharType="separate"/>
    </w:r>
    <w:r w:rsidRPr="00AF32E7">
      <w:rPr>
        <w:b/>
        <w:noProof/>
        <w:sz w:val="18"/>
      </w:rPr>
      <w:t>3</w:t>
    </w:r>
    <w:r w:rsidRPr="00AF32E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1A6F" w14:textId="77777777" w:rsidR="0035223F" w:rsidRPr="00AF32E7" w:rsidRDefault="00686A48">
    <w:pPr>
      <w:pStyle w:val="Footer"/>
      <w:rPr>
        <w:sz w:val="20"/>
      </w:rPr>
    </w:pPr>
    <w:r>
      <w:rPr>
        <w:noProof/>
        <w:lang w:val="fr-CH" w:eastAsia="fr-CH"/>
      </w:rPr>
      <w:drawing>
        <wp:anchor distT="0" distB="0" distL="114300" distR="114300" simplePos="0" relativeHeight="251657728" behindDoc="0" locked="1" layoutInCell="1" allowOverlap="1" wp14:anchorId="59A8FDDE" wp14:editId="432012BA">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A3683" w14:textId="77777777" w:rsidR="00D516AD" w:rsidRPr="000B175B" w:rsidRDefault="00D516AD" w:rsidP="000B175B">
      <w:pPr>
        <w:tabs>
          <w:tab w:val="right" w:pos="2155"/>
        </w:tabs>
        <w:spacing w:after="80"/>
        <w:ind w:left="680"/>
        <w:rPr>
          <w:u w:val="single"/>
        </w:rPr>
      </w:pPr>
      <w:r>
        <w:rPr>
          <w:u w:val="single"/>
        </w:rPr>
        <w:tab/>
      </w:r>
    </w:p>
  </w:footnote>
  <w:footnote w:type="continuationSeparator" w:id="0">
    <w:p w14:paraId="57AE436D" w14:textId="77777777" w:rsidR="00D516AD" w:rsidRPr="00FC68B7" w:rsidRDefault="00D516AD" w:rsidP="00FC68B7">
      <w:pPr>
        <w:tabs>
          <w:tab w:val="left" w:pos="2155"/>
        </w:tabs>
        <w:spacing w:after="80"/>
        <w:ind w:left="680"/>
        <w:rPr>
          <w:u w:val="single"/>
        </w:rPr>
      </w:pPr>
      <w:r>
        <w:rPr>
          <w:u w:val="single"/>
        </w:rPr>
        <w:tab/>
      </w:r>
    </w:p>
  </w:footnote>
  <w:footnote w:type="continuationNotice" w:id="1">
    <w:p w14:paraId="44DEB52A" w14:textId="77777777" w:rsidR="00D516AD" w:rsidRDefault="00D516AD"/>
  </w:footnote>
  <w:footnote w:id="2">
    <w:p w14:paraId="6B03A380" w14:textId="0B5A59F2" w:rsidR="003E1803" w:rsidRPr="003E1803" w:rsidRDefault="003E1803" w:rsidP="00EC4FAA">
      <w:pPr>
        <w:pStyle w:val="FootnoteText"/>
        <w:ind w:firstLine="0"/>
        <w:rPr>
          <w:lang w:val="fr-CH"/>
        </w:rPr>
      </w:pPr>
      <w:r>
        <w:rPr>
          <w:rStyle w:val="FootnoteReference"/>
        </w:rPr>
        <w:footnoteRef/>
      </w:r>
      <w:r>
        <w:t xml:space="preserve"> </w:t>
      </w:r>
      <w:r w:rsidR="00382757">
        <w:tab/>
      </w:r>
      <w:r w:rsidR="00EC4FAA" w:rsidRPr="001F15FD">
        <w:t>A/7</w:t>
      </w:r>
      <w:r w:rsidR="00A67846">
        <w:t>7</w:t>
      </w:r>
      <w:r w:rsidR="00EC4FAA" w:rsidRPr="001F15FD">
        <w:t>/6 (Sect.20), para. 20.76</w:t>
      </w:r>
    </w:p>
  </w:footnote>
  <w:footnote w:id="3">
    <w:p w14:paraId="4544E546" w14:textId="1C2F1BAE" w:rsidR="00EC4FAA" w:rsidRPr="00EC4FAA" w:rsidRDefault="00EC4FAA" w:rsidP="00382757">
      <w:pPr>
        <w:pStyle w:val="FootnoteText"/>
        <w:ind w:firstLine="0"/>
        <w:rPr>
          <w:lang w:val="fr-CH"/>
        </w:rPr>
      </w:pPr>
      <w:r>
        <w:rPr>
          <w:rStyle w:val="FootnoteReference"/>
        </w:rPr>
        <w:t>**</w:t>
      </w:r>
      <w:r>
        <w:t xml:space="preserve"> </w:t>
      </w:r>
      <w:r w:rsidR="00382757">
        <w:tab/>
      </w:r>
      <w:r w:rsidR="00382757">
        <w:rPr>
          <w:szCs w:val="18"/>
        </w:rPr>
        <w:t>Circulated by the Intergovernmental Organisation for International Carriage by Rail (OTIF) under the symbol OTIF/RID/RC/2023/4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3045" w14:textId="15B1E89A" w:rsidR="00AF32E7" w:rsidRPr="00AF32E7" w:rsidRDefault="00A94306">
    <w:pPr>
      <w:pStyle w:val="Header"/>
    </w:pPr>
    <w:r>
      <w:fldChar w:fldCharType="begin"/>
    </w:r>
    <w:r>
      <w:instrText xml:space="preserve"> TITLE  \* MERGEFORMAT </w:instrText>
    </w:r>
    <w:r>
      <w:fldChar w:fldCharType="separate"/>
    </w:r>
    <w:r>
      <w:t>ECE/TRANS/WP.15/AC.1/2023/4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5B56" w14:textId="40106EBC" w:rsidR="00AF32E7" w:rsidRPr="00AF32E7" w:rsidRDefault="00A94306" w:rsidP="00AF32E7">
    <w:pPr>
      <w:pStyle w:val="Header"/>
      <w:jc w:val="right"/>
    </w:pPr>
    <w:r>
      <w:fldChar w:fldCharType="begin"/>
    </w:r>
    <w:r>
      <w:instrText xml:space="preserve"> TITLE  \* MERGEFORMAT </w:instrText>
    </w:r>
    <w:r>
      <w:fldChar w:fldCharType="separate"/>
    </w:r>
    <w:r>
      <w:t>ECE/TRANS/WP.15/AC.1/2023/4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1889" w14:textId="77777777" w:rsidR="00D90566" w:rsidRDefault="00D90566" w:rsidP="00A5214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171E80"/>
    <w:multiLevelType w:val="hybridMultilevel"/>
    <w:tmpl w:val="B8D42272"/>
    <w:lvl w:ilvl="0" w:tplc="04060017">
      <w:start w:val="1"/>
      <w:numFmt w:val="lowerLetter"/>
      <w:lvlText w:val="%1)"/>
      <w:lvlJc w:val="left"/>
      <w:pPr>
        <w:ind w:left="975" w:hanging="360"/>
      </w:pPr>
    </w:lvl>
    <w:lvl w:ilvl="1" w:tplc="04060019" w:tentative="1">
      <w:start w:val="1"/>
      <w:numFmt w:val="lowerLetter"/>
      <w:lvlText w:val="%2."/>
      <w:lvlJc w:val="left"/>
      <w:pPr>
        <w:ind w:left="1695" w:hanging="360"/>
      </w:pPr>
    </w:lvl>
    <w:lvl w:ilvl="2" w:tplc="0406001B" w:tentative="1">
      <w:start w:val="1"/>
      <w:numFmt w:val="lowerRoman"/>
      <w:lvlText w:val="%3."/>
      <w:lvlJc w:val="right"/>
      <w:pPr>
        <w:ind w:left="2415" w:hanging="180"/>
      </w:pPr>
    </w:lvl>
    <w:lvl w:ilvl="3" w:tplc="0406000F" w:tentative="1">
      <w:start w:val="1"/>
      <w:numFmt w:val="decimal"/>
      <w:lvlText w:val="%4."/>
      <w:lvlJc w:val="left"/>
      <w:pPr>
        <w:ind w:left="3135" w:hanging="360"/>
      </w:pPr>
    </w:lvl>
    <w:lvl w:ilvl="4" w:tplc="04060019" w:tentative="1">
      <w:start w:val="1"/>
      <w:numFmt w:val="lowerLetter"/>
      <w:lvlText w:val="%5."/>
      <w:lvlJc w:val="left"/>
      <w:pPr>
        <w:ind w:left="3855" w:hanging="360"/>
      </w:pPr>
    </w:lvl>
    <w:lvl w:ilvl="5" w:tplc="0406001B" w:tentative="1">
      <w:start w:val="1"/>
      <w:numFmt w:val="lowerRoman"/>
      <w:lvlText w:val="%6."/>
      <w:lvlJc w:val="right"/>
      <w:pPr>
        <w:ind w:left="4575" w:hanging="180"/>
      </w:pPr>
    </w:lvl>
    <w:lvl w:ilvl="6" w:tplc="0406000F" w:tentative="1">
      <w:start w:val="1"/>
      <w:numFmt w:val="decimal"/>
      <w:lvlText w:val="%7."/>
      <w:lvlJc w:val="left"/>
      <w:pPr>
        <w:ind w:left="5295" w:hanging="360"/>
      </w:pPr>
    </w:lvl>
    <w:lvl w:ilvl="7" w:tplc="04060019" w:tentative="1">
      <w:start w:val="1"/>
      <w:numFmt w:val="lowerLetter"/>
      <w:lvlText w:val="%8."/>
      <w:lvlJc w:val="left"/>
      <w:pPr>
        <w:ind w:left="6015" w:hanging="360"/>
      </w:pPr>
    </w:lvl>
    <w:lvl w:ilvl="8" w:tplc="0406001B" w:tentative="1">
      <w:start w:val="1"/>
      <w:numFmt w:val="lowerRoman"/>
      <w:lvlText w:val="%9."/>
      <w:lvlJc w:val="right"/>
      <w:pPr>
        <w:ind w:left="6735"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2707E3"/>
    <w:multiLevelType w:val="hybridMultilevel"/>
    <w:tmpl w:val="776AAF26"/>
    <w:lvl w:ilvl="0" w:tplc="C844962A">
      <w:start w:val="1"/>
      <w:numFmt w:val="lowerLetter"/>
      <w:lvlText w:val="(%1)"/>
      <w:lvlJc w:val="left"/>
      <w:pPr>
        <w:ind w:left="2628" w:hanging="360"/>
      </w:pPr>
      <w:rPr>
        <w:rFonts w:hint="default"/>
      </w:rPr>
    </w:lvl>
    <w:lvl w:ilvl="1" w:tplc="04060019">
      <w:start w:val="1"/>
      <w:numFmt w:val="lowerLetter"/>
      <w:lvlText w:val="%2."/>
      <w:lvlJc w:val="left"/>
      <w:pPr>
        <w:ind w:left="3348" w:hanging="360"/>
      </w:pPr>
    </w:lvl>
    <w:lvl w:ilvl="2" w:tplc="0406001B" w:tentative="1">
      <w:start w:val="1"/>
      <w:numFmt w:val="lowerRoman"/>
      <w:lvlText w:val="%3."/>
      <w:lvlJc w:val="right"/>
      <w:pPr>
        <w:ind w:left="4068" w:hanging="180"/>
      </w:pPr>
    </w:lvl>
    <w:lvl w:ilvl="3" w:tplc="0406000F" w:tentative="1">
      <w:start w:val="1"/>
      <w:numFmt w:val="decimal"/>
      <w:lvlText w:val="%4."/>
      <w:lvlJc w:val="left"/>
      <w:pPr>
        <w:ind w:left="4788" w:hanging="360"/>
      </w:pPr>
    </w:lvl>
    <w:lvl w:ilvl="4" w:tplc="04060019" w:tentative="1">
      <w:start w:val="1"/>
      <w:numFmt w:val="lowerLetter"/>
      <w:lvlText w:val="%5."/>
      <w:lvlJc w:val="left"/>
      <w:pPr>
        <w:ind w:left="5508" w:hanging="360"/>
      </w:pPr>
    </w:lvl>
    <w:lvl w:ilvl="5" w:tplc="0406001B" w:tentative="1">
      <w:start w:val="1"/>
      <w:numFmt w:val="lowerRoman"/>
      <w:lvlText w:val="%6."/>
      <w:lvlJc w:val="right"/>
      <w:pPr>
        <w:ind w:left="6228" w:hanging="180"/>
      </w:pPr>
    </w:lvl>
    <w:lvl w:ilvl="6" w:tplc="0406000F" w:tentative="1">
      <w:start w:val="1"/>
      <w:numFmt w:val="decimal"/>
      <w:lvlText w:val="%7."/>
      <w:lvlJc w:val="left"/>
      <w:pPr>
        <w:ind w:left="6948" w:hanging="360"/>
      </w:pPr>
    </w:lvl>
    <w:lvl w:ilvl="7" w:tplc="04060019" w:tentative="1">
      <w:start w:val="1"/>
      <w:numFmt w:val="lowerLetter"/>
      <w:lvlText w:val="%8."/>
      <w:lvlJc w:val="left"/>
      <w:pPr>
        <w:ind w:left="7668" w:hanging="360"/>
      </w:pPr>
    </w:lvl>
    <w:lvl w:ilvl="8" w:tplc="0406001B" w:tentative="1">
      <w:start w:val="1"/>
      <w:numFmt w:val="lowerRoman"/>
      <w:lvlText w:val="%9."/>
      <w:lvlJc w:val="right"/>
      <w:pPr>
        <w:ind w:left="8388"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B453B0"/>
    <w:multiLevelType w:val="hybridMultilevel"/>
    <w:tmpl w:val="AA3AEDFE"/>
    <w:lvl w:ilvl="0" w:tplc="9E46873C">
      <w:start w:val="1"/>
      <w:numFmt w:val="decimal"/>
      <w:lvlText w:val="%1."/>
      <w:lvlJc w:val="left"/>
      <w:pPr>
        <w:ind w:left="502" w:hanging="360"/>
      </w:p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20" w15:restartNumberingAfterBreak="0">
    <w:nsid w:val="42021A94"/>
    <w:multiLevelType w:val="hybridMultilevel"/>
    <w:tmpl w:val="81AAD792"/>
    <w:lvl w:ilvl="0" w:tplc="08A63F66">
      <w:start w:val="6"/>
      <w:numFmt w:val="decimal"/>
      <w:lvlText w:val="%1."/>
      <w:lvlJc w:val="left"/>
      <w:pPr>
        <w:ind w:left="1854" w:hanging="360"/>
      </w:pPr>
      <w:rPr>
        <w:rFonts w:hint="default"/>
      </w:rPr>
    </w:lvl>
    <w:lvl w:ilvl="1" w:tplc="04060019" w:tentative="1">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abstractNum w:abstractNumId="21" w15:restartNumberingAfterBreak="0">
    <w:nsid w:val="5B76044A"/>
    <w:multiLevelType w:val="hybridMultilevel"/>
    <w:tmpl w:val="1AFA2BD4"/>
    <w:lvl w:ilvl="0" w:tplc="2C528B9A">
      <w:start w:val="5"/>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22"/>
  </w:num>
  <w:num w:numId="18">
    <w:abstractNumId w:val="23"/>
  </w:num>
  <w:num w:numId="19">
    <w:abstractNumId w:val="12"/>
  </w:num>
  <w:num w:numId="20">
    <w:abstractNumId w:val="12"/>
  </w:num>
  <w:num w:numId="21">
    <w:abstractNumId w:val="19"/>
  </w:num>
  <w:num w:numId="22">
    <w:abstractNumId w:val="21"/>
  </w:num>
  <w:num w:numId="23">
    <w:abstractNumId w:val="20"/>
  </w:num>
  <w:num w:numId="24">
    <w:abstractNumId w:val="16"/>
  </w:num>
  <w:num w:numId="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2E7"/>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43653"/>
    <w:rsid w:val="00156B99"/>
    <w:rsid w:val="00166124"/>
    <w:rsid w:val="00184DDA"/>
    <w:rsid w:val="001900CD"/>
    <w:rsid w:val="001A0452"/>
    <w:rsid w:val="001B4B04"/>
    <w:rsid w:val="001B5875"/>
    <w:rsid w:val="001C4B9C"/>
    <w:rsid w:val="001C6663"/>
    <w:rsid w:val="001C7895"/>
    <w:rsid w:val="001D26DF"/>
    <w:rsid w:val="001F1599"/>
    <w:rsid w:val="001F15FD"/>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82757"/>
    <w:rsid w:val="003A46BB"/>
    <w:rsid w:val="003A4EC7"/>
    <w:rsid w:val="003A7295"/>
    <w:rsid w:val="003B1F60"/>
    <w:rsid w:val="003C2CC4"/>
    <w:rsid w:val="003D4B23"/>
    <w:rsid w:val="003E1803"/>
    <w:rsid w:val="003E278A"/>
    <w:rsid w:val="00413520"/>
    <w:rsid w:val="004325CB"/>
    <w:rsid w:val="004340C1"/>
    <w:rsid w:val="00440A07"/>
    <w:rsid w:val="00462880"/>
    <w:rsid w:val="00476F24"/>
    <w:rsid w:val="004C55B0"/>
    <w:rsid w:val="004F59B8"/>
    <w:rsid w:val="004F6BA0"/>
    <w:rsid w:val="00503BEA"/>
    <w:rsid w:val="00533616"/>
    <w:rsid w:val="00535ABA"/>
    <w:rsid w:val="0053768B"/>
    <w:rsid w:val="005420F2"/>
    <w:rsid w:val="0054285C"/>
    <w:rsid w:val="00584173"/>
    <w:rsid w:val="0058430A"/>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4CDB"/>
    <w:rsid w:val="006C5535"/>
    <w:rsid w:val="006D0589"/>
    <w:rsid w:val="006E53DB"/>
    <w:rsid w:val="006E564B"/>
    <w:rsid w:val="006E7154"/>
    <w:rsid w:val="007003CD"/>
    <w:rsid w:val="0070701E"/>
    <w:rsid w:val="0072632A"/>
    <w:rsid w:val="007358E8"/>
    <w:rsid w:val="00736ECE"/>
    <w:rsid w:val="0074533B"/>
    <w:rsid w:val="007514F2"/>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C0B00"/>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69D"/>
    <w:rsid w:val="009E0A16"/>
    <w:rsid w:val="009E6CB7"/>
    <w:rsid w:val="009E7970"/>
    <w:rsid w:val="009F2EAC"/>
    <w:rsid w:val="009F57E3"/>
    <w:rsid w:val="009F7FEC"/>
    <w:rsid w:val="00A10F4F"/>
    <w:rsid w:val="00A11067"/>
    <w:rsid w:val="00A1704A"/>
    <w:rsid w:val="00A425EB"/>
    <w:rsid w:val="00A52144"/>
    <w:rsid w:val="00A65C0D"/>
    <w:rsid w:val="00A67846"/>
    <w:rsid w:val="00A72F22"/>
    <w:rsid w:val="00A733BC"/>
    <w:rsid w:val="00A748A6"/>
    <w:rsid w:val="00A76A69"/>
    <w:rsid w:val="00A879A4"/>
    <w:rsid w:val="00A94306"/>
    <w:rsid w:val="00AA0FF8"/>
    <w:rsid w:val="00AC0F2C"/>
    <w:rsid w:val="00AC502A"/>
    <w:rsid w:val="00AF32E7"/>
    <w:rsid w:val="00AF3C0A"/>
    <w:rsid w:val="00AF58C1"/>
    <w:rsid w:val="00B04A3F"/>
    <w:rsid w:val="00B06643"/>
    <w:rsid w:val="00B15055"/>
    <w:rsid w:val="00B20551"/>
    <w:rsid w:val="00B27A25"/>
    <w:rsid w:val="00B30179"/>
    <w:rsid w:val="00B32C72"/>
    <w:rsid w:val="00B33FC7"/>
    <w:rsid w:val="00B37B15"/>
    <w:rsid w:val="00B45C02"/>
    <w:rsid w:val="00B70B63"/>
    <w:rsid w:val="00B72A1E"/>
    <w:rsid w:val="00B81E12"/>
    <w:rsid w:val="00BA339B"/>
    <w:rsid w:val="00BB23CC"/>
    <w:rsid w:val="00BC1E7E"/>
    <w:rsid w:val="00BC74E9"/>
    <w:rsid w:val="00BD20E3"/>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47787"/>
    <w:rsid w:val="00C745C3"/>
    <w:rsid w:val="00C84987"/>
    <w:rsid w:val="00C978F5"/>
    <w:rsid w:val="00CA24A4"/>
    <w:rsid w:val="00CB348D"/>
    <w:rsid w:val="00CB3C6C"/>
    <w:rsid w:val="00CD46F5"/>
    <w:rsid w:val="00CE4A8F"/>
    <w:rsid w:val="00CE78F6"/>
    <w:rsid w:val="00CF071D"/>
    <w:rsid w:val="00D0123D"/>
    <w:rsid w:val="00D130C2"/>
    <w:rsid w:val="00D15B04"/>
    <w:rsid w:val="00D2031B"/>
    <w:rsid w:val="00D25FE2"/>
    <w:rsid w:val="00D368BE"/>
    <w:rsid w:val="00D37DA9"/>
    <w:rsid w:val="00D406A7"/>
    <w:rsid w:val="00D40765"/>
    <w:rsid w:val="00D43252"/>
    <w:rsid w:val="00D44D86"/>
    <w:rsid w:val="00D50B7D"/>
    <w:rsid w:val="00D516AD"/>
    <w:rsid w:val="00D52012"/>
    <w:rsid w:val="00D704E5"/>
    <w:rsid w:val="00D72727"/>
    <w:rsid w:val="00D90566"/>
    <w:rsid w:val="00D978C6"/>
    <w:rsid w:val="00DA0956"/>
    <w:rsid w:val="00DA357F"/>
    <w:rsid w:val="00DA3E12"/>
    <w:rsid w:val="00DC0C5C"/>
    <w:rsid w:val="00DC18AD"/>
    <w:rsid w:val="00DF0F3A"/>
    <w:rsid w:val="00DF7CAE"/>
    <w:rsid w:val="00E049AC"/>
    <w:rsid w:val="00E423C0"/>
    <w:rsid w:val="00E500AD"/>
    <w:rsid w:val="00E6414C"/>
    <w:rsid w:val="00E7260F"/>
    <w:rsid w:val="00E74BF8"/>
    <w:rsid w:val="00E8702D"/>
    <w:rsid w:val="00E905F4"/>
    <w:rsid w:val="00E916A9"/>
    <w:rsid w:val="00E916DE"/>
    <w:rsid w:val="00E925AD"/>
    <w:rsid w:val="00E96630"/>
    <w:rsid w:val="00EC4FAA"/>
    <w:rsid w:val="00ED18DC"/>
    <w:rsid w:val="00ED6201"/>
    <w:rsid w:val="00ED7A2A"/>
    <w:rsid w:val="00EE4A1E"/>
    <w:rsid w:val="00EF1D7F"/>
    <w:rsid w:val="00F0137E"/>
    <w:rsid w:val="00F21786"/>
    <w:rsid w:val="00F3742B"/>
    <w:rsid w:val="00F41FDB"/>
    <w:rsid w:val="00F50596"/>
    <w:rsid w:val="00F55139"/>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6C29E"/>
  <w15:docId w15:val="{F16D8CE1-39E9-4D4C-B043-2E990343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styleId="ListParagraph">
    <w:name w:val="List Paragraph"/>
    <w:basedOn w:val="Normal"/>
    <w:uiPriority w:val="34"/>
    <w:qFormat/>
    <w:rsid w:val="00E74BF8"/>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sz w:val="22"/>
      <w:szCs w:val="22"/>
      <w:lang w:val="nb-NO" w:eastAsia="nb-NO"/>
    </w:rPr>
  </w:style>
  <w:style w:type="character" w:customStyle="1" w:styleId="HChGChar">
    <w:name w:val="_ H _Ch_G Char"/>
    <w:link w:val="HChG"/>
    <w:rsid w:val="00E74BF8"/>
    <w:rPr>
      <w:b/>
      <w:sz w:val="28"/>
      <w:lang w:val="en-GB"/>
    </w:rPr>
  </w:style>
  <w:style w:type="character" w:customStyle="1" w:styleId="H1GChar">
    <w:name w:val="_ H_1_G Char"/>
    <w:link w:val="H1G"/>
    <w:rsid w:val="00E74BF8"/>
    <w:rPr>
      <w:b/>
      <w:sz w:val="24"/>
      <w:lang w:val="en-GB"/>
    </w:rPr>
  </w:style>
  <w:style w:type="paragraph" w:customStyle="1" w:styleId="Hoofdtekst">
    <w:name w:val="Hoofdtekst"/>
    <w:rsid w:val="00E74BF8"/>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F1BECB-4BC5-4A71-BB2A-589D885E1187}">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b4a1c0d-4a69-4996-a84a-fc699b9f49de"/>
    <ds:schemaRef ds:uri="http://schemas.openxmlformats.org/package/2006/metadata/core-properties"/>
    <ds:schemaRef ds:uri="985ec44e-1bab-4c0b-9df0-6ba128686fc9"/>
    <ds:schemaRef ds:uri="acccb6d4-dbe5-46d2-b4d3-5733603d8cc6"/>
    <ds:schemaRef ds:uri="http://www.w3.org/XML/1998/namespace"/>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844FE2E3-B1AB-491D-B73F-1DD9AEC95AA3}">
  <ds:schemaRefs>
    <ds:schemaRef ds:uri="http://schemas.microsoft.com/sharepoint/v3/contenttype/forms"/>
  </ds:schemaRefs>
</ds:datastoreItem>
</file>

<file path=customXml/itemProps4.xml><?xml version="1.0" encoding="utf-8"?>
<ds:datastoreItem xmlns:ds="http://schemas.openxmlformats.org/officeDocument/2006/customXml" ds:itemID="{12ADFC65-99EE-467D-8595-6CD72B000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52</TotalTime>
  <Pages>3</Pages>
  <Words>668</Words>
  <Characters>3810</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ECE/TRANS/WP.15/AC.1/2023/4</dc:title>
  <dc:creator>Laurence BERTHET</dc:creator>
  <cp:lastModifiedBy>Laurence Berthet</cp:lastModifiedBy>
  <cp:revision>35</cp:revision>
  <cp:lastPrinted>2022-11-24T10:52:00Z</cp:lastPrinted>
  <dcterms:created xsi:type="dcterms:W3CDTF">2022-11-01T09:34:00Z</dcterms:created>
  <dcterms:modified xsi:type="dcterms:W3CDTF">2022-11-24T10:52:00Z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