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2209F" w:rsidRPr="00EB6489" w14:paraId="48DE8BFE" w14:textId="77777777" w:rsidTr="003F06E8">
        <w:trPr>
          <w:cantSplit/>
          <w:trHeight w:hRule="exact" w:val="1278"/>
        </w:trPr>
        <w:tc>
          <w:tcPr>
            <w:tcW w:w="1276" w:type="dxa"/>
            <w:shd w:val="clear" w:color="auto" w:fill="auto"/>
            <w:vAlign w:val="bottom"/>
          </w:tcPr>
          <w:p w14:paraId="4B4657B6" w14:textId="77777777" w:rsidR="0072209F" w:rsidRPr="00EB6489" w:rsidRDefault="0072209F" w:rsidP="0072209F">
            <w:pPr>
              <w:spacing w:after="80"/>
            </w:pPr>
          </w:p>
        </w:tc>
        <w:tc>
          <w:tcPr>
            <w:tcW w:w="5528" w:type="dxa"/>
            <w:shd w:val="clear" w:color="auto" w:fill="auto"/>
            <w:vAlign w:val="bottom"/>
          </w:tcPr>
          <w:p w14:paraId="649FC359" w14:textId="77777777" w:rsidR="0072209F" w:rsidRPr="00EB6489" w:rsidRDefault="0072209F" w:rsidP="0072209F">
            <w:pPr>
              <w:spacing w:after="80" w:line="240" w:lineRule="auto"/>
              <w:rPr>
                <w:b/>
                <w:sz w:val="44"/>
                <w:szCs w:val="44"/>
              </w:rPr>
            </w:pPr>
          </w:p>
        </w:tc>
        <w:tc>
          <w:tcPr>
            <w:tcW w:w="2835" w:type="dxa"/>
            <w:shd w:val="clear" w:color="auto" w:fill="auto"/>
            <w:vAlign w:val="bottom"/>
          </w:tcPr>
          <w:p w14:paraId="1A933732" w14:textId="77777777" w:rsidR="00DD667B" w:rsidRDefault="00DD667B" w:rsidP="00DD667B">
            <w:pPr>
              <w:ind w:right="200"/>
            </w:pPr>
          </w:p>
          <w:p w14:paraId="4B801CA2" w14:textId="09299058" w:rsidR="0072209F" w:rsidRDefault="002512FF" w:rsidP="00DD667B">
            <w:pPr>
              <w:ind w:right="200"/>
            </w:pPr>
            <w:r>
              <w:t>ECE/</w:t>
            </w:r>
            <w:r w:rsidR="0072209F" w:rsidRPr="00EB6489">
              <w:t>MP.EIA/WG.2/20</w:t>
            </w:r>
            <w:r w:rsidR="00BF2B74">
              <w:t>22</w:t>
            </w:r>
            <w:r w:rsidR="0072209F" w:rsidRPr="00EB6489">
              <w:t>/INF.</w:t>
            </w:r>
            <w:r w:rsidR="0065631B">
              <w:t>7</w:t>
            </w:r>
          </w:p>
          <w:p w14:paraId="0CD74D71" w14:textId="77777777" w:rsidR="00DD667B" w:rsidRPr="00E71A3B" w:rsidRDefault="00DD667B" w:rsidP="00DD667B">
            <w:pPr>
              <w:spacing w:line="240" w:lineRule="exact"/>
            </w:pPr>
            <w:r>
              <w:t>25</w:t>
            </w:r>
            <w:r w:rsidRPr="00E71A3B">
              <w:t xml:space="preserve"> October 2022</w:t>
            </w:r>
          </w:p>
          <w:p w14:paraId="6893CCED" w14:textId="77777777" w:rsidR="00DD667B" w:rsidRDefault="00DD667B" w:rsidP="00DD667B">
            <w:pPr>
              <w:ind w:right="200"/>
            </w:pPr>
            <w:r w:rsidRPr="00E71A3B">
              <w:t>English only</w:t>
            </w:r>
          </w:p>
          <w:p w14:paraId="60160C31" w14:textId="052E9EEE" w:rsidR="00DD667B" w:rsidRPr="00EB6489" w:rsidRDefault="00DD667B" w:rsidP="00DD667B">
            <w:pPr>
              <w:ind w:right="200"/>
            </w:pPr>
          </w:p>
        </w:tc>
      </w:tr>
    </w:tbl>
    <w:p w14:paraId="4F0F99DD" w14:textId="77777777" w:rsidR="004260D7" w:rsidRPr="0044648C" w:rsidRDefault="004260D7" w:rsidP="004260D7">
      <w:pPr>
        <w:spacing w:before="120"/>
        <w:rPr>
          <w:b/>
          <w:sz w:val="28"/>
          <w:szCs w:val="28"/>
        </w:rPr>
      </w:pPr>
      <w:r w:rsidRPr="0044648C">
        <w:rPr>
          <w:b/>
          <w:sz w:val="28"/>
          <w:szCs w:val="28"/>
        </w:rPr>
        <w:t>Economic Commission for Europe</w:t>
      </w:r>
    </w:p>
    <w:p w14:paraId="248E8BA1" w14:textId="77777777" w:rsidR="004260D7" w:rsidRPr="0044648C" w:rsidRDefault="004260D7" w:rsidP="004260D7">
      <w:pPr>
        <w:spacing w:before="120" w:line="240" w:lineRule="auto"/>
        <w:rPr>
          <w:bCs/>
          <w:sz w:val="28"/>
          <w:szCs w:val="28"/>
        </w:rPr>
      </w:pPr>
      <w:r w:rsidRPr="0044648C">
        <w:rPr>
          <w:bCs/>
          <w:sz w:val="28"/>
          <w:szCs w:val="28"/>
        </w:rPr>
        <w:t xml:space="preserve">Meeting of the Parties to the Convention </w:t>
      </w:r>
      <w:r w:rsidRPr="0044648C">
        <w:rPr>
          <w:bCs/>
          <w:sz w:val="28"/>
          <w:szCs w:val="28"/>
        </w:rPr>
        <w:br/>
        <w:t xml:space="preserve">on Environmental Impact Assessment in </w:t>
      </w:r>
      <w:r>
        <w:rPr>
          <w:bCs/>
          <w:sz w:val="28"/>
          <w:szCs w:val="28"/>
        </w:rPr>
        <w:br/>
      </w:r>
      <w:r w:rsidRPr="0044648C">
        <w:rPr>
          <w:bCs/>
          <w:sz w:val="28"/>
          <w:szCs w:val="28"/>
        </w:rPr>
        <w:t>a Transboundary Context</w:t>
      </w:r>
    </w:p>
    <w:p w14:paraId="0B8F58E3" w14:textId="77777777" w:rsidR="004260D7" w:rsidRPr="0008090F" w:rsidRDefault="004260D7" w:rsidP="004260D7">
      <w:pPr>
        <w:spacing w:before="120" w:line="240" w:lineRule="auto"/>
        <w:rPr>
          <w:bCs/>
          <w:sz w:val="28"/>
          <w:szCs w:val="28"/>
        </w:rPr>
      </w:pPr>
      <w:r w:rsidRPr="0008090F">
        <w:rPr>
          <w:bCs/>
          <w:sz w:val="28"/>
          <w:szCs w:val="28"/>
        </w:rPr>
        <w:t xml:space="preserve">Meeting of the Parties to the Convention </w:t>
      </w:r>
      <w:r w:rsidRPr="0008090F">
        <w:rPr>
          <w:bCs/>
          <w:sz w:val="28"/>
          <w:szCs w:val="28"/>
        </w:rPr>
        <w:br/>
        <w:t>serving as</w:t>
      </w:r>
      <w:r>
        <w:rPr>
          <w:bCs/>
          <w:sz w:val="28"/>
          <w:szCs w:val="28"/>
        </w:rPr>
        <w:t xml:space="preserve"> </w:t>
      </w:r>
      <w:r w:rsidRPr="0008090F">
        <w:rPr>
          <w:bCs/>
          <w:sz w:val="28"/>
          <w:szCs w:val="28"/>
        </w:rPr>
        <w:t xml:space="preserve">the Meeting of the Parties </w:t>
      </w:r>
      <w:r>
        <w:rPr>
          <w:bCs/>
          <w:sz w:val="28"/>
          <w:szCs w:val="28"/>
        </w:rPr>
        <w:br/>
      </w:r>
      <w:r w:rsidRPr="0008090F">
        <w:rPr>
          <w:bCs/>
          <w:sz w:val="28"/>
          <w:szCs w:val="28"/>
        </w:rPr>
        <w:t>to the Protocol</w:t>
      </w:r>
      <w:r>
        <w:rPr>
          <w:bCs/>
          <w:sz w:val="28"/>
          <w:szCs w:val="28"/>
        </w:rPr>
        <w:t xml:space="preserve"> </w:t>
      </w:r>
      <w:r w:rsidRPr="0008090F">
        <w:rPr>
          <w:bCs/>
          <w:sz w:val="28"/>
          <w:szCs w:val="28"/>
        </w:rPr>
        <w:t xml:space="preserve">on Strategic </w:t>
      </w:r>
      <w:r>
        <w:rPr>
          <w:bCs/>
          <w:sz w:val="28"/>
          <w:szCs w:val="28"/>
        </w:rPr>
        <w:br/>
      </w:r>
      <w:r w:rsidRPr="0008090F">
        <w:rPr>
          <w:bCs/>
          <w:sz w:val="28"/>
          <w:szCs w:val="28"/>
        </w:rPr>
        <w:t>Environmental Assessment</w:t>
      </w:r>
    </w:p>
    <w:p w14:paraId="1551B530" w14:textId="77777777" w:rsidR="004260D7" w:rsidRPr="00414483" w:rsidRDefault="004260D7" w:rsidP="004260D7">
      <w:pPr>
        <w:spacing w:before="120" w:line="240" w:lineRule="auto"/>
        <w:rPr>
          <w:b/>
          <w:sz w:val="24"/>
          <w:szCs w:val="24"/>
        </w:rPr>
      </w:pPr>
      <w:r w:rsidRPr="00414483">
        <w:rPr>
          <w:b/>
          <w:sz w:val="24"/>
          <w:szCs w:val="24"/>
        </w:rPr>
        <w:t xml:space="preserve">Working Group </w:t>
      </w:r>
      <w:bookmarkStart w:id="0" w:name="_Hlk20327998"/>
      <w:r w:rsidRPr="00414483">
        <w:rPr>
          <w:b/>
          <w:sz w:val="24"/>
          <w:szCs w:val="24"/>
        </w:rPr>
        <w:t>on Environmental Impact Assessment</w:t>
      </w:r>
      <w:r w:rsidRPr="00414483">
        <w:rPr>
          <w:b/>
          <w:sz w:val="24"/>
          <w:szCs w:val="24"/>
        </w:rPr>
        <w:br/>
        <w:t>and Strategic Environmental Assessment</w:t>
      </w:r>
      <w:bookmarkEnd w:id="0"/>
    </w:p>
    <w:p w14:paraId="7AA0B92B" w14:textId="77777777" w:rsidR="004260D7" w:rsidRDefault="004260D7" w:rsidP="004260D7">
      <w:pPr>
        <w:rPr>
          <w:b/>
        </w:rPr>
      </w:pPr>
    </w:p>
    <w:p w14:paraId="02EC9272" w14:textId="77777777" w:rsidR="004260D7" w:rsidRPr="00055E82" w:rsidRDefault="004260D7" w:rsidP="004260D7">
      <w:pPr>
        <w:spacing w:before="120"/>
        <w:rPr>
          <w:b/>
        </w:rPr>
      </w:pPr>
      <w:r>
        <w:rPr>
          <w:b/>
        </w:rPr>
        <w:t>E</w:t>
      </w:r>
      <w:r w:rsidR="00BF2B74">
        <w:rPr>
          <w:b/>
        </w:rPr>
        <w:t>leventh</w:t>
      </w:r>
      <w:r w:rsidRPr="00055E82">
        <w:rPr>
          <w:b/>
        </w:rPr>
        <w:t xml:space="preserve"> meeting</w:t>
      </w:r>
    </w:p>
    <w:p w14:paraId="48BAE193" w14:textId="77777777" w:rsidR="004260D7" w:rsidRPr="00055E82" w:rsidRDefault="004260D7" w:rsidP="004260D7">
      <w:r w:rsidRPr="00055E82">
        <w:t xml:space="preserve">Geneva, </w:t>
      </w:r>
      <w:r w:rsidR="00BF2B74">
        <w:t>19-21</w:t>
      </w:r>
      <w:r w:rsidRPr="00055E82">
        <w:t xml:space="preserve"> </w:t>
      </w:r>
      <w:r w:rsidR="00BF2B74">
        <w:t>December</w:t>
      </w:r>
      <w:r w:rsidRPr="00055E82">
        <w:t xml:space="preserve"> 20</w:t>
      </w:r>
      <w:r w:rsidR="00BF2B74">
        <w:t>22</w:t>
      </w:r>
    </w:p>
    <w:p w14:paraId="446CAD28" w14:textId="77777777" w:rsidR="0072209F" w:rsidRPr="00EB6489" w:rsidRDefault="0072209F" w:rsidP="0072209F">
      <w:r w:rsidRPr="00FC4723">
        <w:t xml:space="preserve">Item </w:t>
      </w:r>
      <w:r w:rsidR="004260D7" w:rsidRPr="00FC4723">
        <w:t>4</w:t>
      </w:r>
      <w:r w:rsidRPr="00FC4723">
        <w:t xml:space="preserve"> of the provisional agenda</w:t>
      </w:r>
      <w:r w:rsidRPr="00FC4723">
        <w:br/>
      </w:r>
      <w:r w:rsidR="009D62BD" w:rsidRPr="00FC4723">
        <w:rPr>
          <w:b/>
          <w:bCs/>
        </w:rPr>
        <w:t>Compliance and implementation</w:t>
      </w:r>
    </w:p>
    <w:p w14:paraId="183B9F77" w14:textId="6C5D8C20" w:rsidR="009D62BD" w:rsidRPr="00EB6489" w:rsidRDefault="00EB6489" w:rsidP="002B6A89">
      <w:pPr>
        <w:pStyle w:val="HChG"/>
      </w:pPr>
      <w:r>
        <w:tab/>
      </w:r>
      <w:r>
        <w:tab/>
      </w:r>
      <w:r w:rsidR="00652387">
        <w:t>Additional i</w:t>
      </w:r>
      <w:r w:rsidR="0065631B" w:rsidRPr="002B6A89">
        <w:t>nformation</w:t>
      </w:r>
      <w:r w:rsidR="0065631B">
        <w:t xml:space="preserve"> on Parties’ practical application of the Convention</w:t>
      </w:r>
    </w:p>
    <w:p w14:paraId="42615A18" w14:textId="77777777" w:rsidR="009D62BD" w:rsidRDefault="00EB6489" w:rsidP="002B6A89">
      <w:pPr>
        <w:pStyle w:val="H1G"/>
      </w:pPr>
      <w:r w:rsidRPr="00EB6489">
        <w:tab/>
      </w:r>
      <w:r w:rsidR="009D62BD" w:rsidRPr="00EB6489">
        <w:tab/>
      </w:r>
      <w:r w:rsidR="004E45B5">
        <w:t>Informal note prepared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73979" w14:paraId="36B4AF34" w14:textId="77777777" w:rsidTr="006E5E26">
        <w:trPr>
          <w:jc w:val="center"/>
        </w:trPr>
        <w:tc>
          <w:tcPr>
            <w:tcW w:w="9637" w:type="dxa"/>
            <w:shd w:val="clear" w:color="auto" w:fill="auto"/>
          </w:tcPr>
          <w:p w14:paraId="371B8B1D" w14:textId="77777777" w:rsidR="00A73979" w:rsidRPr="00C6263E" w:rsidRDefault="00A73979" w:rsidP="006E5E26">
            <w:pPr>
              <w:spacing w:before="240" w:after="120"/>
              <w:ind w:left="255"/>
              <w:rPr>
                <w:i/>
                <w:sz w:val="24"/>
              </w:rPr>
            </w:pPr>
            <w:r w:rsidRPr="00C6263E">
              <w:rPr>
                <w:i/>
                <w:sz w:val="24"/>
              </w:rPr>
              <w:t>Summary</w:t>
            </w:r>
          </w:p>
        </w:tc>
      </w:tr>
      <w:tr w:rsidR="00A73979" w14:paraId="694DB26B" w14:textId="77777777" w:rsidTr="006E5E26">
        <w:trPr>
          <w:jc w:val="center"/>
        </w:trPr>
        <w:tc>
          <w:tcPr>
            <w:tcW w:w="9637" w:type="dxa"/>
            <w:shd w:val="clear" w:color="auto" w:fill="auto"/>
          </w:tcPr>
          <w:p w14:paraId="295870E9" w14:textId="77777777" w:rsidR="00A73979" w:rsidRDefault="00A73979" w:rsidP="00A73979">
            <w:pPr>
              <w:pStyle w:val="SingleTxtG"/>
              <w:ind w:firstLine="284"/>
            </w:pPr>
            <w:r w:rsidRPr="009B3776">
              <w:tab/>
            </w:r>
            <w:r>
              <w:t>This</w:t>
            </w:r>
            <w:r w:rsidRPr="009B3776">
              <w:t xml:space="preserve"> document presents a</w:t>
            </w:r>
            <w:r>
              <w:t>dditional</w:t>
            </w:r>
            <w:r w:rsidRPr="009B3776">
              <w:t xml:space="preserve"> </w:t>
            </w:r>
            <w:r>
              <w:t xml:space="preserve">information on Parties’ practical application of the Convention, supplementing the Draft seventh </w:t>
            </w:r>
            <w:r w:rsidRPr="00EE23C4">
              <w:rPr>
                <w:lang w:val="sv-SE"/>
              </w:rPr>
              <w:t>review of the implementation of the Convention on Environmental Impact Assessment in a Transboundary Context</w:t>
            </w:r>
            <w:r>
              <w:rPr>
                <w:lang w:val="sv-SE"/>
              </w:rPr>
              <w:t xml:space="preserve"> (</w:t>
            </w:r>
            <w:r w:rsidRPr="0065631B">
              <w:rPr>
                <w:lang w:val="sv-SE"/>
              </w:rPr>
              <w:t>ECE/MP.EIA/WG.2/2022/3</w:t>
            </w:r>
            <w:r>
              <w:rPr>
                <w:lang w:val="sv-SE"/>
              </w:rPr>
              <w:t>, paragraphs 68 to 70)</w:t>
            </w:r>
            <w:r>
              <w:t xml:space="preserve">. </w:t>
            </w:r>
          </w:p>
          <w:p w14:paraId="40F0736F" w14:textId="77777777" w:rsidR="00A73979" w:rsidRDefault="00A73979" w:rsidP="00A73979">
            <w:pPr>
              <w:pStyle w:val="SingleTxtG"/>
              <w:ind w:firstLine="566"/>
            </w:pPr>
            <w:r>
              <w:t xml:space="preserve">The document is based on Parties’ </w:t>
            </w:r>
            <w:r w:rsidRPr="009B3776">
              <w:t xml:space="preserve">responses to question </w:t>
            </w:r>
            <w:r>
              <w:t>II.4</w:t>
            </w:r>
            <w:r w:rsidRPr="009B3776">
              <w:t xml:space="preserve"> of the questionnaire </w:t>
            </w:r>
            <w:bookmarkStart w:id="1" w:name="_Hlk22923682"/>
            <w:r>
              <w:t xml:space="preserve">on the </w:t>
            </w:r>
            <w:r w:rsidRPr="009B3776">
              <w:t>implementation of the Convention</w:t>
            </w:r>
            <w:bookmarkEnd w:id="1"/>
            <w:r>
              <w:t xml:space="preserve"> in the period </w:t>
            </w:r>
            <w:r w:rsidRPr="009B3776">
              <w:t>201</w:t>
            </w:r>
            <w:r>
              <w:t>9–</w:t>
            </w:r>
            <w:r w:rsidRPr="009B3776">
              <w:t>20</w:t>
            </w:r>
            <w:r>
              <w:t xml:space="preserve">21 in conjunction with Annex III of the questionnaire, as well as to question II.15, inviting Parties </w:t>
            </w:r>
            <w:r w:rsidRPr="009B3776">
              <w:t xml:space="preserve">to provide </w:t>
            </w:r>
            <w:r w:rsidRPr="005F56E9">
              <w:t>example</w:t>
            </w:r>
            <w:r>
              <w:t>s</w:t>
            </w:r>
            <w:r w:rsidRPr="005F56E9">
              <w:t xml:space="preserve"> </w:t>
            </w:r>
            <w:r w:rsidRPr="0011679F">
              <w:t xml:space="preserve">of </w:t>
            </w:r>
            <w:r>
              <w:t xml:space="preserve">their </w:t>
            </w:r>
            <w:r w:rsidRPr="0011679F">
              <w:t xml:space="preserve">application of a transboundary environmental impact assessment </w:t>
            </w:r>
            <w:r>
              <w:t xml:space="preserve">procedure in accordance with the Convention </w:t>
            </w:r>
            <w:r w:rsidRPr="005F56E9">
              <w:t>that</w:t>
            </w:r>
            <w:r>
              <w:t xml:space="preserve">, in their view, </w:t>
            </w:r>
            <w:r w:rsidRPr="005F56E9">
              <w:t>constitute good practice or lessons learne</w:t>
            </w:r>
            <w:r>
              <w:t xml:space="preserve">d. </w:t>
            </w:r>
          </w:p>
          <w:p w14:paraId="63894C87" w14:textId="77777777" w:rsidR="00A73979" w:rsidRDefault="00A73979" w:rsidP="00A73979">
            <w:pPr>
              <w:pStyle w:val="SingleTxtG"/>
              <w:ind w:firstLine="566"/>
            </w:pPr>
            <w:r>
              <w:t>These parts of the questionnaire were not considered to be a reporting obligation according to the Convention, but Parties were encouraged to provide examples of good practice, with a view to sharing solutions and innovative approaches to improving the application of the Convention. Further to the goals of the long-term strategy, (VIII/3–IV/3, annex, item A.9), the objectives of workplan for 2019–2021 were to improve the information obtained through the questionnaire regarding progress achieved and remaining challenges; and to contribute to making the reviews of implementation more informative, turning them into tools for collecting and disseminating good practice.</w:t>
            </w:r>
          </w:p>
          <w:p w14:paraId="4CB2254C" w14:textId="1553A8FC" w:rsidR="00A73979" w:rsidRDefault="00A73979" w:rsidP="00A73979">
            <w:pPr>
              <w:pStyle w:val="SingleTxtG"/>
            </w:pPr>
            <w:r w:rsidRPr="006C1934">
              <w:t xml:space="preserve">The Working Group may wish to welcome the willingness of several Parties to share practical examples, to comment </w:t>
            </w:r>
            <w:r w:rsidR="00592392">
              <w:t xml:space="preserve">on </w:t>
            </w:r>
            <w:r w:rsidRPr="006C1934">
              <w:t>the examples provided, to identify the most relevant of them, and to propose ways to present and to further substantiate them with a view to maximizing usefulness of the information for Parties and future Parties to the Convention.</w:t>
            </w:r>
          </w:p>
        </w:tc>
      </w:tr>
      <w:tr w:rsidR="00A73979" w14:paraId="18FE5860" w14:textId="77777777" w:rsidTr="006E5E26">
        <w:trPr>
          <w:jc w:val="center"/>
        </w:trPr>
        <w:tc>
          <w:tcPr>
            <w:tcW w:w="9637" w:type="dxa"/>
            <w:shd w:val="clear" w:color="auto" w:fill="auto"/>
          </w:tcPr>
          <w:p w14:paraId="64C29C98" w14:textId="77777777" w:rsidR="00A73979" w:rsidRDefault="00A73979" w:rsidP="006E5E26"/>
        </w:tc>
      </w:tr>
    </w:tbl>
    <w:p w14:paraId="286C30B7" w14:textId="6C905196" w:rsidR="00B213D8" w:rsidRPr="006C1934" w:rsidRDefault="002B6A89" w:rsidP="002B6A89">
      <w:pPr>
        <w:pStyle w:val="HChG"/>
      </w:pPr>
      <w:r>
        <w:lastRenderedPageBreak/>
        <w:tab/>
      </w:r>
      <w:r w:rsidR="00057B01" w:rsidRPr="006C1934">
        <w:t>I.</w:t>
      </w:r>
      <w:r w:rsidR="00057B01" w:rsidRPr="006C1934">
        <w:tab/>
      </w:r>
      <w:r w:rsidR="00562008" w:rsidRPr="006C1934">
        <w:t xml:space="preserve">Answers to question II.4 </w:t>
      </w:r>
      <w:r w:rsidR="00B213D8" w:rsidRPr="006C1934">
        <w:t>of the questionnaire on the implementation of the Convention in the period 2019 – 2021</w:t>
      </w:r>
    </w:p>
    <w:p w14:paraId="5995B1F9" w14:textId="5AF81C9A" w:rsidR="00B213D8" w:rsidRPr="002B6A89" w:rsidRDefault="00057B01" w:rsidP="002B6A89">
      <w:pPr>
        <w:pStyle w:val="SingleTxtG"/>
      </w:pPr>
      <w:r w:rsidRPr="002B6A89">
        <w:t>1.</w:t>
      </w:r>
      <w:r w:rsidRPr="002B6A89">
        <w:tab/>
      </w:r>
      <w:r w:rsidR="00B213D8" w:rsidRPr="002B6A89">
        <w:t xml:space="preserve">Question II.4. reads “Please provide at least one example of the implementation of the Convention for an activity listed in appendix I to the Convention based on the template contained in </w:t>
      </w:r>
      <w:r w:rsidR="00592392">
        <w:t xml:space="preserve">annex </w:t>
      </w:r>
      <w:r w:rsidR="00B213D8" w:rsidRPr="002B6A89">
        <w:t>III to the present questionnaire.”</w:t>
      </w:r>
      <w:r w:rsidR="005D024B" w:rsidRPr="002B6A89">
        <w:t xml:space="preserve"> Parties could </w:t>
      </w:r>
      <w:r w:rsidR="00C77902" w:rsidRPr="002B6A89">
        <w:t>describe their experience either as Parties of origin or as affected Parties.</w:t>
      </w:r>
    </w:p>
    <w:p w14:paraId="5ED980F6" w14:textId="4A8A66A8" w:rsidR="00B213D8" w:rsidRPr="002B6A89" w:rsidRDefault="00057B01" w:rsidP="002B6A89">
      <w:pPr>
        <w:pStyle w:val="SingleTxtG"/>
      </w:pPr>
      <w:r w:rsidRPr="002B6A89">
        <w:t>2.</w:t>
      </w:r>
      <w:r w:rsidRPr="002B6A89">
        <w:tab/>
      </w:r>
      <w:r w:rsidR="00B213D8" w:rsidRPr="002B6A89">
        <w:t>15 Parties provided examples by using the template in Annex III to the questionnaires. The Parties were also asked to describe “the procedural step(s) considered to represent good practice and then explain why” (questionnaire, annex III, sect. III).</w:t>
      </w:r>
      <w:r w:rsidR="0023140B" w:rsidRPr="002B6A89">
        <w:t xml:space="preserve"> However, the information provided in the majority of examples contained insufficient evidence of good practice</w:t>
      </w:r>
      <w:r w:rsidR="00AF2620" w:rsidRPr="002B6A89">
        <w:t xml:space="preserve">. </w:t>
      </w:r>
    </w:p>
    <w:p w14:paraId="59353F99" w14:textId="4A0FFAC6" w:rsidR="006C1934" w:rsidRDefault="00057B01" w:rsidP="002B6A89">
      <w:pPr>
        <w:pStyle w:val="SingleTxtG"/>
      </w:pPr>
      <w:r w:rsidRPr="002B6A89">
        <w:t>3.</w:t>
      </w:r>
      <w:r w:rsidRPr="002B6A89">
        <w:tab/>
      </w:r>
      <w:r w:rsidR="00592392">
        <w:t>T</w:t>
      </w:r>
      <w:r w:rsidR="000216CD" w:rsidRPr="002B6A89">
        <w:t>able 1 below compiles the information provided</w:t>
      </w:r>
      <w:r w:rsidR="00983F17" w:rsidRPr="002B6A89">
        <w:t xml:space="preserve">. </w:t>
      </w:r>
      <w:r w:rsidR="000216CD" w:rsidRPr="002B6A89">
        <w:t xml:space="preserve">Some of the text </w:t>
      </w:r>
      <w:r w:rsidR="00983F17" w:rsidRPr="002B6A89">
        <w:t xml:space="preserve">has gone through light English editing. </w:t>
      </w:r>
      <w:r w:rsidR="000216CD" w:rsidRPr="002B6A89">
        <w:t xml:space="preserve">The last column of the </w:t>
      </w:r>
      <w:r w:rsidR="00983F17" w:rsidRPr="002B6A89">
        <w:t>table provides a link to the questionnaires</w:t>
      </w:r>
      <w:r w:rsidR="00983F17">
        <w:t xml:space="preserve"> as filled in by the Parties. </w:t>
      </w:r>
    </w:p>
    <w:p w14:paraId="22B85A3E" w14:textId="5CEE8D4D" w:rsidR="00B213D8" w:rsidRPr="002B6A89" w:rsidRDefault="00B213D8" w:rsidP="00576529">
      <w:pPr>
        <w:pStyle w:val="SingleTxtG"/>
        <w:jc w:val="left"/>
      </w:pPr>
      <w:r>
        <w:t>Table 1</w:t>
      </w:r>
      <w:r w:rsidR="00576529">
        <w:br/>
      </w:r>
      <w:r w:rsidRPr="00576529">
        <w:rPr>
          <w:b/>
          <w:bCs/>
        </w:rPr>
        <w:t>Parties providing good practice examples under question II.4 (n=15)</w:t>
      </w:r>
    </w:p>
    <w:tbl>
      <w:tblPr>
        <w:tblW w:w="8504" w:type="dxa"/>
        <w:tblInd w:w="1134" w:type="dxa"/>
        <w:tblLayout w:type="fixed"/>
        <w:tblCellMar>
          <w:left w:w="0" w:type="dxa"/>
          <w:right w:w="0" w:type="dxa"/>
        </w:tblCellMar>
        <w:tblLook w:val="04A0" w:firstRow="1" w:lastRow="0" w:firstColumn="1" w:lastColumn="0" w:noHBand="0" w:noVBand="1"/>
      </w:tblPr>
      <w:tblGrid>
        <w:gridCol w:w="1185"/>
        <w:gridCol w:w="1443"/>
        <w:gridCol w:w="876"/>
        <w:gridCol w:w="1626"/>
        <w:gridCol w:w="1534"/>
        <w:gridCol w:w="1840"/>
      </w:tblGrid>
      <w:tr w:rsidR="00A43470" w:rsidRPr="00DD667B" w14:paraId="12DCDC44" w14:textId="77777777" w:rsidTr="00592392">
        <w:trPr>
          <w:tblHeader/>
        </w:trPr>
        <w:tc>
          <w:tcPr>
            <w:tcW w:w="1342" w:type="dxa"/>
            <w:tcBorders>
              <w:top w:val="single" w:sz="4" w:space="0" w:color="auto"/>
              <w:bottom w:val="single" w:sz="12" w:space="0" w:color="auto"/>
            </w:tcBorders>
            <w:shd w:val="clear" w:color="auto" w:fill="auto"/>
            <w:vAlign w:val="bottom"/>
          </w:tcPr>
          <w:p w14:paraId="3D7DCD2B" w14:textId="77777777" w:rsidR="00705E38" w:rsidRPr="00DD667B" w:rsidRDefault="00705E38" w:rsidP="00DD667B">
            <w:pPr>
              <w:spacing w:before="80" w:after="80" w:line="200" w:lineRule="exact"/>
              <w:ind w:right="113"/>
              <w:rPr>
                <w:rFonts w:eastAsia="Calibri"/>
                <w:i/>
                <w:sz w:val="16"/>
                <w:lang w:val="nb-NO"/>
              </w:rPr>
            </w:pPr>
            <w:r w:rsidRPr="00DD667B">
              <w:rPr>
                <w:rFonts w:eastAsia="Calibri"/>
                <w:i/>
                <w:sz w:val="16"/>
                <w:lang w:val="nb-NO"/>
              </w:rPr>
              <w:t>Respondent</w:t>
            </w:r>
          </w:p>
        </w:tc>
        <w:tc>
          <w:tcPr>
            <w:tcW w:w="1635" w:type="dxa"/>
            <w:tcBorders>
              <w:top w:val="single" w:sz="4" w:space="0" w:color="auto"/>
              <w:bottom w:val="single" w:sz="12" w:space="0" w:color="auto"/>
            </w:tcBorders>
            <w:shd w:val="clear" w:color="auto" w:fill="auto"/>
            <w:vAlign w:val="bottom"/>
          </w:tcPr>
          <w:p w14:paraId="1E34AC7C" w14:textId="77777777" w:rsidR="00705E38" w:rsidRPr="00DD667B" w:rsidRDefault="00705E38" w:rsidP="00DD667B">
            <w:pPr>
              <w:spacing w:before="80" w:after="80" w:line="200" w:lineRule="exact"/>
              <w:ind w:right="113"/>
              <w:rPr>
                <w:rFonts w:eastAsia="Calibri"/>
                <w:i/>
                <w:sz w:val="16"/>
                <w:lang w:val="nb-NO"/>
              </w:rPr>
            </w:pPr>
            <w:r w:rsidRPr="00DD667B">
              <w:rPr>
                <w:rFonts w:eastAsia="Calibri"/>
                <w:i/>
                <w:sz w:val="16"/>
                <w:lang w:val="nb-NO"/>
              </w:rPr>
              <w:t>Project type</w:t>
            </w:r>
          </w:p>
        </w:tc>
        <w:tc>
          <w:tcPr>
            <w:tcW w:w="992" w:type="dxa"/>
            <w:tcBorders>
              <w:top w:val="single" w:sz="4" w:space="0" w:color="auto"/>
              <w:bottom w:val="single" w:sz="12" w:space="0" w:color="auto"/>
            </w:tcBorders>
            <w:shd w:val="clear" w:color="auto" w:fill="auto"/>
            <w:vAlign w:val="bottom"/>
          </w:tcPr>
          <w:p w14:paraId="65C9DDEC" w14:textId="77777777" w:rsidR="00705E38" w:rsidRPr="00DD667B" w:rsidRDefault="00705E38" w:rsidP="00DD667B">
            <w:pPr>
              <w:spacing w:before="80" w:after="80" w:line="200" w:lineRule="exact"/>
              <w:ind w:right="113"/>
              <w:rPr>
                <w:rFonts w:eastAsia="Calibri"/>
                <w:i/>
                <w:sz w:val="16"/>
                <w:lang w:val="en-US"/>
              </w:rPr>
            </w:pPr>
            <w:r w:rsidRPr="00DD667B">
              <w:rPr>
                <w:rFonts w:eastAsia="Calibri"/>
                <w:i/>
                <w:sz w:val="16"/>
                <w:lang w:val="en-US"/>
              </w:rPr>
              <w:t>Project duration</w:t>
            </w:r>
          </w:p>
        </w:tc>
        <w:tc>
          <w:tcPr>
            <w:tcW w:w="1843" w:type="dxa"/>
            <w:tcBorders>
              <w:top w:val="single" w:sz="4" w:space="0" w:color="auto"/>
              <w:bottom w:val="single" w:sz="12" w:space="0" w:color="auto"/>
            </w:tcBorders>
            <w:shd w:val="clear" w:color="auto" w:fill="auto"/>
            <w:vAlign w:val="bottom"/>
          </w:tcPr>
          <w:p w14:paraId="0C538E83" w14:textId="77777777" w:rsidR="00705E38" w:rsidRPr="00DD667B" w:rsidRDefault="00705E38" w:rsidP="00DD667B">
            <w:pPr>
              <w:spacing w:before="80" w:after="80" w:line="200" w:lineRule="exact"/>
              <w:ind w:right="113"/>
              <w:rPr>
                <w:rFonts w:eastAsia="Calibri"/>
                <w:i/>
                <w:sz w:val="16"/>
                <w:lang w:val="en-US"/>
              </w:rPr>
            </w:pPr>
            <w:r w:rsidRPr="00DD667B">
              <w:rPr>
                <w:rFonts w:eastAsia="Calibri"/>
                <w:i/>
                <w:sz w:val="16"/>
                <w:lang w:val="en-US"/>
              </w:rPr>
              <w:t>Stages covered in good practice example</w:t>
            </w:r>
          </w:p>
        </w:tc>
        <w:tc>
          <w:tcPr>
            <w:tcW w:w="1739" w:type="dxa"/>
            <w:tcBorders>
              <w:top w:val="single" w:sz="4" w:space="0" w:color="auto"/>
              <w:bottom w:val="single" w:sz="12" w:space="0" w:color="auto"/>
            </w:tcBorders>
            <w:shd w:val="clear" w:color="auto" w:fill="auto"/>
            <w:vAlign w:val="bottom"/>
          </w:tcPr>
          <w:p w14:paraId="7C8F0104" w14:textId="77777777" w:rsidR="00705E38" w:rsidRPr="00DD667B" w:rsidRDefault="00705E38" w:rsidP="00DD667B">
            <w:pPr>
              <w:spacing w:before="80" w:after="80" w:line="200" w:lineRule="exact"/>
              <w:ind w:right="113"/>
              <w:rPr>
                <w:rFonts w:eastAsia="Calibri"/>
                <w:i/>
                <w:sz w:val="16"/>
                <w:lang w:val="en-US"/>
              </w:rPr>
            </w:pPr>
            <w:r w:rsidRPr="00DD667B">
              <w:rPr>
                <w:rFonts w:eastAsia="Calibri"/>
                <w:i/>
                <w:sz w:val="16"/>
                <w:lang w:val="en-US"/>
              </w:rPr>
              <w:t>Lessons learned</w:t>
            </w:r>
          </w:p>
        </w:tc>
        <w:tc>
          <w:tcPr>
            <w:tcW w:w="2086" w:type="dxa"/>
            <w:tcBorders>
              <w:top w:val="single" w:sz="4" w:space="0" w:color="auto"/>
              <w:bottom w:val="single" w:sz="12" w:space="0" w:color="auto"/>
            </w:tcBorders>
            <w:shd w:val="clear" w:color="auto" w:fill="auto"/>
            <w:vAlign w:val="bottom"/>
          </w:tcPr>
          <w:p w14:paraId="1526F6F5" w14:textId="77777777" w:rsidR="00705E38" w:rsidRPr="00DD667B" w:rsidRDefault="00705E38" w:rsidP="00DD667B">
            <w:pPr>
              <w:spacing w:before="80" w:after="80" w:line="200" w:lineRule="exact"/>
              <w:ind w:right="113"/>
              <w:rPr>
                <w:rFonts w:eastAsia="Calibri"/>
                <w:i/>
                <w:sz w:val="16"/>
                <w:lang w:val="en-US"/>
              </w:rPr>
            </w:pPr>
            <w:r w:rsidRPr="00DD667B">
              <w:rPr>
                <w:rFonts w:eastAsia="Calibri"/>
                <w:i/>
                <w:sz w:val="16"/>
                <w:lang w:val="en-US"/>
              </w:rPr>
              <w:t xml:space="preserve">Link to </w:t>
            </w:r>
            <w:r w:rsidR="005D024B" w:rsidRPr="00DD667B">
              <w:rPr>
                <w:rFonts w:eastAsia="Calibri"/>
                <w:i/>
                <w:sz w:val="16"/>
                <w:lang w:val="en-US"/>
              </w:rPr>
              <w:t xml:space="preserve">the </w:t>
            </w:r>
            <w:r w:rsidRPr="00DD667B">
              <w:rPr>
                <w:rFonts w:eastAsia="Calibri"/>
                <w:i/>
                <w:sz w:val="16"/>
                <w:lang w:val="en-US"/>
              </w:rPr>
              <w:t>questionnaire</w:t>
            </w:r>
            <w:r w:rsidR="005D024B" w:rsidRPr="00DD667B">
              <w:rPr>
                <w:rFonts w:eastAsia="Calibri"/>
                <w:i/>
                <w:sz w:val="16"/>
                <w:lang w:val="en-US"/>
              </w:rPr>
              <w:t xml:space="preserve"> response</w:t>
            </w:r>
          </w:p>
        </w:tc>
      </w:tr>
      <w:tr w:rsidR="00DD667B" w:rsidRPr="00DD667B" w14:paraId="3EED7A2D" w14:textId="77777777" w:rsidTr="00592392">
        <w:trPr>
          <w:trHeight w:hRule="exact" w:val="113"/>
        </w:trPr>
        <w:tc>
          <w:tcPr>
            <w:tcW w:w="1342" w:type="dxa"/>
            <w:tcBorders>
              <w:top w:val="single" w:sz="12" w:space="0" w:color="auto"/>
            </w:tcBorders>
            <w:shd w:val="clear" w:color="auto" w:fill="auto"/>
          </w:tcPr>
          <w:p w14:paraId="26B598C4" w14:textId="77777777" w:rsidR="00DD667B" w:rsidRPr="00DD667B" w:rsidRDefault="00DD667B" w:rsidP="00DD667B">
            <w:pPr>
              <w:spacing w:before="40" w:after="120"/>
              <w:ind w:right="113"/>
              <w:rPr>
                <w:rFonts w:eastAsia="Calibri"/>
                <w:lang w:val="nb-NO"/>
              </w:rPr>
            </w:pPr>
          </w:p>
        </w:tc>
        <w:tc>
          <w:tcPr>
            <w:tcW w:w="1635" w:type="dxa"/>
            <w:tcBorders>
              <w:top w:val="single" w:sz="12" w:space="0" w:color="auto"/>
            </w:tcBorders>
            <w:shd w:val="clear" w:color="auto" w:fill="auto"/>
          </w:tcPr>
          <w:p w14:paraId="1FB26A87" w14:textId="77777777" w:rsidR="00DD667B" w:rsidRPr="00DD667B" w:rsidRDefault="00DD667B" w:rsidP="00DD667B">
            <w:pPr>
              <w:spacing w:before="40" w:after="120"/>
              <w:ind w:right="113"/>
              <w:rPr>
                <w:rFonts w:eastAsia="Calibri"/>
                <w:lang w:val="nb-NO"/>
              </w:rPr>
            </w:pPr>
          </w:p>
        </w:tc>
        <w:tc>
          <w:tcPr>
            <w:tcW w:w="992" w:type="dxa"/>
            <w:tcBorders>
              <w:top w:val="single" w:sz="12" w:space="0" w:color="auto"/>
            </w:tcBorders>
            <w:shd w:val="clear" w:color="auto" w:fill="auto"/>
          </w:tcPr>
          <w:p w14:paraId="1AAD7E4F" w14:textId="77777777" w:rsidR="00DD667B" w:rsidRPr="00DD667B" w:rsidRDefault="00DD667B" w:rsidP="00DD667B">
            <w:pPr>
              <w:spacing w:before="40" w:after="120"/>
              <w:ind w:right="113"/>
              <w:rPr>
                <w:rFonts w:eastAsia="Calibri"/>
                <w:lang w:val="en-US"/>
              </w:rPr>
            </w:pPr>
          </w:p>
        </w:tc>
        <w:tc>
          <w:tcPr>
            <w:tcW w:w="1843" w:type="dxa"/>
            <w:tcBorders>
              <w:top w:val="single" w:sz="12" w:space="0" w:color="auto"/>
            </w:tcBorders>
            <w:shd w:val="clear" w:color="auto" w:fill="auto"/>
          </w:tcPr>
          <w:p w14:paraId="0CD35832" w14:textId="77777777" w:rsidR="00DD667B" w:rsidRPr="00DD667B" w:rsidRDefault="00DD667B" w:rsidP="00DD667B">
            <w:pPr>
              <w:spacing w:before="40" w:after="120"/>
              <w:ind w:right="113"/>
              <w:rPr>
                <w:rFonts w:eastAsia="Calibri"/>
                <w:lang w:val="en-US"/>
              </w:rPr>
            </w:pPr>
          </w:p>
        </w:tc>
        <w:tc>
          <w:tcPr>
            <w:tcW w:w="1739" w:type="dxa"/>
            <w:tcBorders>
              <w:top w:val="single" w:sz="12" w:space="0" w:color="auto"/>
            </w:tcBorders>
            <w:shd w:val="clear" w:color="auto" w:fill="auto"/>
          </w:tcPr>
          <w:p w14:paraId="22EB322F" w14:textId="77777777" w:rsidR="00DD667B" w:rsidRPr="00DD667B" w:rsidRDefault="00DD667B" w:rsidP="00DD667B">
            <w:pPr>
              <w:spacing w:before="40" w:after="120"/>
              <w:ind w:right="113"/>
              <w:rPr>
                <w:rFonts w:eastAsia="Calibri"/>
                <w:lang w:val="en-US"/>
              </w:rPr>
            </w:pPr>
          </w:p>
        </w:tc>
        <w:tc>
          <w:tcPr>
            <w:tcW w:w="2086" w:type="dxa"/>
            <w:tcBorders>
              <w:top w:val="single" w:sz="12" w:space="0" w:color="auto"/>
            </w:tcBorders>
            <w:shd w:val="clear" w:color="auto" w:fill="auto"/>
          </w:tcPr>
          <w:p w14:paraId="33F0FB82" w14:textId="77777777" w:rsidR="00DD667B" w:rsidRPr="00DD667B" w:rsidRDefault="00DD667B" w:rsidP="00DD667B">
            <w:pPr>
              <w:spacing w:before="40" w:after="120"/>
              <w:ind w:right="113"/>
              <w:rPr>
                <w:rFonts w:eastAsia="Calibri"/>
                <w:lang w:val="en-US"/>
              </w:rPr>
            </w:pPr>
          </w:p>
        </w:tc>
      </w:tr>
      <w:tr w:rsidR="00A43470" w:rsidRPr="00DD667B" w14:paraId="52291E3E" w14:textId="77777777" w:rsidTr="00592392">
        <w:tc>
          <w:tcPr>
            <w:tcW w:w="1342" w:type="dxa"/>
            <w:shd w:val="clear" w:color="auto" w:fill="auto"/>
          </w:tcPr>
          <w:p w14:paraId="3DFAC637" w14:textId="77777777" w:rsidR="00705E38" w:rsidRPr="00DD667B" w:rsidRDefault="00705E38" w:rsidP="00DD667B">
            <w:pPr>
              <w:spacing w:before="40" w:after="120"/>
              <w:ind w:right="113"/>
              <w:rPr>
                <w:rFonts w:eastAsia="Calibri"/>
                <w:lang w:val="en-US"/>
              </w:rPr>
            </w:pPr>
            <w:r w:rsidRPr="00DD667B">
              <w:rPr>
                <w:rFonts w:eastAsia="Calibri"/>
                <w:lang w:val="en-US"/>
              </w:rPr>
              <w:t>Albania</w:t>
            </w:r>
          </w:p>
        </w:tc>
        <w:tc>
          <w:tcPr>
            <w:tcW w:w="1635" w:type="dxa"/>
            <w:shd w:val="clear" w:color="auto" w:fill="auto"/>
          </w:tcPr>
          <w:p w14:paraId="5892F795" w14:textId="77777777" w:rsidR="00705E38" w:rsidRPr="00DD667B" w:rsidRDefault="00705E38" w:rsidP="00DD667B">
            <w:pPr>
              <w:spacing w:before="40" w:after="120"/>
              <w:ind w:right="113"/>
              <w:rPr>
                <w:rFonts w:eastAsia="Calibri"/>
                <w:lang w:val="en-US"/>
              </w:rPr>
            </w:pPr>
            <w:r w:rsidRPr="00DD667B">
              <w:rPr>
                <w:rFonts w:eastAsia="Calibri"/>
                <w:lang w:val="en-US"/>
              </w:rPr>
              <w:t>Natural gas transmission system</w:t>
            </w:r>
          </w:p>
          <w:p w14:paraId="1930F389" w14:textId="77777777" w:rsidR="00705E38" w:rsidRPr="00DD667B" w:rsidRDefault="00705E38" w:rsidP="00DD667B">
            <w:pPr>
              <w:spacing w:before="40" w:after="120"/>
              <w:ind w:right="113"/>
              <w:rPr>
                <w:rFonts w:eastAsia="Calibri"/>
                <w:lang w:val="en-US"/>
              </w:rPr>
            </w:pPr>
          </w:p>
        </w:tc>
        <w:tc>
          <w:tcPr>
            <w:tcW w:w="992" w:type="dxa"/>
            <w:shd w:val="clear" w:color="auto" w:fill="auto"/>
          </w:tcPr>
          <w:p w14:paraId="05FB9189" w14:textId="77777777" w:rsidR="00705E38" w:rsidRPr="00DD667B" w:rsidRDefault="00705E38" w:rsidP="00DD667B">
            <w:pPr>
              <w:spacing w:before="40" w:after="120"/>
              <w:ind w:right="113"/>
              <w:rPr>
                <w:rFonts w:eastAsia="Calibri"/>
                <w:lang w:val="en-US"/>
              </w:rPr>
            </w:pPr>
          </w:p>
          <w:p w14:paraId="1F0AE22E" w14:textId="77777777" w:rsidR="00705E38" w:rsidRPr="00DD667B" w:rsidRDefault="00705E38" w:rsidP="00DD667B">
            <w:pPr>
              <w:spacing w:before="40" w:after="120"/>
              <w:ind w:right="113"/>
              <w:rPr>
                <w:rFonts w:eastAsia="Calibri"/>
                <w:lang w:val="en-US"/>
              </w:rPr>
            </w:pPr>
            <w:r w:rsidRPr="00DD667B">
              <w:rPr>
                <w:rFonts w:eastAsia="Calibri"/>
                <w:lang w:val="en-US"/>
              </w:rPr>
              <w:t>2021</w:t>
            </w:r>
          </w:p>
        </w:tc>
        <w:tc>
          <w:tcPr>
            <w:tcW w:w="1843" w:type="dxa"/>
            <w:shd w:val="clear" w:color="auto" w:fill="auto"/>
          </w:tcPr>
          <w:p w14:paraId="7F93B508" w14:textId="77777777" w:rsidR="00705E38" w:rsidRPr="00DD667B" w:rsidRDefault="00705E38" w:rsidP="00DD667B">
            <w:pPr>
              <w:spacing w:before="40" w:after="120"/>
              <w:ind w:right="113"/>
              <w:rPr>
                <w:rFonts w:eastAsia="Calibri"/>
                <w:lang w:val="en-US"/>
              </w:rPr>
            </w:pPr>
            <w:r w:rsidRPr="00DD667B">
              <w:rPr>
                <w:rFonts w:eastAsia="Calibri"/>
                <w:lang w:val="en-US"/>
              </w:rPr>
              <w:t>Impacts and Issues: biodiversity and climate change</w:t>
            </w:r>
          </w:p>
        </w:tc>
        <w:tc>
          <w:tcPr>
            <w:tcW w:w="1739" w:type="dxa"/>
            <w:shd w:val="clear" w:color="auto" w:fill="auto"/>
          </w:tcPr>
          <w:p w14:paraId="6094E831" w14:textId="77777777" w:rsidR="00705E38" w:rsidRPr="00DD667B" w:rsidRDefault="00705E38" w:rsidP="00DD667B">
            <w:pPr>
              <w:spacing w:before="40" w:after="120"/>
              <w:ind w:right="113"/>
              <w:rPr>
                <w:rFonts w:eastAsia="Calibri"/>
                <w:lang w:val="en-US"/>
              </w:rPr>
            </w:pPr>
            <w:r w:rsidRPr="00DD667B">
              <w:rPr>
                <w:rFonts w:eastAsia="Calibri"/>
                <w:lang w:val="en-US"/>
              </w:rPr>
              <w:t>-</w:t>
            </w:r>
          </w:p>
        </w:tc>
        <w:tc>
          <w:tcPr>
            <w:tcW w:w="2086" w:type="dxa"/>
            <w:shd w:val="clear" w:color="auto" w:fill="auto"/>
          </w:tcPr>
          <w:p w14:paraId="4B9C9C68" w14:textId="77777777" w:rsidR="00705E38" w:rsidRPr="00DD667B" w:rsidRDefault="005D3B71" w:rsidP="00DD667B">
            <w:pPr>
              <w:spacing w:before="40" w:after="120"/>
              <w:ind w:right="113"/>
              <w:rPr>
                <w:rFonts w:eastAsia="Calibri"/>
                <w:lang w:val="en-US"/>
              </w:rPr>
            </w:pPr>
            <w:r w:rsidRPr="00DD667B">
              <w:rPr>
                <w:rFonts w:eastAsia="Calibri"/>
                <w:lang w:val="en-US"/>
              </w:rPr>
              <w:t>https://unece.org/sites/default/files/2022-05/Albania_EIA.pdf</w:t>
            </w:r>
          </w:p>
        </w:tc>
      </w:tr>
      <w:tr w:rsidR="00592392" w:rsidRPr="00DD667B" w14:paraId="7B397791" w14:textId="77777777" w:rsidTr="00592392">
        <w:tc>
          <w:tcPr>
            <w:tcW w:w="1342" w:type="dxa"/>
            <w:shd w:val="clear" w:color="auto" w:fill="auto"/>
          </w:tcPr>
          <w:p w14:paraId="0E7A0FE9" w14:textId="77777777" w:rsidR="00705E38" w:rsidRPr="00DD667B" w:rsidRDefault="00705E38" w:rsidP="00DD667B">
            <w:pPr>
              <w:spacing w:before="40" w:after="120"/>
              <w:ind w:right="113"/>
              <w:rPr>
                <w:rFonts w:eastAsia="Calibri"/>
                <w:lang w:val="en-US"/>
              </w:rPr>
            </w:pPr>
            <w:r w:rsidRPr="00DD667B">
              <w:rPr>
                <w:rFonts w:eastAsia="Calibri"/>
                <w:lang w:val="en-US"/>
              </w:rPr>
              <w:t>Belarus</w:t>
            </w:r>
          </w:p>
        </w:tc>
        <w:tc>
          <w:tcPr>
            <w:tcW w:w="1635" w:type="dxa"/>
            <w:shd w:val="clear" w:color="auto" w:fill="auto"/>
          </w:tcPr>
          <w:p w14:paraId="7BC119E2" w14:textId="77777777" w:rsidR="00705E38" w:rsidRPr="00DD667B" w:rsidRDefault="00705E38" w:rsidP="00DD667B">
            <w:pPr>
              <w:spacing w:before="40" w:after="120"/>
              <w:ind w:right="113"/>
              <w:rPr>
                <w:rFonts w:eastAsia="Calibri"/>
                <w:lang w:val="en-US"/>
              </w:rPr>
            </w:pPr>
            <w:r w:rsidRPr="00DD667B">
              <w:rPr>
                <w:rFonts w:eastAsia="Calibri"/>
                <w:lang w:val="en-US"/>
              </w:rPr>
              <w:t>Electricity transmission lines and transformer substations</w:t>
            </w:r>
          </w:p>
        </w:tc>
        <w:tc>
          <w:tcPr>
            <w:tcW w:w="992" w:type="dxa"/>
            <w:shd w:val="clear" w:color="auto" w:fill="auto"/>
          </w:tcPr>
          <w:p w14:paraId="3A0AF4CE" w14:textId="77777777" w:rsidR="00705E38" w:rsidRPr="00DD667B" w:rsidRDefault="00705E38" w:rsidP="00DD667B">
            <w:pPr>
              <w:spacing w:before="40" w:after="120"/>
              <w:ind w:right="113"/>
              <w:rPr>
                <w:rFonts w:eastAsia="Calibri"/>
                <w:lang w:val="en-US"/>
              </w:rPr>
            </w:pPr>
          </w:p>
          <w:p w14:paraId="515E467F" w14:textId="77777777" w:rsidR="00705E38" w:rsidRPr="00DD667B" w:rsidRDefault="00705E38" w:rsidP="00DD667B">
            <w:pPr>
              <w:spacing w:before="40" w:after="120"/>
              <w:ind w:right="113"/>
              <w:rPr>
                <w:rFonts w:eastAsia="Calibri"/>
                <w:lang w:val="en-US"/>
              </w:rPr>
            </w:pPr>
            <w:r w:rsidRPr="00DD667B">
              <w:rPr>
                <w:rFonts w:eastAsia="Calibri"/>
                <w:lang w:val="nb-NO"/>
              </w:rPr>
              <w:t>06/2019-06/2020</w:t>
            </w:r>
          </w:p>
        </w:tc>
        <w:tc>
          <w:tcPr>
            <w:tcW w:w="1843" w:type="dxa"/>
            <w:shd w:val="clear" w:color="auto" w:fill="auto"/>
          </w:tcPr>
          <w:p w14:paraId="28C350CD" w14:textId="77777777" w:rsidR="00705E38" w:rsidRPr="00DD667B" w:rsidRDefault="00705E38" w:rsidP="00DD667B">
            <w:pPr>
              <w:spacing w:before="40" w:after="120"/>
              <w:ind w:right="113"/>
              <w:rPr>
                <w:rFonts w:eastAsia="Calibri"/>
                <w:lang w:val="en-US"/>
              </w:rPr>
            </w:pPr>
            <w:r w:rsidRPr="00DD667B">
              <w:rPr>
                <w:rFonts w:eastAsia="Calibri"/>
                <w:lang w:val="en-US"/>
              </w:rPr>
              <w:t>Notification</w:t>
            </w:r>
          </w:p>
          <w:p w14:paraId="67FF9A11" w14:textId="77777777" w:rsidR="00705E38" w:rsidRPr="00DD667B" w:rsidRDefault="00705E38" w:rsidP="00DD667B">
            <w:pPr>
              <w:spacing w:before="40" w:after="120"/>
              <w:ind w:right="113"/>
              <w:rPr>
                <w:rFonts w:eastAsia="Calibri"/>
                <w:lang w:val="en-US"/>
              </w:rPr>
            </w:pPr>
            <w:r w:rsidRPr="00DD667B">
              <w:rPr>
                <w:rFonts w:eastAsia="Calibri"/>
                <w:lang w:val="en-US"/>
              </w:rPr>
              <w:t>Preparation of EIA documentation</w:t>
            </w:r>
          </w:p>
          <w:p w14:paraId="53C676F6" w14:textId="77777777" w:rsidR="00705E38" w:rsidRPr="00DD667B" w:rsidRDefault="00705E38" w:rsidP="00DD667B">
            <w:pPr>
              <w:spacing w:before="40" w:after="120"/>
              <w:ind w:right="113"/>
              <w:rPr>
                <w:rFonts w:eastAsia="Calibri"/>
                <w:lang w:val="en-US"/>
              </w:rPr>
            </w:pPr>
            <w:r w:rsidRPr="00DD667B">
              <w:rPr>
                <w:rFonts w:eastAsia="Calibri"/>
                <w:lang w:val="en-US"/>
              </w:rPr>
              <w:t xml:space="preserve">Consultation under </w:t>
            </w:r>
            <w:r w:rsidR="005D024B" w:rsidRPr="00DD667B">
              <w:rPr>
                <w:rFonts w:eastAsia="Calibri"/>
                <w:lang w:val="en-US"/>
              </w:rPr>
              <w:t xml:space="preserve">article </w:t>
            </w:r>
            <w:r w:rsidRPr="00DD667B">
              <w:rPr>
                <w:rFonts w:eastAsia="Calibri"/>
                <w:lang w:val="en-US"/>
              </w:rPr>
              <w:t>5</w:t>
            </w:r>
          </w:p>
        </w:tc>
        <w:tc>
          <w:tcPr>
            <w:tcW w:w="1739" w:type="dxa"/>
            <w:shd w:val="clear" w:color="auto" w:fill="auto"/>
          </w:tcPr>
          <w:p w14:paraId="7FCE8DB6" w14:textId="77777777" w:rsidR="00705E38" w:rsidRPr="00DD667B" w:rsidRDefault="00705E38" w:rsidP="00DD667B">
            <w:pPr>
              <w:spacing w:before="40" w:after="120"/>
              <w:ind w:right="113"/>
              <w:rPr>
                <w:rFonts w:eastAsia="Calibri"/>
                <w:lang w:val="en-US"/>
              </w:rPr>
            </w:pPr>
            <w:r w:rsidRPr="00DD667B">
              <w:rPr>
                <w:rFonts w:eastAsia="Calibri"/>
                <w:lang w:val="en-US"/>
              </w:rPr>
              <w:t>-</w:t>
            </w:r>
          </w:p>
        </w:tc>
        <w:tc>
          <w:tcPr>
            <w:tcW w:w="2086" w:type="dxa"/>
            <w:shd w:val="clear" w:color="auto" w:fill="auto"/>
          </w:tcPr>
          <w:p w14:paraId="321F70DC" w14:textId="77777777" w:rsidR="00705E38" w:rsidRPr="00DD667B" w:rsidRDefault="005D3B71" w:rsidP="00DD667B">
            <w:pPr>
              <w:spacing w:before="40" w:after="120"/>
              <w:ind w:right="113"/>
              <w:rPr>
                <w:rFonts w:eastAsia="Calibri"/>
                <w:lang w:val="en-US"/>
              </w:rPr>
            </w:pPr>
            <w:r w:rsidRPr="00DD667B">
              <w:rPr>
                <w:rFonts w:eastAsia="Calibri"/>
                <w:lang w:val="en-US"/>
              </w:rPr>
              <w:t>https://unece.org/sites/default/files/2022-07/Belarus_EIA_EN.pdf</w:t>
            </w:r>
          </w:p>
        </w:tc>
      </w:tr>
      <w:tr w:rsidR="00592392" w:rsidRPr="00DD667B" w14:paraId="451B0657" w14:textId="77777777" w:rsidTr="00592392">
        <w:tc>
          <w:tcPr>
            <w:tcW w:w="1342" w:type="dxa"/>
            <w:shd w:val="clear" w:color="auto" w:fill="auto"/>
          </w:tcPr>
          <w:p w14:paraId="66ACF919" w14:textId="77777777" w:rsidR="00705E38" w:rsidRPr="00DD667B" w:rsidRDefault="00705E38" w:rsidP="00DD667B">
            <w:pPr>
              <w:spacing w:before="40" w:after="120"/>
              <w:ind w:right="113"/>
              <w:rPr>
                <w:rFonts w:eastAsia="Calibri"/>
                <w:lang w:val="en-US"/>
              </w:rPr>
            </w:pPr>
            <w:r w:rsidRPr="00DD667B">
              <w:rPr>
                <w:rFonts w:eastAsia="Calibri"/>
                <w:lang w:val="en-US"/>
              </w:rPr>
              <w:t>Belgium (Flemish region)</w:t>
            </w:r>
          </w:p>
        </w:tc>
        <w:tc>
          <w:tcPr>
            <w:tcW w:w="1635" w:type="dxa"/>
            <w:shd w:val="clear" w:color="auto" w:fill="auto"/>
          </w:tcPr>
          <w:p w14:paraId="14DD2500" w14:textId="77777777" w:rsidR="00705E38" w:rsidRPr="00DD667B" w:rsidRDefault="00705E38" w:rsidP="00DD667B">
            <w:pPr>
              <w:spacing w:before="40" w:after="120"/>
              <w:ind w:right="113"/>
              <w:rPr>
                <w:rFonts w:eastAsia="Calibri"/>
                <w:lang w:val="en-US"/>
              </w:rPr>
            </w:pPr>
            <w:r w:rsidRPr="00DD667B">
              <w:rPr>
                <w:rFonts w:eastAsia="Calibri"/>
                <w:lang w:val="en-US"/>
              </w:rPr>
              <w:t>Waiting dock for inland vessels</w:t>
            </w:r>
          </w:p>
        </w:tc>
        <w:tc>
          <w:tcPr>
            <w:tcW w:w="992" w:type="dxa"/>
            <w:shd w:val="clear" w:color="auto" w:fill="auto"/>
          </w:tcPr>
          <w:p w14:paraId="02E14094" w14:textId="77777777" w:rsidR="00705E38" w:rsidRPr="00DD667B" w:rsidRDefault="00705E38" w:rsidP="00DD667B">
            <w:pPr>
              <w:spacing w:before="40" w:after="120"/>
              <w:ind w:right="113"/>
              <w:rPr>
                <w:rFonts w:eastAsia="Calibri"/>
                <w:lang w:val="en-US"/>
              </w:rPr>
            </w:pPr>
            <w:r w:rsidRPr="00DD667B">
              <w:rPr>
                <w:rFonts w:eastAsia="Calibri"/>
                <w:lang w:val="en-US"/>
              </w:rPr>
              <w:t>04/20220-10/2021</w:t>
            </w:r>
          </w:p>
        </w:tc>
        <w:tc>
          <w:tcPr>
            <w:tcW w:w="1843" w:type="dxa"/>
            <w:shd w:val="clear" w:color="auto" w:fill="auto"/>
          </w:tcPr>
          <w:p w14:paraId="16771D7F" w14:textId="77777777" w:rsidR="00705E38" w:rsidRPr="00DD667B" w:rsidRDefault="00705E38" w:rsidP="00DD667B">
            <w:pPr>
              <w:spacing w:before="40" w:after="120"/>
              <w:ind w:right="113"/>
              <w:rPr>
                <w:rFonts w:eastAsia="Calibri"/>
                <w:lang w:val="en-US"/>
              </w:rPr>
            </w:pPr>
            <w:r w:rsidRPr="00DD667B">
              <w:rPr>
                <w:rFonts w:eastAsia="Calibri"/>
                <w:lang w:val="en-US"/>
              </w:rPr>
              <w:t>Notification</w:t>
            </w:r>
          </w:p>
          <w:p w14:paraId="72B35FA9" w14:textId="77777777" w:rsidR="00705E38" w:rsidRPr="00DD667B" w:rsidRDefault="00705E38" w:rsidP="00DD667B">
            <w:pPr>
              <w:spacing w:before="40" w:after="120"/>
              <w:ind w:right="113"/>
              <w:rPr>
                <w:rFonts w:eastAsia="Calibri"/>
                <w:lang w:val="en-US"/>
              </w:rPr>
            </w:pPr>
            <w:r w:rsidRPr="00DD667B">
              <w:rPr>
                <w:rFonts w:eastAsia="Calibri"/>
                <w:lang w:val="en-US"/>
              </w:rPr>
              <w:t>Preparation of EIA documentation</w:t>
            </w:r>
          </w:p>
          <w:p w14:paraId="6669D505" w14:textId="77777777" w:rsidR="00705E38" w:rsidRPr="00DD667B" w:rsidRDefault="00705E38" w:rsidP="00DD667B">
            <w:pPr>
              <w:spacing w:before="40" w:after="120"/>
              <w:ind w:right="113"/>
              <w:rPr>
                <w:rFonts w:eastAsia="Calibri"/>
                <w:lang w:val="en-US"/>
              </w:rPr>
            </w:pPr>
            <w:r w:rsidRPr="00DD667B">
              <w:rPr>
                <w:rFonts w:eastAsia="Calibri"/>
                <w:lang w:val="en-US"/>
              </w:rPr>
              <w:t xml:space="preserve">Consultation under </w:t>
            </w:r>
            <w:r w:rsidR="006C1934" w:rsidRPr="00DD667B">
              <w:rPr>
                <w:rFonts w:eastAsia="Calibri"/>
                <w:lang w:val="en-US"/>
              </w:rPr>
              <w:t>a</w:t>
            </w:r>
            <w:r w:rsidRPr="00DD667B">
              <w:rPr>
                <w:rFonts w:eastAsia="Calibri"/>
                <w:lang w:val="en-US"/>
              </w:rPr>
              <w:t>rticle 5</w:t>
            </w:r>
          </w:p>
          <w:p w14:paraId="051E2020" w14:textId="77777777" w:rsidR="00705E38" w:rsidRPr="00DD667B" w:rsidRDefault="00705E38" w:rsidP="00DD667B">
            <w:pPr>
              <w:spacing w:before="40" w:after="120"/>
              <w:ind w:right="113"/>
              <w:rPr>
                <w:rFonts w:eastAsia="Calibri"/>
                <w:lang w:val="en-US"/>
              </w:rPr>
            </w:pPr>
            <w:r w:rsidRPr="00DD667B">
              <w:rPr>
                <w:rFonts w:eastAsia="Calibri"/>
                <w:lang w:val="en-US"/>
              </w:rPr>
              <w:t>Final decision</w:t>
            </w:r>
          </w:p>
        </w:tc>
        <w:tc>
          <w:tcPr>
            <w:tcW w:w="1739" w:type="dxa"/>
            <w:shd w:val="clear" w:color="auto" w:fill="auto"/>
          </w:tcPr>
          <w:p w14:paraId="6FC3100A" w14:textId="77777777" w:rsidR="00705E38" w:rsidRPr="00DD667B" w:rsidRDefault="00705E38" w:rsidP="00DD667B">
            <w:pPr>
              <w:spacing w:before="40" w:after="120"/>
              <w:ind w:right="113"/>
              <w:rPr>
                <w:rFonts w:eastAsia="Calibri"/>
                <w:lang w:val="en-US"/>
              </w:rPr>
            </w:pPr>
            <w:r w:rsidRPr="00DD667B">
              <w:rPr>
                <w:rFonts w:eastAsia="Calibri"/>
                <w:lang w:val="en-US"/>
              </w:rPr>
              <w:t>-</w:t>
            </w:r>
          </w:p>
        </w:tc>
        <w:tc>
          <w:tcPr>
            <w:tcW w:w="2086" w:type="dxa"/>
            <w:shd w:val="clear" w:color="auto" w:fill="auto"/>
          </w:tcPr>
          <w:p w14:paraId="294B341D" w14:textId="77777777" w:rsidR="00705E38" w:rsidRPr="00DD667B" w:rsidRDefault="005D3B71" w:rsidP="00DD667B">
            <w:pPr>
              <w:spacing w:before="40" w:after="120"/>
              <w:ind w:right="113"/>
              <w:rPr>
                <w:rFonts w:eastAsia="Calibri"/>
                <w:lang w:val="en-US"/>
              </w:rPr>
            </w:pPr>
            <w:r w:rsidRPr="00DD667B">
              <w:rPr>
                <w:rFonts w:eastAsia="Calibri"/>
                <w:lang w:val="en-US"/>
              </w:rPr>
              <w:t>https://unece.org/sites/default/files/2022-05/Belgium_EIA_WR%2BFR%2BBCR_FIN.pdf</w:t>
            </w:r>
          </w:p>
        </w:tc>
      </w:tr>
      <w:tr w:rsidR="00592392" w:rsidRPr="00DD667B" w14:paraId="36D0D9A0" w14:textId="77777777" w:rsidTr="00592392">
        <w:tc>
          <w:tcPr>
            <w:tcW w:w="1342" w:type="dxa"/>
            <w:shd w:val="clear" w:color="auto" w:fill="auto"/>
          </w:tcPr>
          <w:p w14:paraId="38CF0E39" w14:textId="77777777" w:rsidR="00705E38" w:rsidRPr="00DD667B" w:rsidRDefault="00705E38" w:rsidP="00DD667B">
            <w:pPr>
              <w:spacing w:before="40" w:after="120"/>
              <w:ind w:right="113"/>
              <w:rPr>
                <w:rFonts w:eastAsia="Calibri"/>
                <w:lang w:val="en-US"/>
              </w:rPr>
            </w:pPr>
            <w:r w:rsidRPr="00DD667B">
              <w:rPr>
                <w:rFonts w:eastAsia="Calibri"/>
                <w:lang w:val="en-US"/>
              </w:rPr>
              <w:t>Czechia</w:t>
            </w:r>
          </w:p>
        </w:tc>
        <w:tc>
          <w:tcPr>
            <w:tcW w:w="1635" w:type="dxa"/>
            <w:shd w:val="clear" w:color="auto" w:fill="auto"/>
          </w:tcPr>
          <w:p w14:paraId="7A6179A5" w14:textId="77777777" w:rsidR="00705E38" w:rsidRPr="00DD667B" w:rsidRDefault="00705E38" w:rsidP="00DD667B">
            <w:pPr>
              <w:spacing w:before="40" w:after="120"/>
              <w:ind w:right="113"/>
              <w:rPr>
                <w:rFonts w:eastAsia="Calibri"/>
                <w:lang w:val="en-US"/>
              </w:rPr>
            </w:pPr>
            <w:r w:rsidRPr="00DD667B">
              <w:rPr>
                <w:rFonts w:eastAsia="Calibri"/>
                <w:lang w:val="en-US"/>
              </w:rPr>
              <w:t xml:space="preserve">New </w:t>
            </w:r>
            <w:r w:rsidR="005D024B" w:rsidRPr="00DD667B">
              <w:rPr>
                <w:rFonts w:eastAsia="Calibri"/>
                <w:lang w:val="en-US"/>
              </w:rPr>
              <w:t>NPP</w:t>
            </w:r>
            <w:r w:rsidRPr="00DD667B">
              <w:rPr>
                <w:rFonts w:eastAsia="Calibri"/>
                <w:lang w:val="en-US"/>
              </w:rPr>
              <w:t xml:space="preserve"> unit</w:t>
            </w:r>
          </w:p>
        </w:tc>
        <w:tc>
          <w:tcPr>
            <w:tcW w:w="992" w:type="dxa"/>
            <w:shd w:val="clear" w:color="auto" w:fill="auto"/>
          </w:tcPr>
          <w:p w14:paraId="0884A016" w14:textId="77777777" w:rsidR="00705E38" w:rsidRPr="00DD667B" w:rsidRDefault="00705E38" w:rsidP="00DD667B">
            <w:pPr>
              <w:spacing w:before="40" w:after="120"/>
              <w:ind w:right="113"/>
              <w:rPr>
                <w:rFonts w:eastAsia="Calibri"/>
                <w:lang w:val="en-US"/>
              </w:rPr>
            </w:pPr>
            <w:r w:rsidRPr="00DD667B">
              <w:rPr>
                <w:rFonts w:eastAsia="Calibri"/>
                <w:lang w:val="en-US"/>
              </w:rPr>
              <w:t>2016-2019</w:t>
            </w:r>
          </w:p>
        </w:tc>
        <w:tc>
          <w:tcPr>
            <w:tcW w:w="1843" w:type="dxa"/>
            <w:shd w:val="clear" w:color="auto" w:fill="auto"/>
          </w:tcPr>
          <w:p w14:paraId="62FE2A41" w14:textId="77777777" w:rsidR="00705E38" w:rsidRPr="00DD667B" w:rsidRDefault="00705E38" w:rsidP="00DD667B">
            <w:pPr>
              <w:spacing w:before="40" w:after="120"/>
              <w:ind w:right="113"/>
              <w:rPr>
                <w:rFonts w:eastAsia="Calibri"/>
                <w:lang w:val="en-US"/>
              </w:rPr>
            </w:pPr>
            <w:r w:rsidRPr="00DD667B">
              <w:rPr>
                <w:rFonts w:eastAsia="Calibri"/>
                <w:lang w:val="en-US"/>
              </w:rPr>
              <w:t>Preparation of EIA documentation</w:t>
            </w:r>
          </w:p>
          <w:p w14:paraId="4BA7FDA4" w14:textId="77777777" w:rsidR="00705E38" w:rsidRPr="00DD667B" w:rsidRDefault="00705E38" w:rsidP="00DD667B">
            <w:pPr>
              <w:spacing w:before="40" w:after="120"/>
              <w:ind w:right="113"/>
              <w:rPr>
                <w:rFonts w:eastAsia="Calibri"/>
                <w:lang w:val="en-US"/>
              </w:rPr>
            </w:pPr>
            <w:r w:rsidRPr="00DD667B">
              <w:rPr>
                <w:rFonts w:eastAsia="Calibri"/>
                <w:lang w:val="en-US"/>
              </w:rPr>
              <w:t xml:space="preserve">Consultation under </w:t>
            </w:r>
            <w:r w:rsidR="006C1934" w:rsidRPr="00DD667B">
              <w:rPr>
                <w:rFonts w:eastAsia="Calibri"/>
                <w:lang w:val="en-US"/>
              </w:rPr>
              <w:t>a</w:t>
            </w:r>
            <w:r w:rsidRPr="00DD667B">
              <w:rPr>
                <w:rFonts w:eastAsia="Calibri"/>
                <w:lang w:val="en-US"/>
              </w:rPr>
              <w:t>rticle 5</w:t>
            </w:r>
          </w:p>
          <w:p w14:paraId="06BA6A5A" w14:textId="77777777" w:rsidR="00705E38" w:rsidRPr="00DD667B" w:rsidRDefault="00705E38" w:rsidP="00DD667B">
            <w:pPr>
              <w:spacing w:before="40" w:after="120"/>
              <w:ind w:right="113"/>
              <w:rPr>
                <w:rFonts w:eastAsia="Calibri"/>
                <w:lang w:val="en-US"/>
              </w:rPr>
            </w:pPr>
          </w:p>
        </w:tc>
        <w:tc>
          <w:tcPr>
            <w:tcW w:w="1739" w:type="dxa"/>
            <w:shd w:val="clear" w:color="auto" w:fill="auto"/>
          </w:tcPr>
          <w:p w14:paraId="388EB625" w14:textId="77777777" w:rsidR="00705E38" w:rsidRPr="00DD667B" w:rsidRDefault="00705E38" w:rsidP="00DD667B">
            <w:pPr>
              <w:spacing w:before="40" w:after="120"/>
              <w:ind w:right="113"/>
              <w:rPr>
                <w:rFonts w:eastAsia="Calibri"/>
                <w:lang w:val="en-US"/>
              </w:rPr>
            </w:pPr>
            <w:r w:rsidRPr="00DD667B">
              <w:rPr>
                <w:rFonts w:eastAsia="Calibri"/>
                <w:lang w:val="en-US"/>
              </w:rPr>
              <w:t xml:space="preserve">“The constructive and devoted approach of the developer proved of paramount importance for a successful conclusion of the EIA process, as well as good </w:t>
            </w:r>
            <w:r w:rsidRPr="00DD667B">
              <w:rPr>
                <w:rFonts w:eastAsia="Calibri"/>
                <w:lang w:val="en-US"/>
              </w:rPr>
              <w:lastRenderedPageBreak/>
              <w:t>working relationships and long-term contacts between all ministries and their focal points.”</w:t>
            </w:r>
          </w:p>
        </w:tc>
        <w:tc>
          <w:tcPr>
            <w:tcW w:w="2086" w:type="dxa"/>
            <w:shd w:val="clear" w:color="auto" w:fill="auto"/>
          </w:tcPr>
          <w:p w14:paraId="55EE6CCD" w14:textId="77777777" w:rsidR="00705E38" w:rsidRPr="00DD667B" w:rsidRDefault="005D3B71" w:rsidP="00DD667B">
            <w:pPr>
              <w:spacing w:before="40" w:after="120"/>
              <w:ind w:right="113"/>
              <w:rPr>
                <w:rFonts w:eastAsia="Calibri"/>
                <w:lang w:val="en-US"/>
              </w:rPr>
            </w:pPr>
            <w:r w:rsidRPr="00DD667B">
              <w:rPr>
                <w:rFonts w:eastAsia="Calibri"/>
                <w:lang w:val="en-US"/>
              </w:rPr>
              <w:lastRenderedPageBreak/>
              <w:t>https://unece.org/sites/default/files/2022-05/Czechia_EIA.pdf</w:t>
            </w:r>
          </w:p>
        </w:tc>
      </w:tr>
      <w:tr w:rsidR="00592392" w:rsidRPr="00DD667B" w14:paraId="06FAC95C" w14:textId="77777777" w:rsidTr="00592392">
        <w:tc>
          <w:tcPr>
            <w:tcW w:w="1342" w:type="dxa"/>
            <w:shd w:val="clear" w:color="auto" w:fill="auto"/>
          </w:tcPr>
          <w:p w14:paraId="0539B136" w14:textId="77777777" w:rsidR="00705E38" w:rsidRPr="00DD667B" w:rsidRDefault="00705E38" w:rsidP="00DD667B">
            <w:pPr>
              <w:spacing w:before="40" w:after="120"/>
              <w:ind w:right="113"/>
              <w:rPr>
                <w:rFonts w:eastAsia="Calibri"/>
                <w:lang w:val="en-US"/>
              </w:rPr>
            </w:pPr>
            <w:r w:rsidRPr="00DD667B">
              <w:rPr>
                <w:rFonts w:eastAsia="Calibri"/>
                <w:lang w:val="en-US"/>
              </w:rPr>
              <w:t>Estonia</w:t>
            </w:r>
          </w:p>
        </w:tc>
        <w:tc>
          <w:tcPr>
            <w:tcW w:w="1635" w:type="dxa"/>
            <w:shd w:val="clear" w:color="auto" w:fill="auto"/>
          </w:tcPr>
          <w:p w14:paraId="11500F2E" w14:textId="77777777" w:rsidR="00705E38" w:rsidRPr="00DD667B" w:rsidRDefault="00705E38" w:rsidP="00DD667B">
            <w:pPr>
              <w:spacing w:before="40" w:after="120"/>
              <w:ind w:right="113"/>
              <w:rPr>
                <w:rFonts w:eastAsia="Calibri"/>
                <w:lang w:val="en-US"/>
              </w:rPr>
            </w:pPr>
            <w:r w:rsidRPr="00DD667B">
              <w:rPr>
                <w:rFonts w:eastAsia="Calibri"/>
                <w:lang w:val="en-US"/>
              </w:rPr>
              <w:t>Offshore windfarm</w:t>
            </w:r>
          </w:p>
        </w:tc>
        <w:tc>
          <w:tcPr>
            <w:tcW w:w="992" w:type="dxa"/>
            <w:shd w:val="clear" w:color="auto" w:fill="auto"/>
          </w:tcPr>
          <w:p w14:paraId="476311C8" w14:textId="77777777" w:rsidR="00705E38" w:rsidRPr="00DD667B" w:rsidRDefault="00705E38" w:rsidP="00DD667B">
            <w:pPr>
              <w:spacing w:before="40" w:after="120"/>
              <w:ind w:right="113"/>
              <w:rPr>
                <w:rFonts w:eastAsia="Calibri"/>
                <w:lang w:val="en-US"/>
              </w:rPr>
            </w:pPr>
            <w:r w:rsidRPr="00DD667B">
              <w:rPr>
                <w:rFonts w:eastAsia="Calibri"/>
                <w:lang w:val="en-US"/>
              </w:rPr>
              <w:t>2020-2021</w:t>
            </w:r>
          </w:p>
        </w:tc>
        <w:tc>
          <w:tcPr>
            <w:tcW w:w="1843" w:type="dxa"/>
            <w:shd w:val="clear" w:color="auto" w:fill="auto"/>
          </w:tcPr>
          <w:p w14:paraId="3EADF6BB" w14:textId="77777777" w:rsidR="00705E38" w:rsidRPr="00DD667B" w:rsidRDefault="00705E38" w:rsidP="00DD667B">
            <w:pPr>
              <w:spacing w:before="40" w:after="120"/>
              <w:ind w:right="113"/>
              <w:rPr>
                <w:rFonts w:eastAsia="Calibri"/>
                <w:lang w:val="en-US"/>
              </w:rPr>
            </w:pPr>
            <w:r w:rsidRPr="00DD667B">
              <w:rPr>
                <w:rFonts w:eastAsia="Calibri"/>
                <w:lang w:val="en-US"/>
              </w:rPr>
              <w:t>Notification</w:t>
            </w:r>
          </w:p>
        </w:tc>
        <w:tc>
          <w:tcPr>
            <w:tcW w:w="1739" w:type="dxa"/>
            <w:shd w:val="clear" w:color="auto" w:fill="auto"/>
          </w:tcPr>
          <w:p w14:paraId="32DF2BF1" w14:textId="77777777" w:rsidR="00705E38" w:rsidRPr="00DD667B" w:rsidRDefault="00705E38" w:rsidP="00DD667B">
            <w:pPr>
              <w:spacing w:before="40" w:after="120"/>
              <w:ind w:right="113"/>
              <w:rPr>
                <w:rFonts w:eastAsia="Calibri"/>
                <w:lang w:val="en-US"/>
              </w:rPr>
            </w:pPr>
            <w:r w:rsidRPr="00DD667B">
              <w:rPr>
                <w:rFonts w:eastAsia="Calibri"/>
                <w:lang w:val="en-US"/>
              </w:rPr>
              <w:t>“Proposed project is related to climate objectives”</w:t>
            </w:r>
          </w:p>
        </w:tc>
        <w:tc>
          <w:tcPr>
            <w:tcW w:w="2086" w:type="dxa"/>
            <w:shd w:val="clear" w:color="auto" w:fill="auto"/>
          </w:tcPr>
          <w:p w14:paraId="36A58562" w14:textId="77777777" w:rsidR="00705E38" w:rsidRPr="00DD667B" w:rsidRDefault="005D3B71" w:rsidP="00DD667B">
            <w:pPr>
              <w:spacing w:before="40" w:after="120"/>
              <w:ind w:right="113"/>
              <w:rPr>
                <w:rFonts w:eastAsia="Calibri"/>
                <w:lang w:val="en-US"/>
              </w:rPr>
            </w:pPr>
            <w:r w:rsidRPr="00DD667B">
              <w:rPr>
                <w:rFonts w:eastAsia="Calibri"/>
                <w:lang w:val="en-US"/>
              </w:rPr>
              <w:t>https://unece.org/sites/default/files/2022-05/Estonia_EIA.pdf</w:t>
            </w:r>
          </w:p>
        </w:tc>
      </w:tr>
      <w:tr w:rsidR="00592392" w:rsidRPr="00DD667B" w14:paraId="4D7CB4F3" w14:textId="77777777" w:rsidTr="00592392">
        <w:tc>
          <w:tcPr>
            <w:tcW w:w="1342" w:type="dxa"/>
            <w:shd w:val="clear" w:color="auto" w:fill="auto"/>
          </w:tcPr>
          <w:p w14:paraId="5E0B9035" w14:textId="77777777" w:rsidR="00705E38" w:rsidRPr="00DD667B" w:rsidRDefault="00705E38" w:rsidP="00DD667B">
            <w:pPr>
              <w:spacing w:before="40" w:after="120"/>
              <w:ind w:right="113"/>
              <w:rPr>
                <w:rFonts w:eastAsia="Calibri"/>
                <w:lang w:val="en-US"/>
              </w:rPr>
            </w:pPr>
            <w:r w:rsidRPr="00DD667B">
              <w:rPr>
                <w:rFonts w:eastAsia="Calibri"/>
                <w:lang w:val="en-US"/>
              </w:rPr>
              <w:t>Hungary</w:t>
            </w:r>
          </w:p>
        </w:tc>
        <w:tc>
          <w:tcPr>
            <w:tcW w:w="1635" w:type="dxa"/>
            <w:shd w:val="clear" w:color="auto" w:fill="auto"/>
          </w:tcPr>
          <w:p w14:paraId="7CA82D86" w14:textId="77777777" w:rsidR="00705E38" w:rsidRPr="00DD667B" w:rsidRDefault="00705E38" w:rsidP="00DD667B">
            <w:pPr>
              <w:spacing w:before="40" w:after="120"/>
              <w:ind w:right="113"/>
              <w:rPr>
                <w:rFonts w:eastAsia="Calibri"/>
                <w:lang w:val="en-US"/>
              </w:rPr>
            </w:pPr>
            <w:r w:rsidRPr="00DD667B">
              <w:rPr>
                <w:rFonts w:eastAsia="Calibri"/>
                <w:lang w:val="en-US"/>
              </w:rPr>
              <w:t>Road widening</w:t>
            </w:r>
          </w:p>
        </w:tc>
        <w:tc>
          <w:tcPr>
            <w:tcW w:w="992" w:type="dxa"/>
            <w:shd w:val="clear" w:color="auto" w:fill="auto"/>
          </w:tcPr>
          <w:p w14:paraId="5AE75993" w14:textId="77777777" w:rsidR="00705E38" w:rsidRPr="00DD667B" w:rsidRDefault="00705E38" w:rsidP="00DD667B">
            <w:pPr>
              <w:spacing w:before="40" w:after="120"/>
              <w:ind w:right="113"/>
              <w:rPr>
                <w:rFonts w:eastAsia="Calibri"/>
                <w:lang w:val="en-US"/>
              </w:rPr>
            </w:pPr>
            <w:r w:rsidRPr="00DD667B">
              <w:rPr>
                <w:rFonts w:eastAsia="Calibri"/>
                <w:lang w:val="en-US"/>
              </w:rPr>
              <w:t>08/2019-01/2020</w:t>
            </w:r>
          </w:p>
        </w:tc>
        <w:tc>
          <w:tcPr>
            <w:tcW w:w="1843" w:type="dxa"/>
            <w:shd w:val="clear" w:color="auto" w:fill="auto"/>
          </w:tcPr>
          <w:p w14:paraId="78644BD1" w14:textId="77777777" w:rsidR="00705E38" w:rsidRPr="00DD667B" w:rsidRDefault="00705E38" w:rsidP="00DD667B">
            <w:pPr>
              <w:spacing w:before="40" w:after="120"/>
              <w:ind w:right="113"/>
              <w:rPr>
                <w:rFonts w:eastAsia="Calibri"/>
                <w:lang w:val="en-US"/>
              </w:rPr>
            </w:pPr>
            <w:r w:rsidRPr="00DD667B">
              <w:rPr>
                <w:rFonts w:eastAsia="Calibri"/>
                <w:lang w:val="en-US"/>
              </w:rPr>
              <w:t>-</w:t>
            </w:r>
          </w:p>
        </w:tc>
        <w:tc>
          <w:tcPr>
            <w:tcW w:w="1739" w:type="dxa"/>
            <w:shd w:val="clear" w:color="auto" w:fill="auto"/>
          </w:tcPr>
          <w:p w14:paraId="3ABD94F3" w14:textId="77777777" w:rsidR="00705E38" w:rsidRPr="00DD667B" w:rsidRDefault="00705E38" w:rsidP="00DD667B">
            <w:pPr>
              <w:spacing w:before="40" w:after="120"/>
              <w:ind w:right="113"/>
              <w:rPr>
                <w:rFonts w:eastAsia="Calibri"/>
                <w:lang w:val="en-US"/>
              </w:rPr>
            </w:pPr>
            <w:r w:rsidRPr="00DD667B">
              <w:rPr>
                <w:rFonts w:eastAsia="Calibri"/>
                <w:lang w:val="en-US"/>
              </w:rPr>
              <w:t>-</w:t>
            </w:r>
          </w:p>
        </w:tc>
        <w:tc>
          <w:tcPr>
            <w:tcW w:w="2086" w:type="dxa"/>
            <w:shd w:val="clear" w:color="auto" w:fill="auto"/>
          </w:tcPr>
          <w:p w14:paraId="16080A38" w14:textId="77777777" w:rsidR="00705E38" w:rsidRPr="00DD667B" w:rsidRDefault="005D3B71" w:rsidP="00DD667B">
            <w:pPr>
              <w:spacing w:before="40" w:after="120"/>
              <w:ind w:right="113"/>
              <w:rPr>
                <w:rFonts w:eastAsia="Calibri"/>
                <w:lang w:val="en-US"/>
              </w:rPr>
            </w:pPr>
            <w:r w:rsidRPr="00DD667B">
              <w:rPr>
                <w:rFonts w:eastAsia="Calibri"/>
                <w:lang w:val="en-US"/>
              </w:rPr>
              <w:t>https://unece.org/sites/default/files/2022-04/Hungary_EIA.pdf</w:t>
            </w:r>
          </w:p>
        </w:tc>
      </w:tr>
      <w:tr w:rsidR="00592392" w:rsidRPr="00DD667B" w14:paraId="3EA4C35F" w14:textId="77777777" w:rsidTr="00592392">
        <w:tc>
          <w:tcPr>
            <w:tcW w:w="1342" w:type="dxa"/>
            <w:shd w:val="clear" w:color="auto" w:fill="auto"/>
          </w:tcPr>
          <w:p w14:paraId="4436A75E" w14:textId="77777777" w:rsidR="00705E38" w:rsidRPr="00DD667B" w:rsidRDefault="00705E38" w:rsidP="00DD667B">
            <w:pPr>
              <w:spacing w:before="40" w:after="120"/>
              <w:ind w:right="113"/>
              <w:rPr>
                <w:rFonts w:eastAsia="Calibri"/>
                <w:lang w:val="en-US"/>
              </w:rPr>
            </w:pPr>
            <w:r w:rsidRPr="00DD667B">
              <w:rPr>
                <w:rFonts w:eastAsia="Calibri"/>
                <w:lang w:val="en-US"/>
              </w:rPr>
              <w:t>Lithuania</w:t>
            </w:r>
          </w:p>
        </w:tc>
        <w:tc>
          <w:tcPr>
            <w:tcW w:w="1635" w:type="dxa"/>
            <w:shd w:val="clear" w:color="auto" w:fill="auto"/>
          </w:tcPr>
          <w:p w14:paraId="7FBF99DC" w14:textId="77777777" w:rsidR="00705E38" w:rsidRPr="00DD667B" w:rsidRDefault="00705E38" w:rsidP="00DD667B">
            <w:pPr>
              <w:spacing w:before="40" w:after="120"/>
              <w:ind w:right="113"/>
              <w:rPr>
                <w:rFonts w:eastAsia="Calibri"/>
                <w:lang w:val="en-US"/>
              </w:rPr>
            </w:pPr>
            <w:r w:rsidRPr="00DD667B">
              <w:rPr>
                <w:rFonts w:eastAsia="Calibri"/>
                <w:lang w:val="en-US"/>
              </w:rPr>
              <w:t>Dismantling of nuclear power plant equipment</w:t>
            </w:r>
          </w:p>
        </w:tc>
        <w:tc>
          <w:tcPr>
            <w:tcW w:w="992" w:type="dxa"/>
            <w:shd w:val="clear" w:color="auto" w:fill="auto"/>
          </w:tcPr>
          <w:p w14:paraId="747E8F85" w14:textId="77777777" w:rsidR="00705E38" w:rsidRPr="00DD667B" w:rsidRDefault="00705E38" w:rsidP="00DD667B">
            <w:pPr>
              <w:spacing w:before="40" w:after="120"/>
              <w:ind w:right="113"/>
              <w:rPr>
                <w:rFonts w:eastAsia="Calibri"/>
                <w:lang w:val="en-US"/>
              </w:rPr>
            </w:pPr>
            <w:r w:rsidRPr="00DD667B">
              <w:rPr>
                <w:rFonts w:eastAsia="Calibri"/>
                <w:lang w:val="en-US"/>
              </w:rPr>
              <w:t>02/2020-04/2021</w:t>
            </w:r>
          </w:p>
        </w:tc>
        <w:tc>
          <w:tcPr>
            <w:tcW w:w="1843" w:type="dxa"/>
            <w:shd w:val="clear" w:color="auto" w:fill="auto"/>
          </w:tcPr>
          <w:p w14:paraId="3654D23C" w14:textId="77777777" w:rsidR="00705E38" w:rsidRPr="00DD667B" w:rsidRDefault="00705E38" w:rsidP="00DD667B">
            <w:pPr>
              <w:spacing w:before="40" w:after="120"/>
              <w:ind w:right="113"/>
              <w:rPr>
                <w:rFonts w:eastAsia="Calibri"/>
                <w:lang w:val="en-US"/>
              </w:rPr>
            </w:pPr>
            <w:r w:rsidRPr="00DD667B">
              <w:rPr>
                <w:rFonts w:eastAsia="Calibri"/>
                <w:lang w:val="en-US"/>
              </w:rPr>
              <w:t xml:space="preserve">Consultation under </w:t>
            </w:r>
            <w:r w:rsidR="006C1934" w:rsidRPr="00DD667B">
              <w:rPr>
                <w:rFonts w:eastAsia="Calibri"/>
                <w:lang w:val="en-US"/>
              </w:rPr>
              <w:t>a</w:t>
            </w:r>
            <w:r w:rsidRPr="00DD667B">
              <w:rPr>
                <w:rFonts w:eastAsia="Calibri"/>
                <w:lang w:val="en-US"/>
              </w:rPr>
              <w:t>rticle 5</w:t>
            </w:r>
          </w:p>
          <w:p w14:paraId="6F121771" w14:textId="77777777" w:rsidR="00705E38" w:rsidRPr="00DD667B" w:rsidRDefault="00705E38" w:rsidP="00DD667B">
            <w:pPr>
              <w:spacing w:before="40" w:after="120"/>
              <w:ind w:right="113"/>
              <w:rPr>
                <w:rFonts w:eastAsia="Calibri"/>
                <w:lang w:val="en-US"/>
              </w:rPr>
            </w:pPr>
          </w:p>
        </w:tc>
        <w:tc>
          <w:tcPr>
            <w:tcW w:w="1739" w:type="dxa"/>
            <w:shd w:val="clear" w:color="auto" w:fill="auto"/>
          </w:tcPr>
          <w:p w14:paraId="241A4D7A" w14:textId="77777777" w:rsidR="00705E38" w:rsidRPr="00DD667B" w:rsidRDefault="00705E38" w:rsidP="00DD667B">
            <w:pPr>
              <w:spacing w:before="40" w:after="120"/>
              <w:ind w:right="113"/>
              <w:rPr>
                <w:rFonts w:eastAsia="Calibri"/>
                <w:lang w:val="en-US"/>
              </w:rPr>
            </w:pPr>
            <w:r w:rsidRPr="00DD667B">
              <w:rPr>
                <w:rFonts w:eastAsia="Calibri"/>
                <w:lang w:val="en-US"/>
              </w:rPr>
              <w:t>“A solution [to travel restrictions during pandemic] was found by organizing a remote online meeting via Microsoft Teams, which was acceptable for all stakeholders and can be considered a good practice example……</w:t>
            </w:r>
          </w:p>
          <w:p w14:paraId="201B0BE0" w14:textId="77777777" w:rsidR="00705E38" w:rsidRPr="00DD667B" w:rsidRDefault="00705E38" w:rsidP="00DD667B">
            <w:pPr>
              <w:spacing w:before="40" w:after="120"/>
              <w:ind w:right="113"/>
              <w:rPr>
                <w:rFonts w:eastAsia="Calibri"/>
                <w:lang w:val="en-US"/>
              </w:rPr>
            </w:pPr>
            <w:r w:rsidRPr="00DD667B">
              <w:rPr>
                <w:rFonts w:eastAsia="Calibri"/>
                <w:lang w:val="en-US"/>
              </w:rPr>
              <w:t>We think that this example illustrates that online meetings (bilateral and maybe multilateral) can be a very useful tool in transboundary EIA also during times when we are not threatened by global pandemics”</w:t>
            </w:r>
          </w:p>
        </w:tc>
        <w:tc>
          <w:tcPr>
            <w:tcW w:w="2086" w:type="dxa"/>
            <w:shd w:val="clear" w:color="auto" w:fill="auto"/>
          </w:tcPr>
          <w:p w14:paraId="48A35FF3" w14:textId="77777777" w:rsidR="00705E38" w:rsidRPr="00DD667B" w:rsidRDefault="005D3B71" w:rsidP="00DD667B">
            <w:pPr>
              <w:spacing w:before="40" w:after="120"/>
              <w:ind w:right="113"/>
              <w:rPr>
                <w:rFonts w:eastAsia="Calibri"/>
                <w:lang w:val="en-US"/>
              </w:rPr>
            </w:pPr>
            <w:r w:rsidRPr="00DD667B">
              <w:rPr>
                <w:rFonts w:eastAsia="Calibri"/>
                <w:lang w:val="en-US"/>
              </w:rPr>
              <w:t>https://unece.org/sites/default/files/2022-04/Lithuania_EIA.pdf</w:t>
            </w:r>
          </w:p>
        </w:tc>
      </w:tr>
      <w:tr w:rsidR="00592392" w:rsidRPr="00DD667B" w14:paraId="578FE1C4" w14:textId="77777777" w:rsidTr="00592392">
        <w:tc>
          <w:tcPr>
            <w:tcW w:w="1342" w:type="dxa"/>
            <w:shd w:val="clear" w:color="auto" w:fill="auto"/>
          </w:tcPr>
          <w:p w14:paraId="51E7E209" w14:textId="77777777" w:rsidR="00705E38" w:rsidRPr="00DD667B" w:rsidRDefault="00705E38" w:rsidP="00DD667B">
            <w:pPr>
              <w:spacing w:before="40" w:after="120"/>
              <w:ind w:right="113"/>
              <w:rPr>
                <w:rFonts w:eastAsia="Calibri"/>
                <w:lang w:val="en-US"/>
              </w:rPr>
            </w:pPr>
            <w:r w:rsidRPr="00DD667B">
              <w:rPr>
                <w:rFonts w:eastAsia="Calibri"/>
                <w:lang w:val="en-US"/>
              </w:rPr>
              <w:t>Malta</w:t>
            </w:r>
          </w:p>
        </w:tc>
        <w:tc>
          <w:tcPr>
            <w:tcW w:w="1635" w:type="dxa"/>
            <w:shd w:val="clear" w:color="auto" w:fill="auto"/>
          </w:tcPr>
          <w:p w14:paraId="47D75AE5" w14:textId="77777777" w:rsidR="00705E38" w:rsidRPr="00DD667B" w:rsidRDefault="00705E38" w:rsidP="00DD667B">
            <w:pPr>
              <w:spacing w:before="40" w:after="120"/>
              <w:ind w:right="113"/>
              <w:rPr>
                <w:rFonts w:eastAsia="Calibri"/>
                <w:lang w:val="en-US"/>
              </w:rPr>
            </w:pPr>
            <w:r w:rsidRPr="00DD667B">
              <w:rPr>
                <w:rFonts w:eastAsia="Calibri"/>
                <w:lang w:val="en-US"/>
              </w:rPr>
              <w:t>Gas pipeline interconnection</w:t>
            </w:r>
          </w:p>
        </w:tc>
        <w:tc>
          <w:tcPr>
            <w:tcW w:w="992" w:type="dxa"/>
            <w:shd w:val="clear" w:color="auto" w:fill="auto"/>
          </w:tcPr>
          <w:p w14:paraId="2BC6E50D" w14:textId="77777777" w:rsidR="00705E38" w:rsidRPr="00DD667B" w:rsidRDefault="00705E38" w:rsidP="00DD667B">
            <w:pPr>
              <w:spacing w:before="40" w:after="120"/>
              <w:ind w:right="113"/>
              <w:rPr>
                <w:rFonts w:eastAsia="Calibri"/>
                <w:lang w:val="en-US"/>
              </w:rPr>
            </w:pPr>
            <w:r w:rsidRPr="00DD667B">
              <w:rPr>
                <w:rFonts w:eastAsia="Calibri"/>
                <w:lang w:val="en-US"/>
              </w:rPr>
              <w:t>2018-2021</w:t>
            </w:r>
          </w:p>
        </w:tc>
        <w:tc>
          <w:tcPr>
            <w:tcW w:w="1843" w:type="dxa"/>
            <w:shd w:val="clear" w:color="auto" w:fill="auto"/>
          </w:tcPr>
          <w:p w14:paraId="084DDFBE" w14:textId="77777777" w:rsidR="00705E38" w:rsidRPr="00DD667B" w:rsidRDefault="00705E38" w:rsidP="00DD667B">
            <w:pPr>
              <w:spacing w:before="40" w:after="120"/>
              <w:ind w:right="113"/>
              <w:rPr>
                <w:rFonts w:eastAsia="Calibri"/>
                <w:lang w:val="en-US"/>
              </w:rPr>
            </w:pPr>
            <w:r w:rsidRPr="00DD667B">
              <w:rPr>
                <w:rFonts w:eastAsia="Calibri"/>
                <w:lang w:val="en-US"/>
              </w:rPr>
              <w:t>Notification</w:t>
            </w:r>
          </w:p>
          <w:p w14:paraId="2E8D4275" w14:textId="77777777" w:rsidR="00705E38" w:rsidRPr="00DD667B" w:rsidRDefault="00705E38" w:rsidP="00DD667B">
            <w:pPr>
              <w:spacing w:before="40" w:after="120"/>
              <w:ind w:right="113"/>
              <w:rPr>
                <w:rFonts w:eastAsia="Calibri"/>
                <w:lang w:val="en-US"/>
              </w:rPr>
            </w:pPr>
            <w:r w:rsidRPr="00DD667B">
              <w:rPr>
                <w:rFonts w:eastAsia="Calibri"/>
                <w:lang w:val="en-US"/>
              </w:rPr>
              <w:lastRenderedPageBreak/>
              <w:t>Preparation of EIA documentation</w:t>
            </w:r>
          </w:p>
          <w:p w14:paraId="7C3B5273" w14:textId="77777777" w:rsidR="00705E38" w:rsidRPr="00DD667B" w:rsidRDefault="00705E38" w:rsidP="00DD667B">
            <w:pPr>
              <w:spacing w:before="40" w:after="120"/>
              <w:ind w:right="113"/>
              <w:rPr>
                <w:rFonts w:eastAsia="Calibri"/>
                <w:lang w:val="en-US"/>
              </w:rPr>
            </w:pPr>
            <w:r w:rsidRPr="00DD667B">
              <w:rPr>
                <w:rFonts w:eastAsia="Calibri"/>
                <w:lang w:val="en-US"/>
              </w:rPr>
              <w:t xml:space="preserve">Consultation under </w:t>
            </w:r>
            <w:r w:rsidR="006C1934" w:rsidRPr="00DD667B">
              <w:rPr>
                <w:rFonts w:eastAsia="Calibri"/>
                <w:lang w:val="en-US"/>
              </w:rPr>
              <w:t>a</w:t>
            </w:r>
            <w:r w:rsidRPr="00DD667B">
              <w:rPr>
                <w:rFonts w:eastAsia="Calibri"/>
                <w:lang w:val="en-US"/>
              </w:rPr>
              <w:t>rticle 5</w:t>
            </w:r>
          </w:p>
          <w:p w14:paraId="0AD6FEB7" w14:textId="77777777" w:rsidR="00705E38" w:rsidRPr="00DD667B" w:rsidRDefault="00705E38" w:rsidP="00DD667B">
            <w:pPr>
              <w:spacing w:before="40" w:after="120"/>
              <w:ind w:right="113"/>
              <w:rPr>
                <w:rFonts w:eastAsia="Calibri"/>
                <w:lang w:val="en-US"/>
              </w:rPr>
            </w:pPr>
          </w:p>
        </w:tc>
        <w:tc>
          <w:tcPr>
            <w:tcW w:w="1739" w:type="dxa"/>
            <w:shd w:val="clear" w:color="auto" w:fill="auto"/>
          </w:tcPr>
          <w:p w14:paraId="74F66C8C" w14:textId="77777777" w:rsidR="00705E38" w:rsidRPr="00DD667B" w:rsidRDefault="00705E38" w:rsidP="00DD667B">
            <w:pPr>
              <w:spacing w:before="40" w:after="120"/>
              <w:ind w:right="113"/>
              <w:rPr>
                <w:rFonts w:eastAsia="Calibri"/>
                <w:lang w:val="en-US"/>
              </w:rPr>
            </w:pPr>
            <w:r w:rsidRPr="00DD667B">
              <w:rPr>
                <w:rFonts w:eastAsia="Calibri"/>
                <w:lang w:val="en-US"/>
              </w:rPr>
              <w:lastRenderedPageBreak/>
              <w:t>-</w:t>
            </w:r>
          </w:p>
        </w:tc>
        <w:tc>
          <w:tcPr>
            <w:tcW w:w="2086" w:type="dxa"/>
            <w:shd w:val="clear" w:color="auto" w:fill="auto"/>
          </w:tcPr>
          <w:p w14:paraId="2CAF2E4C" w14:textId="77777777" w:rsidR="00705E38" w:rsidRPr="00DD667B" w:rsidRDefault="005D3B71" w:rsidP="00DD667B">
            <w:pPr>
              <w:spacing w:before="40" w:after="120"/>
              <w:ind w:right="113"/>
              <w:rPr>
                <w:rFonts w:eastAsia="Calibri"/>
                <w:lang w:val="en-US"/>
              </w:rPr>
            </w:pPr>
            <w:r w:rsidRPr="00DD667B">
              <w:rPr>
                <w:rFonts w:eastAsia="Calibri"/>
                <w:lang w:val="en-US"/>
              </w:rPr>
              <w:t>https://unece.org/sites/default/files/2022-05/Malta_EIA.pdf</w:t>
            </w:r>
          </w:p>
        </w:tc>
      </w:tr>
      <w:tr w:rsidR="00592392" w:rsidRPr="00DD667B" w14:paraId="0084FBA3" w14:textId="77777777" w:rsidTr="00592392">
        <w:tc>
          <w:tcPr>
            <w:tcW w:w="1342" w:type="dxa"/>
            <w:shd w:val="clear" w:color="auto" w:fill="auto"/>
          </w:tcPr>
          <w:p w14:paraId="45D4F2F8" w14:textId="77777777" w:rsidR="00705E38" w:rsidRPr="00DD667B" w:rsidRDefault="00705E38" w:rsidP="00DD667B">
            <w:pPr>
              <w:spacing w:before="40" w:after="120"/>
              <w:ind w:right="113"/>
              <w:rPr>
                <w:rFonts w:eastAsia="Calibri"/>
                <w:lang w:val="en-US"/>
              </w:rPr>
            </w:pPr>
            <w:r w:rsidRPr="00DD667B">
              <w:rPr>
                <w:rFonts w:eastAsia="Calibri"/>
                <w:lang w:val="en-US"/>
              </w:rPr>
              <w:t>Montenegro</w:t>
            </w:r>
          </w:p>
          <w:p w14:paraId="1579FAF9" w14:textId="77777777" w:rsidR="00705E38" w:rsidRPr="00DD667B" w:rsidRDefault="00705E38" w:rsidP="00DD667B">
            <w:pPr>
              <w:spacing w:before="40" w:after="120"/>
              <w:ind w:right="113"/>
              <w:rPr>
                <w:rFonts w:eastAsia="Calibri"/>
                <w:lang w:val="en-US"/>
              </w:rPr>
            </w:pPr>
            <w:r w:rsidRPr="00DD667B">
              <w:rPr>
                <w:rFonts w:eastAsia="Calibri"/>
                <w:lang w:val="en-US"/>
              </w:rPr>
              <w:t>(affected Party)</w:t>
            </w:r>
          </w:p>
        </w:tc>
        <w:tc>
          <w:tcPr>
            <w:tcW w:w="1635" w:type="dxa"/>
            <w:shd w:val="clear" w:color="auto" w:fill="auto"/>
          </w:tcPr>
          <w:p w14:paraId="039DE4FF" w14:textId="77777777" w:rsidR="00705E38" w:rsidRPr="00DD667B" w:rsidRDefault="00705E38" w:rsidP="00DD667B">
            <w:pPr>
              <w:spacing w:before="40" w:after="120"/>
              <w:ind w:right="113"/>
              <w:rPr>
                <w:rFonts w:eastAsia="Calibri"/>
                <w:lang w:val="en-US"/>
              </w:rPr>
            </w:pPr>
            <w:r w:rsidRPr="00DD667B">
              <w:rPr>
                <w:rFonts w:eastAsia="Calibri"/>
                <w:lang w:val="en-US"/>
              </w:rPr>
              <w:t>Hydropower plant</w:t>
            </w:r>
          </w:p>
        </w:tc>
        <w:tc>
          <w:tcPr>
            <w:tcW w:w="992" w:type="dxa"/>
            <w:shd w:val="clear" w:color="auto" w:fill="auto"/>
          </w:tcPr>
          <w:p w14:paraId="5B66C980" w14:textId="77777777" w:rsidR="00705E38" w:rsidRPr="00DD667B" w:rsidRDefault="00705E38" w:rsidP="00DD667B">
            <w:pPr>
              <w:spacing w:before="40" w:after="120"/>
              <w:ind w:right="113"/>
              <w:rPr>
                <w:rFonts w:eastAsia="Calibri"/>
                <w:lang w:val="en-US"/>
              </w:rPr>
            </w:pPr>
            <w:r w:rsidRPr="00DD667B">
              <w:rPr>
                <w:rFonts w:eastAsia="Calibri"/>
                <w:lang w:val="en-US"/>
              </w:rPr>
              <w:t>2019</w:t>
            </w:r>
          </w:p>
        </w:tc>
        <w:tc>
          <w:tcPr>
            <w:tcW w:w="1843" w:type="dxa"/>
            <w:shd w:val="clear" w:color="auto" w:fill="auto"/>
          </w:tcPr>
          <w:p w14:paraId="114D1C8D" w14:textId="77777777" w:rsidR="00705E38" w:rsidRPr="00DD667B" w:rsidRDefault="00705E38" w:rsidP="00DD667B">
            <w:pPr>
              <w:spacing w:before="40" w:after="120"/>
              <w:ind w:right="113"/>
              <w:rPr>
                <w:rFonts w:eastAsia="Calibri"/>
                <w:lang w:val="en-US"/>
              </w:rPr>
            </w:pPr>
            <w:r w:rsidRPr="00DD667B">
              <w:rPr>
                <w:rFonts w:eastAsia="Calibri"/>
                <w:lang w:val="en-US"/>
              </w:rPr>
              <w:t>-</w:t>
            </w:r>
          </w:p>
        </w:tc>
        <w:tc>
          <w:tcPr>
            <w:tcW w:w="1739" w:type="dxa"/>
            <w:shd w:val="clear" w:color="auto" w:fill="auto"/>
          </w:tcPr>
          <w:p w14:paraId="564D1A06" w14:textId="77777777" w:rsidR="00705E38" w:rsidRPr="00DD667B" w:rsidRDefault="00705E38" w:rsidP="00DD667B">
            <w:pPr>
              <w:spacing w:before="40" w:after="120"/>
              <w:ind w:right="113"/>
              <w:rPr>
                <w:rFonts w:eastAsia="Calibri"/>
                <w:lang w:val="en-US"/>
              </w:rPr>
            </w:pPr>
            <w:r w:rsidRPr="00DD667B">
              <w:rPr>
                <w:rFonts w:eastAsia="Calibri"/>
                <w:lang w:val="en-US"/>
              </w:rPr>
              <w:t>“We find the entire procedure was not conducted in line with Espoo convention -the new environmental permit means a new transboundary procedure. Based on documentation from 2012, seven years later it was asked to give approval for the mentioned EIA documentation. On final decision Montenegro has had no received information. The new environmental procedure has started in 2019 in neighboring country, with a request of issuing a new environmental permit. The new environmental permit was issued without Montenegro’s participation, without new EIA documentation and without notification on final decision”</w:t>
            </w:r>
          </w:p>
          <w:p w14:paraId="66EC38FC" w14:textId="77777777" w:rsidR="00705E38" w:rsidRPr="00DD667B" w:rsidRDefault="00705E38" w:rsidP="00DD667B">
            <w:pPr>
              <w:spacing w:before="40" w:after="120"/>
              <w:ind w:right="113"/>
              <w:rPr>
                <w:rFonts w:eastAsia="Calibri"/>
                <w:lang w:val="en-US"/>
              </w:rPr>
            </w:pPr>
            <w:r w:rsidRPr="00DD667B">
              <w:rPr>
                <w:rFonts w:eastAsia="Calibri"/>
                <w:lang w:val="en-US"/>
              </w:rPr>
              <w:lastRenderedPageBreak/>
              <w:t>“There is a constant need for further capacity development for all parties involved.”</w:t>
            </w:r>
          </w:p>
        </w:tc>
        <w:tc>
          <w:tcPr>
            <w:tcW w:w="2086" w:type="dxa"/>
            <w:shd w:val="clear" w:color="auto" w:fill="auto"/>
          </w:tcPr>
          <w:p w14:paraId="0F530F77" w14:textId="77777777" w:rsidR="00705E38" w:rsidRPr="00DD667B" w:rsidRDefault="005D3B71" w:rsidP="00DD667B">
            <w:pPr>
              <w:spacing w:before="40" w:after="120"/>
              <w:ind w:right="113"/>
              <w:rPr>
                <w:rFonts w:eastAsia="Calibri"/>
                <w:lang w:val="en-US"/>
              </w:rPr>
            </w:pPr>
            <w:r w:rsidRPr="00DD667B">
              <w:rPr>
                <w:rFonts w:eastAsia="Calibri"/>
                <w:lang w:val="en-US"/>
              </w:rPr>
              <w:lastRenderedPageBreak/>
              <w:t>https://unece.org/sites/default/files/2022-05/Montenegro_EIA.pdf</w:t>
            </w:r>
          </w:p>
        </w:tc>
      </w:tr>
      <w:tr w:rsidR="00592392" w:rsidRPr="00DD667B" w14:paraId="442DA434" w14:textId="77777777" w:rsidTr="00592392">
        <w:tc>
          <w:tcPr>
            <w:tcW w:w="1342" w:type="dxa"/>
            <w:shd w:val="clear" w:color="auto" w:fill="auto"/>
          </w:tcPr>
          <w:p w14:paraId="08B6408F" w14:textId="77777777" w:rsidR="00705E38" w:rsidRPr="00DD667B" w:rsidRDefault="00705E38" w:rsidP="00DD667B">
            <w:pPr>
              <w:spacing w:before="40" w:after="120"/>
              <w:ind w:right="113"/>
              <w:rPr>
                <w:rFonts w:eastAsia="Calibri"/>
                <w:lang w:val="en-US"/>
              </w:rPr>
            </w:pPr>
            <w:r w:rsidRPr="00DD667B">
              <w:rPr>
                <w:rFonts w:eastAsia="Calibri"/>
                <w:lang w:val="en-US"/>
              </w:rPr>
              <w:t>Poland</w:t>
            </w:r>
          </w:p>
        </w:tc>
        <w:tc>
          <w:tcPr>
            <w:tcW w:w="1635" w:type="dxa"/>
            <w:shd w:val="clear" w:color="auto" w:fill="auto"/>
          </w:tcPr>
          <w:p w14:paraId="52D76519" w14:textId="77777777" w:rsidR="00705E38" w:rsidRPr="00DD667B" w:rsidRDefault="00705E38" w:rsidP="00DD667B">
            <w:pPr>
              <w:spacing w:before="40" w:after="120"/>
              <w:ind w:right="113"/>
              <w:rPr>
                <w:rFonts w:eastAsia="Calibri"/>
                <w:lang w:val="en-US"/>
              </w:rPr>
            </w:pPr>
            <w:r w:rsidRPr="00DD667B">
              <w:rPr>
                <w:rFonts w:eastAsia="Calibri"/>
                <w:lang w:val="en-US"/>
              </w:rPr>
              <w:t>Lignite mining</w:t>
            </w:r>
          </w:p>
        </w:tc>
        <w:tc>
          <w:tcPr>
            <w:tcW w:w="992" w:type="dxa"/>
            <w:shd w:val="clear" w:color="auto" w:fill="auto"/>
          </w:tcPr>
          <w:p w14:paraId="2C4E4970" w14:textId="77777777" w:rsidR="00705E38" w:rsidRPr="00DD667B" w:rsidRDefault="00705E38" w:rsidP="00DD667B">
            <w:pPr>
              <w:spacing w:before="40" w:after="120"/>
              <w:ind w:right="113"/>
              <w:rPr>
                <w:rFonts w:eastAsia="Calibri"/>
                <w:lang w:val="en-US"/>
              </w:rPr>
            </w:pPr>
            <w:r w:rsidRPr="00DD667B">
              <w:rPr>
                <w:rFonts w:eastAsia="Calibri"/>
                <w:lang w:val="en-US"/>
              </w:rPr>
              <w:t>4/2015-1/2020</w:t>
            </w:r>
          </w:p>
        </w:tc>
        <w:tc>
          <w:tcPr>
            <w:tcW w:w="1843" w:type="dxa"/>
            <w:shd w:val="clear" w:color="auto" w:fill="auto"/>
          </w:tcPr>
          <w:p w14:paraId="52640549" w14:textId="77777777" w:rsidR="00705E38" w:rsidRPr="00DD667B" w:rsidRDefault="00705E38" w:rsidP="00DD667B">
            <w:pPr>
              <w:spacing w:before="40" w:after="120"/>
              <w:ind w:right="113"/>
              <w:rPr>
                <w:rFonts w:eastAsia="Calibri"/>
                <w:lang w:val="en-US"/>
              </w:rPr>
            </w:pPr>
            <w:r w:rsidRPr="00DD667B">
              <w:rPr>
                <w:rFonts w:eastAsia="Calibri"/>
                <w:lang w:val="en-US"/>
              </w:rPr>
              <w:t>Notification</w:t>
            </w:r>
          </w:p>
          <w:p w14:paraId="622B92D1" w14:textId="77777777" w:rsidR="00705E38" w:rsidRPr="00DD667B" w:rsidRDefault="00705E38" w:rsidP="00DD667B">
            <w:pPr>
              <w:spacing w:before="40" w:after="120"/>
              <w:ind w:right="113"/>
              <w:rPr>
                <w:rFonts w:eastAsia="Calibri"/>
                <w:lang w:val="en-US"/>
              </w:rPr>
            </w:pPr>
            <w:r w:rsidRPr="00DD667B">
              <w:rPr>
                <w:rFonts w:eastAsia="Calibri"/>
                <w:lang w:val="en-US"/>
              </w:rPr>
              <w:t>Preparation of EIA documentation</w:t>
            </w:r>
          </w:p>
          <w:p w14:paraId="3CAC38D6" w14:textId="77777777" w:rsidR="00705E38" w:rsidRPr="00DD667B" w:rsidRDefault="00705E38" w:rsidP="00DD667B">
            <w:pPr>
              <w:spacing w:before="40" w:after="120"/>
              <w:ind w:right="113"/>
              <w:rPr>
                <w:rFonts w:eastAsia="Calibri"/>
                <w:lang w:val="en-US"/>
              </w:rPr>
            </w:pPr>
            <w:r w:rsidRPr="00DD667B">
              <w:rPr>
                <w:rFonts w:eastAsia="Calibri"/>
                <w:lang w:val="en-US"/>
              </w:rPr>
              <w:t xml:space="preserve">Consultation under </w:t>
            </w:r>
            <w:r w:rsidR="006C1934" w:rsidRPr="00DD667B">
              <w:rPr>
                <w:rFonts w:eastAsia="Calibri"/>
                <w:lang w:val="en-US"/>
              </w:rPr>
              <w:t>a</w:t>
            </w:r>
            <w:r w:rsidRPr="00DD667B">
              <w:rPr>
                <w:rFonts w:eastAsia="Calibri"/>
                <w:lang w:val="en-US"/>
              </w:rPr>
              <w:t>rticle 5</w:t>
            </w:r>
          </w:p>
          <w:p w14:paraId="360D4C93" w14:textId="77777777" w:rsidR="00705E38" w:rsidRPr="00DD667B" w:rsidRDefault="00705E38" w:rsidP="00DD667B">
            <w:pPr>
              <w:spacing w:before="40" w:after="120"/>
              <w:ind w:right="113"/>
              <w:rPr>
                <w:rFonts w:eastAsia="Calibri"/>
                <w:lang w:val="en-US"/>
              </w:rPr>
            </w:pPr>
            <w:r w:rsidRPr="00DD667B">
              <w:rPr>
                <w:rFonts w:eastAsia="Calibri"/>
                <w:lang w:val="en-US"/>
              </w:rPr>
              <w:t>Final decision</w:t>
            </w:r>
          </w:p>
          <w:p w14:paraId="373F6D48" w14:textId="77777777" w:rsidR="00705E38" w:rsidRPr="00DD667B" w:rsidRDefault="00705E38" w:rsidP="00DD667B">
            <w:pPr>
              <w:spacing w:before="40" w:after="120"/>
              <w:ind w:right="113"/>
              <w:rPr>
                <w:rFonts w:eastAsia="Calibri"/>
                <w:lang w:val="en-US"/>
              </w:rPr>
            </w:pPr>
            <w:r w:rsidRPr="00DD667B">
              <w:rPr>
                <w:rFonts w:eastAsia="Calibri"/>
                <w:lang w:val="en-US"/>
              </w:rPr>
              <w:t>Post-project monitoring</w:t>
            </w:r>
          </w:p>
        </w:tc>
        <w:tc>
          <w:tcPr>
            <w:tcW w:w="1739" w:type="dxa"/>
            <w:shd w:val="clear" w:color="auto" w:fill="auto"/>
          </w:tcPr>
          <w:p w14:paraId="175040BF" w14:textId="77777777" w:rsidR="00705E38" w:rsidRPr="00DD667B" w:rsidRDefault="00705E38" w:rsidP="00DD667B">
            <w:pPr>
              <w:spacing w:before="40" w:after="120"/>
              <w:ind w:right="113"/>
              <w:rPr>
                <w:rFonts w:eastAsia="Calibri"/>
                <w:lang w:val="en-US"/>
              </w:rPr>
            </w:pPr>
            <w:r w:rsidRPr="00DD667B">
              <w:rPr>
                <w:rFonts w:eastAsia="Calibri"/>
                <w:lang w:val="en-US"/>
              </w:rPr>
              <w:t>“[I]n opinion of the Polish Party it is important that during transboundary consultations pursuant to article 5 of the Espoo Convention governmental authorities are present together with specialists from different environmental fields”</w:t>
            </w:r>
          </w:p>
          <w:p w14:paraId="7CD08DD7" w14:textId="77777777" w:rsidR="00705E38" w:rsidRPr="00DD667B" w:rsidRDefault="00705E38" w:rsidP="00DD667B">
            <w:pPr>
              <w:spacing w:before="40" w:after="120"/>
              <w:ind w:right="113"/>
              <w:rPr>
                <w:rFonts w:eastAsia="Calibri"/>
                <w:lang w:val="en-US"/>
              </w:rPr>
            </w:pPr>
            <w:r w:rsidRPr="00DD667B">
              <w:rPr>
                <w:rFonts w:eastAsia="Calibri"/>
                <w:lang w:val="en-US"/>
              </w:rPr>
              <w:t>“Experience of the Polish Party shows that when EIA decision is being issued, it should be announced to the Affected Party at the earliest convenience, even though the translation of the decision is not yet available. Such approach builds trust between Parties”</w:t>
            </w:r>
          </w:p>
          <w:p w14:paraId="67DE629F" w14:textId="77777777" w:rsidR="00705E38" w:rsidRPr="00DD667B" w:rsidRDefault="00705E38" w:rsidP="00DD667B">
            <w:pPr>
              <w:spacing w:before="40" w:after="120"/>
              <w:ind w:right="113"/>
              <w:rPr>
                <w:rFonts w:eastAsia="Calibri"/>
                <w:lang w:val="en-US"/>
              </w:rPr>
            </w:pPr>
            <w:r w:rsidRPr="00DD667B">
              <w:rPr>
                <w:rFonts w:eastAsia="Calibri"/>
                <w:lang w:val="en-US"/>
              </w:rPr>
              <w:t xml:space="preserve">“It is important to involve in the procedure interpreters with experience of translations for a similar type of project or to provide additional time for them to </w:t>
            </w:r>
            <w:r w:rsidRPr="00DD667B">
              <w:rPr>
                <w:rFonts w:eastAsia="Calibri"/>
                <w:lang w:val="en-US"/>
              </w:rPr>
              <w:lastRenderedPageBreak/>
              <w:t>prepare in advance.</w:t>
            </w:r>
            <w:r w:rsidR="006C1934" w:rsidRPr="00DD667B">
              <w:rPr>
                <w:rFonts w:eastAsia="Calibri"/>
                <w:lang w:val="en-US"/>
              </w:rPr>
              <w:t xml:space="preserve"> It would be ideal</w:t>
            </w:r>
            <w:r w:rsidRPr="00DD667B">
              <w:rPr>
                <w:rFonts w:eastAsia="Calibri"/>
                <w:lang w:val="en-US"/>
              </w:rPr>
              <w:t xml:space="preserve"> to include the same interpreters along whole EIA procedure until the issuance of the decision and its translation”</w:t>
            </w:r>
          </w:p>
        </w:tc>
        <w:tc>
          <w:tcPr>
            <w:tcW w:w="2086" w:type="dxa"/>
            <w:shd w:val="clear" w:color="auto" w:fill="auto"/>
          </w:tcPr>
          <w:p w14:paraId="597A4ECB" w14:textId="77777777" w:rsidR="00705E38" w:rsidRPr="00DD667B" w:rsidRDefault="005D3B71" w:rsidP="00DD667B">
            <w:pPr>
              <w:spacing w:before="40" w:after="120"/>
              <w:ind w:right="113"/>
              <w:rPr>
                <w:rFonts w:eastAsia="Calibri"/>
                <w:lang w:val="en-US"/>
              </w:rPr>
            </w:pPr>
            <w:r w:rsidRPr="00DD667B">
              <w:rPr>
                <w:rFonts w:eastAsia="Calibri"/>
                <w:lang w:val="en-US"/>
              </w:rPr>
              <w:lastRenderedPageBreak/>
              <w:t>https://unece.org/sites/default/files/2022-05/Poland_EIA.pdf</w:t>
            </w:r>
          </w:p>
        </w:tc>
      </w:tr>
      <w:tr w:rsidR="00592392" w:rsidRPr="00DD667B" w14:paraId="6B27D266" w14:textId="77777777" w:rsidTr="00592392">
        <w:tc>
          <w:tcPr>
            <w:tcW w:w="1342" w:type="dxa"/>
            <w:shd w:val="clear" w:color="auto" w:fill="auto"/>
          </w:tcPr>
          <w:p w14:paraId="26012C4B" w14:textId="77777777" w:rsidR="00705E38" w:rsidRPr="00DD667B" w:rsidRDefault="00705E38" w:rsidP="00DD667B">
            <w:pPr>
              <w:spacing w:before="40" w:after="120"/>
              <w:ind w:right="113"/>
              <w:rPr>
                <w:rFonts w:eastAsia="Calibri"/>
                <w:lang w:val="en-US"/>
              </w:rPr>
            </w:pPr>
            <w:r w:rsidRPr="00DD667B">
              <w:rPr>
                <w:rFonts w:eastAsia="Calibri"/>
                <w:lang w:val="en-US"/>
              </w:rPr>
              <w:t>Moldova</w:t>
            </w:r>
          </w:p>
          <w:p w14:paraId="160D0514" w14:textId="77777777" w:rsidR="00705E38" w:rsidRPr="00DD667B" w:rsidRDefault="00705E38" w:rsidP="00DD667B">
            <w:pPr>
              <w:spacing w:before="40" w:after="120"/>
              <w:ind w:right="113"/>
              <w:rPr>
                <w:rFonts w:eastAsia="Calibri"/>
                <w:lang w:val="en-US"/>
              </w:rPr>
            </w:pPr>
            <w:r w:rsidRPr="00DD667B">
              <w:rPr>
                <w:rFonts w:eastAsia="Calibri"/>
                <w:lang w:val="en-US"/>
              </w:rPr>
              <w:t>(affected party)</w:t>
            </w:r>
          </w:p>
        </w:tc>
        <w:tc>
          <w:tcPr>
            <w:tcW w:w="1635" w:type="dxa"/>
            <w:shd w:val="clear" w:color="auto" w:fill="auto"/>
          </w:tcPr>
          <w:p w14:paraId="0C887CDA" w14:textId="77777777" w:rsidR="00705E38" w:rsidRPr="00DD667B" w:rsidRDefault="00705E38" w:rsidP="00DD667B">
            <w:pPr>
              <w:spacing w:before="40" w:after="120"/>
              <w:ind w:right="113"/>
              <w:rPr>
                <w:rFonts w:eastAsia="Calibri"/>
                <w:lang w:val="en-US"/>
              </w:rPr>
            </w:pPr>
            <w:r w:rsidRPr="00DD667B">
              <w:rPr>
                <w:rFonts w:eastAsia="Calibri"/>
                <w:lang w:val="en-US"/>
              </w:rPr>
              <w:t>Heavy water</w:t>
            </w:r>
            <w:r w:rsidRPr="00DD667B">
              <w:rPr>
                <w:rFonts w:eastAsia="Calibri"/>
              </w:rPr>
              <w:t xml:space="preserve"> d</w:t>
            </w:r>
            <w:r w:rsidRPr="00DD667B">
              <w:rPr>
                <w:rFonts w:eastAsia="Calibri"/>
                <w:lang w:val="en-US"/>
              </w:rPr>
              <w:t>etritiation plant</w:t>
            </w:r>
          </w:p>
        </w:tc>
        <w:tc>
          <w:tcPr>
            <w:tcW w:w="992" w:type="dxa"/>
            <w:shd w:val="clear" w:color="auto" w:fill="auto"/>
          </w:tcPr>
          <w:p w14:paraId="6B2A6D97" w14:textId="77777777" w:rsidR="00705E38" w:rsidRPr="00DD667B" w:rsidRDefault="00705E38" w:rsidP="00DD667B">
            <w:pPr>
              <w:spacing w:before="40" w:after="120"/>
              <w:ind w:right="113"/>
              <w:rPr>
                <w:rFonts w:eastAsia="Calibri"/>
                <w:lang w:val="en-US"/>
              </w:rPr>
            </w:pPr>
            <w:r w:rsidRPr="00DD667B">
              <w:rPr>
                <w:rFonts w:eastAsia="Calibri"/>
                <w:lang w:val="en-US"/>
              </w:rPr>
              <w:t xml:space="preserve">10/2019-11/2019 </w:t>
            </w:r>
          </w:p>
        </w:tc>
        <w:tc>
          <w:tcPr>
            <w:tcW w:w="1843" w:type="dxa"/>
            <w:shd w:val="clear" w:color="auto" w:fill="auto"/>
          </w:tcPr>
          <w:p w14:paraId="55BB351D" w14:textId="77777777" w:rsidR="00705E38" w:rsidRPr="00DD667B" w:rsidRDefault="00705E38" w:rsidP="00DD667B">
            <w:pPr>
              <w:spacing w:before="40" w:after="120"/>
              <w:ind w:right="113"/>
              <w:rPr>
                <w:rFonts w:eastAsia="Calibri"/>
                <w:lang w:val="en-US"/>
              </w:rPr>
            </w:pPr>
            <w:r w:rsidRPr="00DD667B">
              <w:rPr>
                <w:rFonts w:eastAsia="Calibri"/>
                <w:lang w:val="en-US"/>
              </w:rPr>
              <w:t>-</w:t>
            </w:r>
          </w:p>
        </w:tc>
        <w:tc>
          <w:tcPr>
            <w:tcW w:w="1739" w:type="dxa"/>
            <w:shd w:val="clear" w:color="auto" w:fill="auto"/>
          </w:tcPr>
          <w:p w14:paraId="09F16BBC" w14:textId="77777777" w:rsidR="00705E38" w:rsidRPr="00DD667B" w:rsidRDefault="00705E38" w:rsidP="00DD667B">
            <w:pPr>
              <w:spacing w:before="40" w:after="120"/>
              <w:ind w:right="113"/>
              <w:rPr>
                <w:rFonts w:eastAsia="Calibri"/>
                <w:lang w:val="en-US"/>
              </w:rPr>
            </w:pPr>
            <w:r w:rsidRPr="00DD667B">
              <w:rPr>
                <w:rFonts w:eastAsia="Calibri"/>
                <w:lang w:val="en-US"/>
              </w:rPr>
              <w:t>-</w:t>
            </w:r>
          </w:p>
        </w:tc>
        <w:tc>
          <w:tcPr>
            <w:tcW w:w="2086" w:type="dxa"/>
            <w:shd w:val="clear" w:color="auto" w:fill="auto"/>
          </w:tcPr>
          <w:p w14:paraId="0DBEC8BE" w14:textId="77777777" w:rsidR="00705E38" w:rsidRPr="00DD667B" w:rsidRDefault="005D3B71" w:rsidP="00DD667B">
            <w:pPr>
              <w:spacing w:before="40" w:after="120"/>
              <w:ind w:right="113"/>
              <w:rPr>
                <w:rFonts w:eastAsia="Calibri"/>
                <w:lang w:val="en-US"/>
              </w:rPr>
            </w:pPr>
            <w:r w:rsidRPr="00DD667B">
              <w:rPr>
                <w:rFonts w:eastAsia="Calibri"/>
                <w:lang w:val="en-US"/>
              </w:rPr>
              <w:t>https://unece.org/sites/default/files/2022-04/Moldova_EIA_eng.pdf</w:t>
            </w:r>
          </w:p>
        </w:tc>
      </w:tr>
      <w:tr w:rsidR="00592392" w:rsidRPr="00DD667B" w14:paraId="107E8F3E" w14:textId="77777777" w:rsidTr="00592392">
        <w:tc>
          <w:tcPr>
            <w:tcW w:w="1342" w:type="dxa"/>
            <w:shd w:val="clear" w:color="auto" w:fill="auto"/>
          </w:tcPr>
          <w:p w14:paraId="71BF87CA" w14:textId="77777777" w:rsidR="00705E38" w:rsidRPr="00DD667B" w:rsidRDefault="00705E38" w:rsidP="00DD667B">
            <w:pPr>
              <w:spacing w:before="40" w:after="120"/>
              <w:ind w:right="113"/>
              <w:rPr>
                <w:rFonts w:eastAsia="Calibri"/>
                <w:lang w:val="en-US"/>
              </w:rPr>
            </w:pPr>
            <w:r w:rsidRPr="00DD667B">
              <w:rPr>
                <w:rFonts w:eastAsia="Calibri"/>
                <w:lang w:val="en-US"/>
              </w:rPr>
              <w:t>Romania</w:t>
            </w:r>
          </w:p>
        </w:tc>
        <w:tc>
          <w:tcPr>
            <w:tcW w:w="1635" w:type="dxa"/>
            <w:shd w:val="clear" w:color="auto" w:fill="auto"/>
          </w:tcPr>
          <w:p w14:paraId="5BC95095" w14:textId="77777777" w:rsidR="00705E38" w:rsidRPr="00DD667B" w:rsidRDefault="00705E38" w:rsidP="00DD667B">
            <w:pPr>
              <w:spacing w:before="40" w:after="120"/>
              <w:ind w:right="113"/>
              <w:rPr>
                <w:rFonts w:eastAsia="Calibri"/>
                <w:lang w:val="en-US"/>
              </w:rPr>
            </w:pPr>
            <w:r w:rsidRPr="00DD667B">
              <w:rPr>
                <w:rFonts w:eastAsia="Calibri"/>
                <w:lang w:val="en-US"/>
              </w:rPr>
              <w:t>Waste oil recycling Plant</w:t>
            </w:r>
          </w:p>
        </w:tc>
        <w:tc>
          <w:tcPr>
            <w:tcW w:w="992" w:type="dxa"/>
            <w:shd w:val="clear" w:color="auto" w:fill="auto"/>
          </w:tcPr>
          <w:p w14:paraId="55255C3D" w14:textId="77777777" w:rsidR="00705E38" w:rsidRPr="00DD667B" w:rsidRDefault="00705E38" w:rsidP="00DD667B">
            <w:pPr>
              <w:spacing w:before="40" w:after="120"/>
              <w:ind w:right="113"/>
              <w:rPr>
                <w:rFonts w:eastAsia="Calibri"/>
                <w:lang w:val="en-US"/>
              </w:rPr>
            </w:pPr>
            <w:r w:rsidRPr="00DD667B">
              <w:rPr>
                <w:rFonts w:eastAsia="Calibri"/>
                <w:lang w:val="en-US"/>
              </w:rPr>
              <w:t>2018-2019</w:t>
            </w:r>
          </w:p>
        </w:tc>
        <w:tc>
          <w:tcPr>
            <w:tcW w:w="1843" w:type="dxa"/>
            <w:shd w:val="clear" w:color="auto" w:fill="auto"/>
          </w:tcPr>
          <w:p w14:paraId="15507085" w14:textId="77777777" w:rsidR="00705E38" w:rsidRPr="00DD667B" w:rsidRDefault="00705E38" w:rsidP="00DD667B">
            <w:pPr>
              <w:spacing w:before="40" w:after="120"/>
              <w:ind w:right="113"/>
              <w:rPr>
                <w:rFonts w:eastAsia="Calibri"/>
                <w:lang w:val="en-US"/>
              </w:rPr>
            </w:pPr>
            <w:r w:rsidRPr="00DD667B">
              <w:rPr>
                <w:rFonts w:eastAsia="Calibri"/>
                <w:lang w:val="en-US"/>
              </w:rPr>
              <w:t>Preparation of EIA documentation</w:t>
            </w:r>
          </w:p>
        </w:tc>
        <w:tc>
          <w:tcPr>
            <w:tcW w:w="1739" w:type="dxa"/>
            <w:shd w:val="clear" w:color="auto" w:fill="auto"/>
          </w:tcPr>
          <w:p w14:paraId="49F9686C" w14:textId="77777777" w:rsidR="00705E38" w:rsidRPr="00DD667B" w:rsidRDefault="00705E38" w:rsidP="00DD667B">
            <w:pPr>
              <w:spacing w:before="40" w:after="120"/>
              <w:ind w:right="113"/>
              <w:rPr>
                <w:rFonts w:eastAsia="Calibri"/>
                <w:lang w:val="en-US"/>
              </w:rPr>
            </w:pPr>
            <w:r w:rsidRPr="00DD667B">
              <w:rPr>
                <w:rFonts w:eastAsia="Calibri"/>
                <w:lang w:val="en-US"/>
              </w:rPr>
              <w:t>“The transboundary consultations held with the Bulgarian party has improved the quality of the EIA study (by elaborating the Noise Level Assessment study and Noise Propagation maps).”</w:t>
            </w:r>
          </w:p>
        </w:tc>
        <w:tc>
          <w:tcPr>
            <w:tcW w:w="2086" w:type="dxa"/>
            <w:shd w:val="clear" w:color="auto" w:fill="auto"/>
          </w:tcPr>
          <w:p w14:paraId="0027C35E" w14:textId="77777777" w:rsidR="00705E38" w:rsidRPr="00DD667B" w:rsidRDefault="005D3B71" w:rsidP="00DD667B">
            <w:pPr>
              <w:spacing w:before="40" w:after="120"/>
              <w:ind w:right="113"/>
              <w:rPr>
                <w:rFonts w:eastAsia="Calibri"/>
                <w:lang w:val="en-US"/>
              </w:rPr>
            </w:pPr>
            <w:r w:rsidRPr="00DD667B">
              <w:rPr>
                <w:rFonts w:eastAsia="Calibri"/>
                <w:lang w:val="en-US"/>
              </w:rPr>
              <w:t>https://unece.org/sites/default/files/2022-04/Romania_EIA.pdf</w:t>
            </w:r>
          </w:p>
        </w:tc>
      </w:tr>
      <w:tr w:rsidR="00592392" w:rsidRPr="00DD667B" w14:paraId="57AA9492" w14:textId="77777777" w:rsidTr="00592392">
        <w:tc>
          <w:tcPr>
            <w:tcW w:w="1342" w:type="dxa"/>
            <w:shd w:val="clear" w:color="auto" w:fill="auto"/>
          </w:tcPr>
          <w:p w14:paraId="624A09CD" w14:textId="77777777" w:rsidR="00705E38" w:rsidRPr="00DD667B" w:rsidRDefault="00705E38" w:rsidP="00DD667B">
            <w:pPr>
              <w:spacing w:before="40" w:after="120"/>
              <w:ind w:right="113"/>
              <w:rPr>
                <w:rFonts w:eastAsia="Calibri"/>
                <w:lang w:val="en-US"/>
              </w:rPr>
            </w:pPr>
            <w:r w:rsidRPr="00DD667B">
              <w:rPr>
                <w:rFonts w:eastAsia="Calibri"/>
                <w:lang w:val="en-US"/>
              </w:rPr>
              <w:t>Slovenia</w:t>
            </w:r>
          </w:p>
        </w:tc>
        <w:tc>
          <w:tcPr>
            <w:tcW w:w="1635" w:type="dxa"/>
            <w:shd w:val="clear" w:color="auto" w:fill="auto"/>
          </w:tcPr>
          <w:p w14:paraId="4D66E23B" w14:textId="77777777" w:rsidR="00705E38" w:rsidRPr="00DD667B" w:rsidRDefault="00705E38" w:rsidP="00DD667B">
            <w:pPr>
              <w:spacing w:before="40" w:after="120"/>
              <w:ind w:right="113"/>
              <w:rPr>
                <w:rFonts w:eastAsia="Calibri"/>
                <w:lang w:val="en-US"/>
              </w:rPr>
            </w:pPr>
            <w:r w:rsidRPr="00DD667B">
              <w:rPr>
                <w:rFonts w:eastAsia="Calibri"/>
                <w:lang w:val="en-US"/>
              </w:rPr>
              <w:t>Radioactive waste storage</w:t>
            </w:r>
          </w:p>
        </w:tc>
        <w:tc>
          <w:tcPr>
            <w:tcW w:w="992" w:type="dxa"/>
            <w:shd w:val="clear" w:color="auto" w:fill="auto"/>
          </w:tcPr>
          <w:p w14:paraId="7F01DEE6" w14:textId="77777777" w:rsidR="00705E38" w:rsidRPr="00DD667B" w:rsidRDefault="00705E38" w:rsidP="00DD667B">
            <w:pPr>
              <w:spacing w:before="40" w:after="120"/>
              <w:ind w:right="113"/>
              <w:rPr>
                <w:rFonts w:eastAsia="Calibri"/>
                <w:lang w:val="en-US"/>
              </w:rPr>
            </w:pPr>
            <w:r w:rsidRPr="00DD667B">
              <w:rPr>
                <w:rFonts w:eastAsia="Calibri"/>
                <w:lang w:val="en-US"/>
              </w:rPr>
              <w:t>-</w:t>
            </w:r>
          </w:p>
        </w:tc>
        <w:tc>
          <w:tcPr>
            <w:tcW w:w="1843" w:type="dxa"/>
            <w:shd w:val="clear" w:color="auto" w:fill="auto"/>
          </w:tcPr>
          <w:p w14:paraId="05D12C39" w14:textId="77777777" w:rsidR="00705E38" w:rsidRPr="00DD667B" w:rsidRDefault="00705E38" w:rsidP="00DD667B">
            <w:pPr>
              <w:spacing w:before="40" w:after="120"/>
              <w:ind w:right="113"/>
              <w:rPr>
                <w:rFonts w:eastAsia="Calibri"/>
                <w:lang w:val="en-US"/>
              </w:rPr>
            </w:pPr>
            <w:r w:rsidRPr="00DD667B">
              <w:rPr>
                <w:rFonts w:eastAsia="Calibri"/>
                <w:lang w:val="en-US"/>
              </w:rPr>
              <w:t>Notification</w:t>
            </w:r>
          </w:p>
          <w:p w14:paraId="449A3430" w14:textId="77777777" w:rsidR="00705E38" w:rsidRPr="00DD667B" w:rsidRDefault="00705E38" w:rsidP="00DD667B">
            <w:pPr>
              <w:spacing w:before="40" w:after="120"/>
              <w:ind w:right="113"/>
              <w:rPr>
                <w:rFonts w:eastAsia="Calibri"/>
                <w:lang w:val="en-US"/>
              </w:rPr>
            </w:pPr>
            <w:r w:rsidRPr="00DD667B">
              <w:rPr>
                <w:rFonts w:eastAsia="Calibri"/>
                <w:lang w:val="en-US"/>
              </w:rPr>
              <w:t>Preparation of EIA documentation</w:t>
            </w:r>
          </w:p>
          <w:p w14:paraId="6AD0F917" w14:textId="77777777" w:rsidR="00705E38" w:rsidRPr="00DD667B" w:rsidRDefault="00705E38" w:rsidP="00DD667B">
            <w:pPr>
              <w:spacing w:before="40" w:after="120"/>
              <w:ind w:right="113"/>
              <w:rPr>
                <w:rFonts w:eastAsia="Calibri"/>
                <w:lang w:val="en-US"/>
              </w:rPr>
            </w:pPr>
            <w:r w:rsidRPr="00DD667B">
              <w:rPr>
                <w:rFonts w:eastAsia="Calibri"/>
                <w:lang w:val="en-US"/>
              </w:rPr>
              <w:t xml:space="preserve">Consultation under </w:t>
            </w:r>
            <w:r w:rsidR="006C1934" w:rsidRPr="00DD667B">
              <w:rPr>
                <w:rFonts w:eastAsia="Calibri"/>
                <w:lang w:val="en-US"/>
              </w:rPr>
              <w:t>a</w:t>
            </w:r>
            <w:r w:rsidRPr="00DD667B">
              <w:rPr>
                <w:rFonts w:eastAsia="Calibri"/>
                <w:lang w:val="en-US"/>
              </w:rPr>
              <w:t>rticle 5</w:t>
            </w:r>
          </w:p>
        </w:tc>
        <w:tc>
          <w:tcPr>
            <w:tcW w:w="1739" w:type="dxa"/>
            <w:shd w:val="clear" w:color="auto" w:fill="auto"/>
          </w:tcPr>
          <w:p w14:paraId="6DF0D785" w14:textId="77777777" w:rsidR="00705E38" w:rsidRPr="00DD667B" w:rsidRDefault="00705E38" w:rsidP="00DD667B">
            <w:pPr>
              <w:spacing w:before="40" w:after="120"/>
              <w:ind w:right="113"/>
              <w:rPr>
                <w:rFonts w:eastAsia="Calibri"/>
                <w:lang w:val="en-US"/>
              </w:rPr>
            </w:pPr>
            <w:r w:rsidRPr="00DD667B">
              <w:rPr>
                <w:rFonts w:eastAsia="Calibri"/>
                <w:lang w:val="en-US"/>
              </w:rPr>
              <w:t>“Very early notification and appropriate time</w:t>
            </w:r>
          </w:p>
          <w:p w14:paraId="4B89065F" w14:textId="77777777" w:rsidR="00705E38" w:rsidRPr="00DD667B" w:rsidRDefault="00705E38" w:rsidP="00DD667B">
            <w:pPr>
              <w:spacing w:before="40" w:after="120"/>
              <w:ind w:right="113"/>
              <w:rPr>
                <w:rFonts w:eastAsia="Calibri"/>
                <w:lang w:val="en-US"/>
              </w:rPr>
            </w:pPr>
            <w:r w:rsidRPr="00DD667B">
              <w:rPr>
                <w:rFonts w:eastAsia="Calibri"/>
                <w:lang w:val="en-US"/>
              </w:rPr>
              <w:t>for consultation as the minimum three months”</w:t>
            </w:r>
          </w:p>
          <w:p w14:paraId="62C64A7E" w14:textId="77777777" w:rsidR="00705E38" w:rsidRPr="00DD667B" w:rsidRDefault="00705E38" w:rsidP="00DD667B">
            <w:pPr>
              <w:spacing w:before="40" w:after="120"/>
              <w:ind w:right="113"/>
              <w:rPr>
                <w:rFonts w:eastAsia="Calibri"/>
                <w:lang w:val="en-US"/>
              </w:rPr>
            </w:pPr>
          </w:p>
        </w:tc>
        <w:tc>
          <w:tcPr>
            <w:tcW w:w="2086" w:type="dxa"/>
            <w:shd w:val="clear" w:color="auto" w:fill="auto"/>
          </w:tcPr>
          <w:p w14:paraId="6C24B7C3" w14:textId="77777777" w:rsidR="00705E38" w:rsidRPr="00DD667B" w:rsidRDefault="005D3B71" w:rsidP="00DD667B">
            <w:pPr>
              <w:spacing w:before="40" w:after="120"/>
              <w:ind w:right="113"/>
              <w:rPr>
                <w:rFonts w:eastAsia="Calibri"/>
                <w:lang w:val="en-US"/>
              </w:rPr>
            </w:pPr>
            <w:r w:rsidRPr="00DD667B">
              <w:rPr>
                <w:rFonts w:eastAsia="Calibri"/>
                <w:lang w:val="en-US"/>
              </w:rPr>
              <w:t>https://unece.org/sites/default/files/2022-06/Slovenia_EIA.pdf</w:t>
            </w:r>
          </w:p>
        </w:tc>
      </w:tr>
      <w:tr w:rsidR="00592392" w:rsidRPr="00DD667B" w14:paraId="52D9342C" w14:textId="77777777" w:rsidTr="00592392">
        <w:tc>
          <w:tcPr>
            <w:tcW w:w="1342" w:type="dxa"/>
            <w:shd w:val="clear" w:color="auto" w:fill="auto"/>
          </w:tcPr>
          <w:p w14:paraId="4612920F" w14:textId="77777777" w:rsidR="00705E38" w:rsidRPr="00DD667B" w:rsidRDefault="00705E38" w:rsidP="00DD667B">
            <w:pPr>
              <w:spacing w:before="40" w:after="120"/>
              <w:ind w:right="113"/>
              <w:rPr>
                <w:rFonts w:eastAsia="Calibri"/>
                <w:lang w:val="en-US"/>
              </w:rPr>
            </w:pPr>
            <w:r w:rsidRPr="00DD667B">
              <w:rPr>
                <w:rFonts w:eastAsia="Calibri"/>
                <w:lang w:val="en-US"/>
              </w:rPr>
              <w:t>Spain</w:t>
            </w:r>
            <w:r w:rsidRPr="00DD667B">
              <w:rPr>
                <w:rFonts w:eastAsia="Calibri"/>
                <w:lang w:val="en-US"/>
              </w:rPr>
              <w:br/>
              <w:t>(affected Party)</w:t>
            </w:r>
          </w:p>
        </w:tc>
        <w:tc>
          <w:tcPr>
            <w:tcW w:w="1635" w:type="dxa"/>
            <w:shd w:val="clear" w:color="auto" w:fill="auto"/>
          </w:tcPr>
          <w:p w14:paraId="517A2E4D" w14:textId="77777777" w:rsidR="00705E38" w:rsidRPr="00DD667B" w:rsidRDefault="00705E38" w:rsidP="00DD667B">
            <w:pPr>
              <w:spacing w:before="40" w:after="120"/>
              <w:ind w:right="113"/>
              <w:rPr>
                <w:rFonts w:eastAsia="Calibri"/>
                <w:lang w:val="en-US"/>
              </w:rPr>
            </w:pPr>
            <w:r w:rsidRPr="00DD667B">
              <w:rPr>
                <w:rFonts w:eastAsia="Calibri"/>
                <w:lang w:val="en-US"/>
              </w:rPr>
              <w:t>Amplification Barroso mine</w:t>
            </w:r>
          </w:p>
        </w:tc>
        <w:tc>
          <w:tcPr>
            <w:tcW w:w="992" w:type="dxa"/>
            <w:shd w:val="clear" w:color="auto" w:fill="auto"/>
          </w:tcPr>
          <w:p w14:paraId="574F2C8B" w14:textId="77777777" w:rsidR="00705E38" w:rsidRPr="00DD667B" w:rsidRDefault="00705E38" w:rsidP="00DD667B">
            <w:pPr>
              <w:spacing w:before="40" w:after="120"/>
              <w:ind w:right="113"/>
              <w:rPr>
                <w:rFonts w:eastAsia="Calibri"/>
                <w:lang w:val="en-US"/>
              </w:rPr>
            </w:pPr>
          </w:p>
        </w:tc>
        <w:tc>
          <w:tcPr>
            <w:tcW w:w="1843" w:type="dxa"/>
            <w:shd w:val="clear" w:color="auto" w:fill="auto"/>
          </w:tcPr>
          <w:p w14:paraId="136CB1E8" w14:textId="77777777" w:rsidR="00705E38" w:rsidRPr="00DD667B" w:rsidRDefault="00705E38" w:rsidP="00DD667B">
            <w:pPr>
              <w:spacing w:before="40" w:after="120"/>
              <w:ind w:right="113"/>
              <w:rPr>
                <w:rFonts w:eastAsia="Calibri"/>
                <w:lang w:val="en-US"/>
              </w:rPr>
            </w:pPr>
            <w:r w:rsidRPr="00DD667B">
              <w:rPr>
                <w:rFonts w:eastAsia="Calibri"/>
                <w:lang w:val="en-US"/>
              </w:rPr>
              <w:t>Notification</w:t>
            </w:r>
          </w:p>
          <w:p w14:paraId="4BF1C9DA" w14:textId="77777777" w:rsidR="00705E38" w:rsidRPr="00DD667B" w:rsidRDefault="00705E38" w:rsidP="00DD667B">
            <w:pPr>
              <w:spacing w:before="40" w:after="120"/>
              <w:ind w:right="113"/>
              <w:rPr>
                <w:rFonts w:eastAsia="Calibri"/>
                <w:lang w:val="en-US"/>
              </w:rPr>
            </w:pPr>
            <w:r w:rsidRPr="00DD667B">
              <w:rPr>
                <w:rFonts w:eastAsia="Calibri"/>
                <w:lang w:val="en-US"/>
              </w:rPr>
              <w:t>Preparation of EIA documentation</w:t>
            </w:r>
          </w:p>
        </w:tc>
        <w:tc>
          <w:tcPr>
            <w:tcW w:w="1739" w:type="dxa"/>
            <w:shd w:val="clear" w:color="auto" w:fill="auto"/>
          </w:tcPr>
          <w:p w14:paraId="15D98F5B" w14:textId="77777777" w:rsidR="00705E38" w:rsidRPr="00DD667B" w:rsidRDefault="00705E38" w:rsidP="00DD667B">
            <w:pPr>
              <w:spacing w:before="40" w:after="120"/>
              <w:ind w:right="113"/>
              <w:rPr>
                <w:rFonts w:eastAsia="Calibri"/>
                <w:lang w:val="en-US"/>
              </w:rPr>
            </w:pPr>
            <w:r w:rsidRPr="00DD667B">
              <w:rPr>
                <w:rFonts w:eastAsia="Calibri"/>
                <w:lang w:val="en-US"/>
              </w:rPr>
              <w:t>“Having bilateral agreements helps to carrying out the procedure of Environmental Impact Assessment, as well as providing the</w:t>
            </w:r>
          </w:p>
          <w:p w14:paraId="565D63C2" w14:textId="77777777" w:rsidR="00705E38" w:rsidRPr="00DD667B" w:rsidRDefault="00705E38" w:rsidP="00DD667B">
            <w:pPr>
              <w:spacing w:before="40" w:after="120"/>
              <w:ind w:right="113"/>
              <w:rPr>
                <w:rFonts w:eastAsia="Calibri"/>
                <w:lang w:val="en-US"/>
              </w:rPr>
            </w:pPr>
            <w:r w:rsidRPr="00DD667B">
              <w:rPr>
                <w:rFonts w:eastAsia="Calibri"/>
                <w:lang w:val="en-US"/>
              </w:rPr>
              <w:t xml:space="preserve">documentation translated into the language of </w:t>
            </w:r>
            <w:r w:rsidRPr="00DD667B">
              <w:rPr>
                <w:rFonts w:eastAsia="Calibri"/>
                <w:lang w:val="en-US"/>
              </w:rPr>
              <w:lastRenderedPageBreak/>
              <w:t>the Affected Party”</w:t>
            </w:r>
          </w:p>
        </w:tc>
        <w:tc>
          <w:tcPr>
            <w:tcW w:w="2086" w:type="dxa"/>
            <w:shd w:val="clear" w:color="auto" w:fill="auto"/>
          </w:tcPr>
          <w:p w14:paraId="57C8F12D" w14:textId="77777777" w:rsidR="00705E38" w:rsidRPr="00DD667B" w:rsidRDefault="005D3B71" w:rsidP="00DD667B">
            <w:pPr>
              <w:spacing w:before="40" w:after="120"/>
              <w:ind w:right="113"/>
              <w:rPr>
                <w:rFonts w:eastAsia="Calibri"/>
                <w:lang w:val="en-US"/>
              </w:rPr>
            </w:pPr>
            <w:r w:rsidRPr="00DD667B">
              <w:rPr>
                <w:rFonts w:eastAsia="Calibri"/>
                <w:lang w:val="en-US"/>
              </w:rPr>
              <w:lastRenderedPageBreak/>
              <w:t>https://unece.org/sites/default/files/2022-05/Spain_EIA.pdf</w:t>
            </w:r>
          </w:p>
        </w:tc>
      </w:tr>
      <w:tr w:rsidR="00592392" w:rsidRPr="00DD667B" w14:paraId="3A8C5BF9" w14:textId="77777777" w:rsidTr="00592392">
        <w:tc>
          <w:tcPr>
            <w:tcW w:w="1342" w:type="dxa"/>
            <w:tcBorders>
              <w:bottom w:val="single" w:sz="12" w:space="0" w:color="auto"/>
            </w:tcBorders>
            <w:shd w:val="clear" w:color="auto" w:fill="auto"/>
          </w:tcPr>
          <w:p w14:paraId="71B35A3E" w14:textId="77777777" w:rsidR="00705E38" w:rsidRPr="00DD667B" w:rsidRDefault="00705E38" w:rsidP="00DD667B">
            <w:pPr>
              <w:spacing w:before="40" w:after="120"/>
              <w:ind w:right="113"/>
              <w:rPr>
                <w:rFonts w:eastAsia="Calibri"/>
                <w:lang w:val="en-US"/>
              </w:rPr>
            </w:pPr>
            <w:r w:rsidRPr="00DD667B">
              <w:rPr>
                <w:rFonts w:eastAsia="Calibri"/>
                <w:lang w:val="en-US"/>
              </w:rPr>
              <w:t>Switzerland</w:t>
            </w:r>
          </w:p>
          <w:p w14:paraId="0899E9B3" w14:textId="77777777" w:rsidR="00705E38" w:rsidRPr="00DD667B" w:rsidRDefault="00705E38" w:rsidP="00DD667B">
            <w:pPr>
              <w:spacing w:before="40" w:after="120"/>
              <w:ind w:right="113"/>
              <w:rPr>
                <w:rFonts w:eastAsia="Calibri"/>
                <w:lang w:val="en-US"/>
              </w:rPr>
            </w:pPr>
            <w:r w:rsidRPr="00DD667B">
              <w:rPr>
                <w:rFonts w:eastAsia="Calibri"/>
                <w:lang w:val="en-US"/>
              </w:rPr>
              <w:t>(affected Party)</w:t>
            </w:r>
          </w:p>
        </w:tc>
        <w:tc>
          <w:tcPr>
            <w:tcW w:w="1635" w:type="dxa"/>
            <w:tcBorders>
              <w:bottom w:val="single" w:sz="12" w:space="0" w:color="auto"/>
            </w:tcBorders>
            <w:shd w:val="clear" w:color="auto" w:fill="auto"/>
          </w:tcPr>
          <w:p w14:paraId="13A71E2B" w14:textId="77777777" w:rsidR="00705E38" w:rsidRPr="00DD667B" w:rsidRDefault="00705E38" w:rsidP="00DD667B">
            <w:pPr>
              <w:spacing w:before="40" w:after="120"/>
              <w:ind w:right="113"/>
              <w:rPr>
                <w:rFonts w:eastAsia="Calibri"/>
                <w:lang w:val="en-US"/>
              </w:rPr>
            </w:pPr>
            <w:r w:rsidRPr="00DD667B">
              <w:rPr>
                <w:rFonts w:eastAsia="Calibri"/>
                <w:lang w:val="en-US"/>
              </w:rPr>
              <w:t>Railway line</w:t>
            </w:r>
          </w:p>
        </w:tc>
        <w:tc>
          <w:tcPr>
            <w:tcW w:w="992" w:type="dxa"/>
            <w:tcBorders>
              <w:bottom w:val="single" w:sz="12" w:space="0" w:color="auto"/>
            </w:tcBorders>
            <w:shd w:val="clear" w:color="auto" w:fill="auto"/>
          </w:tcPr>
          <w:p w14:paraId="0D3D1C8F" w14:textId="77777777" w:rsidR="00705E38" w:rsidRPr="00DD667B" w:rsidRDefault="00705E38" w:rsidP="00DD667B">
            <w:pPr>
              <w:spacing w:before="40" w:after="120"/>
              <w:ind w:right="113"/>
              <w:rPr>
                <w:rFonts w:eastAsia="Calibri"/>
                <w:lang w:val="en-US"/>
              </w:rPr>
            </w:pPr>
            <w:r w:rsidRPr="00DD667B">
              <w:rPr>
                <w:rFonts w:eastAsia="Calibri"/>
                <w:lang w:val="en-US"/>
              </w:rPr>
              <w:t>-</w:t>
            </w:r>
          </w:p>
        </w:tc>
        <w:tc>
          <w:tcPr>
            <w:tcW w:w="1843" w:type="dxa"/>
            <w:tcBorders>
              <w:bottom w:val="single" w:sz="12" w:space="0" w:color="auto"/>
            </w:tcBorders>
            <w:shd w:val="clear" w:color="auto" w:fill="auto"/>
          </w:tcPr>
          <w:p w14:paraId="7C7D519E" w14:textId="77777777" w:rsidR="00705E38" w:rsidRPr="00DD667B" w:rsidRDefault="00705E38" w:rsidP="00DD667B">
            <w:pPr>
              <w:spacing w:before="40" w:after="120"/>
              <w:ind w:right="113"/>
              <w:rPr>
                <w:rFonts w:eastAsia="Calibri"/>
                <w:lang w:val="en-US"/>
              </w:rPr>
            </w:pPr>
            <w:r w:rsidRPr="00DD667B">
              <w:rPr>
                <w:rFonts w:eastAsia="Calibri"/>
                <w:lang w:val="en-US"/>
              </w:rPr>
              <w:t>-</w:t>
            </w:r>
          </w:p>
        </w:tc>
        <w:tc>
          <w:tcPr>
            <w:tcW w:w="1739" w:type="dxa"/>
            <w:tcBorders>
              <w:bottom w:val="single" w:sz="12" w:space="0" w:color="auto"/>
            </w:tcBorders>
            <w:shd w:val="clear" w:color="auto" w:fill="auto"/>
          </w:tcPr>
          <w:p w14:paraId="6EB11906" w14:textId="77777777" w:rsidR="00705E38" w:rsidRPr="00DD667B" w:rsidRDefault="00705E38" w:rsidP="00DD667B">
            <w:pPr>
              <w:spacing w:before="40" w:after="120"/>
              <w:ind w:right="113"/>
              <w:rPr>
                <w:rFonts w:eastAsia="Calibri"/>
                <w:lang w:val="en-US"/>
              </w:rPr>
            </w:pPr>
            <w:r w:rsidRPr="00DD667B">
              <w:rPr>
                <w:rFonts w:eastAsia="Calibri"/>
                <w:lang w:val="en-US"/>
              </w:rPr>
              <w:t>“Due to the completeness of the file, the</w:t>
            </w:r>
          </w:p>
          <w:p w14:paraId="1B19FA7C" w14:textId="77777777" w:rsidR="00705E38" w:rsidRPr="00DD667B" w:rsidRDefault="00705E38" w:rsidP="00DD667B">
            <w:pPr>
              <w:spacing w:before="40" w:after="120"/>
              <w:ind w:right="113"/>
              <w:rPr>
                <w:rFonts w:eastAsia="Calibri"/>
                <w:lang w:val="en-US"/>
              </w:rPr>
            </w:pPr>
            <w:r w:rsidRPr="00DD667B">
              <w:rPr>
                <w:rFonts w:eastAsia="Calibri"/>
                <w:lang w:val="en-US"/>
              </w:rPr>
              <w:t>presentation of the project at a joint meeting organized by France, and the fact that the</w:t>
            </w:r>
          </w:p>
          <w:p w14:paraId="4EAB31E6" w14:textId="77777777" w:rsidR="00705E38" w:rsidRPr="00DD667B" w:rsidRDefault="00705E38" w:rsidP="00DD667B">
            <w:pPr>
              <w:spacing w:before="40" w:after="120"/>
              <w:ind w:right="113"/>
              <w:rPr>
                <w:rFonts w:eastAsia="Calibri"/>
                <w:lang w:val="en-US"/>
              </w:rPr>
            </w:pPr>
            <w:r w:rsidRPr="00DD667B">
              <w:rPr>
                <w:rFonts w:eastAsia="Calibri"/>
                <w:lang w:val="en-US"/>
              </w:rPr>
              <w:t>notification was sent early enough, Switzerland became aware of the project and came to the conclusion that a notification was not necessary. Such a transparent and proactive approach facilitates the implementation of the Convention.”</w:t>
            </w:r>
          </w:p>
        </w:tc>
        <w:tc>
          <w:tcPr>
            <w:tcW w:w="2086" w:type="dxa"/>
            <w:tcBorders>
              <w:bottom w:val="single" w:sz="12" w:space="0" w:color="auto"/>
            </w:tcBorders>
            <w:shd w:val="clear" w:color="auto" w:fill="auto"/>
          </w:tcPr>
          <w:p w14:paraId="18A63001" w14:textId="77777777" w:rsidR="00705E38" w:rsidRPr="00DD667B" w:rsidRDefault="005D3B71" w:rsidP="00DD667B">
            <w:pPr>
              <w:spacing w:before="40" w:after="120"/>
              <w:ind w:right="113"/>
              <w:rPr>
                <w:rFonts w:eastAsia="Calibri"/>
                <w:lang w:val="en-US"/>
              </w:rPr>
            </w:pPr>
            <w:r w:rsidRPr="00DD667B">
              <w:rPr>
                <w:rFonts w:eastAsia="Calibri"/>
                <w:lang w:val="en-US"/>
              </w:rPr>
              <w:t>https://unece.org/sites/default/files/2022-07/Switzerland_EIA_EN.pdf</w:t>
            </w:r>
          </w:p>
        </w:tc>
      </w:tr>
    </w:tbl>
    <w:p w14:paraId="69775B38" w14:textId="115E2447" w:rsidR="0015776E" w:rsidRPr="006C1934" w:rsidRDefault="00A43470" w:rsidP="00A43470">
      <w:pPr>
        <w:pStyle w:val="HChG"/>
      </w:pPr>
      <w:r>
        <w:tab/>
      </w:r>
      <w:r w:rsidR="00562008" w:rsidRPr="006C1934">
        <w:t>II.</w:t>
      </w:r>
      <w:r w:rsidR="00562008" w:rsidRPr="006C1934">
        <w:tab/>
      </w:r>
      <w:r w:rsidR="0015776E" w:rsidRPr="006C1934">
        <w:t>Answers to question II.15 of the questionnaire on the implementation of the Convention in the period 2019 – 2021</w:t>
      </w:r>
    </w:p>
    <w:p w14:paraId="22F375DF" w14:textId="3CF91C7C" w:rsidR="0015776E" w:rsidRDefault="00057B01" w:rsidP="00057B01">
      <w:pPr>
        <w:pStyle w:val="SingleTxtG"/>
      </w:pPr>
      <w:r>
        <w:t>4.</w:t>
      </w:r>
      <w:r>
        <w:tab/>
      </w:r>
      <w:r w:rsidR="0015776E">
        <w:t>Question II.15 reads “</w:t>
      </w:r>
      <w:r w:rsidR="0015776E" w:rsidRPr="006C1934">
        <w:t>Please provide examples from your experience during the</w:t>
      </w:r>
      <w:r w:rsidR="00562008" w:rsidRPr="006C1934">
        <w:t xml:space="preserve"> </w:t>
      </w:r>
      <w:r w:rsidR="0015776E" w:rsidRPr="006C1934">
        <w:t>reporting period (either complete cases or elements such as notification, consultation and public participation) for the information of Parties that, in your view, constitute good practice or lessons learned on various topics</w:t>
      </w:r>
      <w:r w:rsidR="0015776E">
        <w:t xml:space="preserve">”. </w:t>
      </w:r>
    </w:p>
    <w:p w14:paraId="70FDAF85" w14:textId="0CDAB25C" w:rsidR="0015776E" w:rsidRDefault="00057B01" w:rsidP="00057B01">
      <w:pPr>
        <w:pStyle w:val="SingleTxtG"/>
      </w:pPr>
      <w:r>
        <w:t>5.</w:t>
      </w:r>
      <w:r>
        <w:tab/>
      </w:r>
      <w:r w:rsidR="00562008">
        <w:t xml:space="preserve">Eleven Parties provided examples under this question. </w:t>
      </w:r>
    </w:p>
    <w:p w14:paraId="4F437468" w14:textId="48C8624E" w:rsidR="00983F17" w:rsidRDefault="00057B01" w:rsidP="00057B01">
      <w:pPr>
        <w:pStyle w:val="SingleTxtG"/>
      </w:pPr>
      <w:r>
        <w:t>6.</w:t>
      </w:r>
      <w:r>
        <w:tab/>
      </w:r>
      <w:r w:rsidR="00A85E16">
        <w:t>T</w:t>
      </w:r>
      <w:r w:rsidR="00983F17">
        <w:t xml:space="preserve">able 2 below compiles the information provided by these Parties. </w:t>
      </w:r>
      <w:r w:rsidR="00983F17" w:rsidRPr="00983F17">
        <w:t>Some of the text has gone through light English editing.</w:t>
      </w:r>
    </w:p>
    <w:p w14:paraId="5B22D7B6" w14:textId="1C40D45D" w:rsidR="00562008" w:rsidRPr="002B6A89" w:rsidRDefault="00562008" w:rsidP="00DB2E24">
      <w:pPr>
        <w:pStyle w:val="SingleTxtG"/>
        <w:ind w:left="1080"/>
        <w:jc w:val="left"/>
      </w:pPr>
      <w:r>
        <w:t xml:space="preserve">Table </w:t>
      </w:r>
      <w:r w:rsidR="00983F17">
        <w:t>2</w:t>
      </w:r>
      <w:r w:rsidR="002B6A89">
        <w:br/>
      </w:r>
      <w:r>
        <w:rPr>
          <w:b/>
          <w:bCs/>
        </w:rPr>
        <w:t>Parties providing good practice examples under question II.15 (n=11)</w:t>
      </w:r>
    </w:p>
    <w:tbl>
      <w:tblPr>
        <w:tblW w:w="8504" w:type="dxa"/>
        <w:tblInd w:w="1134" w:type="dxa"/>
        <w:tblLayout w:type="fixed"/>
        <w:tblCellMar>
          <w:left w:w="0" w:type="dxa"/>
          <w:right w:w="0" w:type="dxa"/>
        </w:tblCellMar>
        <w:tblLook w:val="04A0" w:firstRow="1" w:lastRow="0" w:firstColumn="1" w:lastColumn="0" w:noHBand="0" w:noVBand="1"/>
      </w:tblPr>
      <w:tblGrid>
        <w:gridCol w:w="1791"/>
        <w:gridCol w:w="6713"/>
      </w:tblGrid>
      <w:tr w:rsidR="0015776E" w:rsidRPr="00A85E16" w14:paraId="65906334" w14:textId="77777777" w:rsidTr="00DB2E24">
        <w:trPr>
          <w:tblHeader/>
        </w:trPr>
        <w:tc>
          <w:tcPr>
            <w:tcW w:w="2028" w:type="dxa"/>
            <w:tcBorders>
              <w:top w:val="single" w:sz="4" w:space="0" w:color="auto"/>
              <w:bottom w:val="single" w:sz="12" w:space="0" w:color="auto"/>
            </w:tcBorders>
            <w:shd w:val="clear" w:color="auto" w:fill="auto"/>
            <w:vAlign w:val="bottom"/>
          </w:tcPr>
          <w:p w14:paraId="62BA55B4" w14:textId="77777777" w:rsidR="0015776E" w:rsidRPr="00A85E16" w:rsidRDefault="0015776E" w:rsidP="00A85E16">
            <w:pPr>
              <w:spacing w:before="80" w:after="80" w:line="200" w:lineRule="exact"/>
              <w:ind w:right="113"/>
              <w:rPr>
                <w:rFonts w:eastAsia="Calibri"/>
                <w:i/>
                <w:sz w:val="16"/>
                <w:lang w:val="en-US"/>
              </w:rPr>
            </w:pPr>
            <w:r w:rsidRPr="00A85E16">
              <w:rPr>
                <w:rFonts w:eastAsia="Calibri"/>
                <w:i/>
                <w:sz w:val="16"/>
                <w:lang w:val="en-US"/>
              </w:rPr>
              <w:t>Country</w:t>
            </w:r>
          </w:p>
        </w:tc>
        <w:tc>
          <w:tcPr>
            <w:tcW w:w="7609" w:type="dxa"/>
            <w:tcBorders>
              <w:top w:val="single" w:sz="4" w:space="0" w:color="auto"/>
              <w:bottom w:val="single" w:sz="12" w:space="0" w:color="auto"/>
            </w:tcBorders>
            <w:shd w:val="clear" w:color="auto" w:fill="auto"/>
            <w:vAlign w:val="bottom"/>
          </w:tcPr>
          <w:p w14:paraId="2176CC82" w14:textId="77777777" w:rsidR="0015776E" w:rsidRPr="00A85E16" w:rsidRDefault="0015776E" w:rsidP="00A85E16">
            <w:pPr>
              <w:spacing w:before="80" w:after="80" w:line="200" w:lineRule="exact"/>
              <w:ind w:right="113"/>
              <w:rPr>
                <w:rFonts w:eastAsia="Calibri"/>
                <w:i/>
                <w:sz w:val="16"/>
                <w:lang w:val="en-US"/>
              </w:rPr>
            </w:pPr>
            <w:r w:rsidRPr="00A85E16">
              <w:rPr>
                <w:rFonts w:eastAsia="Calibri"/>
                <w:i/>
                <w:sz w:val="16"/>
                <w:lang w:val="en-US"/>
              </w:rPr>
              <w:t>Example</w:t>
            </w:r>
          </w:p>
        </w:tc>
      </w:tr>
      <w:tr w:rsidR="00A85E16" w:rsidRPr="00A85E16" w14:paraId="0BD37FC9" w14:textId="77777777" w:rsidTr="00DB2E24">
        <w:trPr>
          <w:trHeight w:hRule="exact" w:val="113"/>
        </w:trPr>
        <w:tc>
          <w:tcPr>
            <w:tcW w:w="2028" w:type="dxa"/>
            <w:tcBorders>
              <w:top w:val="single" w:sz="12" w:space="0" w:color="auto"/>
            </w:tcBorders>
            <w:shd w:val="clear" w:color="auto" w:fill="auto"/>
          </w:tcPr>
          <w:p w14:paraId="738C85B2" w14:textId="77777777" w:rsidR="00A85E16" w:rsidRPr="00A85E16" w:rsidRDefault="00A85E16" w:rsidP="00A85E16">
            <w:pPr>
              <w:spacing w:before="40" w:after="120"/>
              <w:ind w:right="113"/>
              <w:rPr>
                <w:rFonts w:eastAsia="Calibri"/>
                <w:lang w:val="en-US"/>
              </w:rPr>
            </w:pPr>
          </w:p>
        </w:tc>
        <w:tc>
          <w:tcPr>
            <w:tcW w:w="7609" w:type="dxa"/>
            <w:tcBorders>
              <w:top w:val="single" w:sz="12" w:space="0" w:color="auto"/>
            </w:tcBorders>
            <w:shd w:val="clear" w:color="auto" w:fill="auto"/>
          </w:tcPr>
          <w:p w14:paraId="70F1EB0F" w14:textId="77777777" w:rsidR="00A85E16" w:rsidRPr="00A85E16" w:rsidRDefault="00A85E16" w:rsidP="00A85E16">
            <w:pPr>
              <w:spacing w:before="40" w:after="120"/>
              <w:ind w:right="113"/>
              <w:rPr>
                <w:rFonts w:eastAsia="Calibri"/>
                <w:lang w:val="en-US"/>
              </w:rPr>
            </w:pPr>
          </w:p>
        </w:tc>
      </w:tr>
      <w:tr w:rsidR="0015776E" w:rsidRPr="00A85E16" w14:paraId="4531C36C" w14:textId="77777777" w:rsidTr="00DB2E24">
        <w:tc>
          <w:tcPr>
            <w:tcW w:w="2028" w:type="dxa"/>
            <w:shd w:val="clear" w:color="auto" w:fill="auto"/>
          </w:tcPr>
          <w:p w14:paraId="6F3AA2C5" w14:textId="77777777" w:rsidR="0015776E" w:rsidRPr="00A85E16" w:rsidRDefault="0015776E" w:rsidP="00A85E16">
            <w:pPr>
              <w:spacing w:before="40" w:after="120"/>
              <w:ind w:right="113"/>
              <w:rPr>
                <w:rFonts w:eastAsia="Calibri"/>
                <w:lang w:val="en-US"/>
              </w:rPr>
            </w:pPr>
            <w:r w:rsidRPr="00A85E16">
              <w:rPr>
                <w:rFonts w:eastAsia="Calibri"/>
                <w:lang w:val="en-US"/>
              </w:rPr>
              <w:t>Belarus</w:t>
            </w:r>
          </w:p>
        </w:tc>
        <w:tc>
          <w:tcPr>
            <w:tcW w:w="7609" w:type="dxa"/>
            <w:shd w:val="clear" w:color="auto" w:fill="auto"/>
          </w:tcPr>
          <w:p w14:paraId="37835A73" w14:textId="0850FC72" w:rsidR="0015776E" w:rsidRPr="00A85E16" w:rsidRDefault="00DB2E24" w:rsidP="00A85E16">
            <w:pPr>
              <w:spacing w:before="40" w:after="120"/>
              <w:ind w:right="113"/>
              <w:rPr>
                <w:rFonts w:eastAsia="Calibri"/>
                <w:lang w:val="en-US"/>
              </w:rPr>
            </w:pPr>
            <w:r>
              <w:rPr>
                <w:rFonts w:eastAsia="Calibri"/>
                <w:lang w:val="en-US"/>
              </w:rPr>
              <w:t>Cross-reference</w:t>
            </w:r>
            <w:r w:rsidR="0015776E" w:rsidRPr="00A85E16">
              <w:rPr>
                <w:rFonts w:eastAsia="Calibri"/>
                <w:lang w:val="en-US"/>
              </w:rPr>
              <w:t xml:space="preserve"> to Annex III of their completed questionnaire, which describes consultation practices for the project: “Construction of an electric transmission </w:t>
            </w:r>
            <w:r w:rsidR="0015776E" w:rsidRPr="00A85E16">
              <w:rPr>
                <w:rFonts w:eastAsia="Calibri"/>
                <w:lang w:val="en-US"/>
              </w:rPr>
              <w:lastRenderedPageBreak/>
              <w:t>line with transformer substations to the border posts "Mutwitz" and "Khinichev" on the territory of Pinsky border”.</w:t>
            </w:r>
          </w:p>
        </w:tc>
      </w:tr>
      <w:tr w:rsidR="0015776E" w:rsidRPr="00A85E16" w14:paraId="4AA20655" w14:textId="77777777" w:rsidTr="00DB2E24">
        <w:tc>
          <w:tcPr>
            <w:tcW w:w="2028" w:type="dxa"/>
            <w:shd w:val="clear" w:color="auto" w:fill="auto"/>
          </w:tcPr>
          <w:p w14:paraId="2122D151" w14:textId="77777777" w:rsidR="0015776E" w:rsidRPr="00A85E16" w:rsidRDefault="0015776E" w:rsidP="00A85E16">
            <w:pPr>
              <w:spacing w:before="40" w:after="120"/>
              <w:ind w:right="113"/>
              <w:rPr>
                <w:rFonts w:eastAsia="Calibri"/>
                <w:lang w:val="en-US"/>
              </w:rPr>
            </w:pPr>
            <w:r w:rsidRPr="00A85E16">
              <w:rPr>
                <w:rFonts w:eastAsia="Calibri"/>
                <w:lang w:val="en-US"/>
              </w:rPr>
              <w:lastRenderedPageBreak/>
              <w:t>Estonia</w:t>
            </w:r>
          </w:p>
        </w:tc>
        <w:tc>
          <w:tcPr>
            <w:tcW w:w="7609" w:type="dxa"/>
            <w:shd w:val="clear" w:color="auto" w:fill="auto"/>
          </w:tcPr>
          <w:p w14:paraId="4FC4C40D" w14:textId="77777777" w:rsidR="0015776E" w:rsidRPr="00A85E16" w:rsidRDefault="0015776E" w:rsidP="00A85E16">
            <w:pPr>
              <w:spacing w:before="40" w:after="120"/>
              <w:ind w:right="113"/>
              <w:rPr>
                <w:rFonts w:eastAsia="Calibri"/>
                <w:lang w:val="en-US"/>
              </w:rPr>
            </w:pPr>
            <w:r w:rsidRPr="00A85E16">
              <w:rPr>
                <w:rFonts w:eastAsia="Calibri"/>
                <w:lang w:val="en-US"/>
              </w:rPr>
              <w:t>It is good practice when the Party of origin provides time frames which enable the affected Party to organize the public consultation in an effective manner (</w:t>
            </w:r>
            <w:r w:rsidR="00562008" w:rsidRPr="00A85E16">
              <w:rPr>
                <w:rFonts w:eastAsia="Calibri"/>
                <w:lang w:val="en-US"/>
              </w:rPr>
              <w:t>i.e.,</w:t>
            </w:r>
            <w:r w:rsidRPr="00A85E16">
              <w:rPr>
                <w:rFonts w:eastAsia="Calibri"/>
                <w:lang w:val="en-US"/>
              </w:rPr>
              <w:t xml:space="preserve"> enough time is provided for the public and authorities to submit comments). In practice, this might not always be the case and therefore this should still be emphasized. Although this is not new practice, it is also constructive when the Party of origin provides already in the notification stage the (summary) translations of the relevant documentation. The approach that the Party of origin sends the documentation in electronic format (instead or in addition to hard copies) is widely used in practice. </w:t>
            </w:r>
            <w:r w:rsidR="00562008" w:rsidRPr="00A85E16">
              <w:rPr>
                <w:rFonts w:eastAsia="Calibri"/>
                <w:lang w:val="en-US"/>
              </w:rPr>
              <w:t>Also,</w:t>
            </w:r>
            <w:r w:rsidRPr="00A85E16">
              <w:rPr>
                <w:rFonts w:eastAsia="Calibri"/>
                <w:lang w:val="en-US"/>
              </w:rPr>
              <w:t xml:space="preserve"> the approach is used that the link of the dedicated webpage is sent. In this context, a practical observation: the Party of origin must also ensure that the electronic documentation is correct and can be downloaded from the webpage (so that there are no technical problems). Concerning the content of EIA documentation, where relevant, it is recommended that the documentation also includes an overview of the feedback received from the affected Party (in the previous stage) and the responses thereto. For instance, if the EIA programme is also sent to the affected Party, the programme could include an overview of the feedback that might have been submitted at the notification stage – this is also reasonable in terms of the public consultation that is going to be organized for the programme. Such practical example is also described in Annex III of the questionnaire.</w:t>
            </w:r>
          </w:p>
        </w:tc>
      </w:tr>
      <w:tr w:rsidR="0015776E" w:rsidRPr="00A85E16" w14:paraId="106BDE07" w14:textId="77777777" w:rsidTr="00DB2E24">
        <w:tc>
          <w:tcPr>
            <w:tcW w:w="2028" w:type="dxa"/>
            <w:shd w:val="clear" w:color="auto" w:fill="auto"/>
          </w:tcPr>
          <w:p w14:paraId="44D9BC07" w14:textId="77777777" w:rsidR="0015776E" w:rsidRPr="00A85E16" w:rsidRDefault="0015776E" w:rsidP="00A85E16">
            <w:pPr>
              <w:spacing w:before="40" w:after="120"/>
              <w:ind w:right="113"/>
              <w:rPr>
                <w:rFonts w:eastAsia="Calibri"/>
                <w:lang w:val="en-US"/>
              </w:rPr>
            </w:pPr>
            <w:r w:rsidRPr="00A85E16">
              <w:rPr>
                <w:rFonts w:eastAsia="Calibri"/>
                <w:lang w:val="en-US"/>
              </w:rPr>
              <w:t>Latvia</w:t>
            </w:r>
          </w:p>
        </w:tc>
        <w:tc>
          <w:tcPr>
            <w:tcW w:w="7609" w:type="dxa"/>
            <w:shd w:val="clear" w:color="auto" w:fill="auto"/>
          </w:tcPr>
          <w:p w14:paraId="700F2784" w14:textId="77777777" w:rsidR="0015776E" w:rsidRPr="00A85E16" w:rsidRDefault="0015776E" w:rsidP="00A85E16">
            <w:pPr>
              <w:spacing w:before="40" w:after="120"/>
              <w:ind w:right="113"/>
              <w:rPr>
                <w:rFonts w:eastAsia="Calibri"/>
                <w:highlight w:val="yellow"/>
                <w:lang w:val="en-US"/>
              </w:rPr>
            </w:pPr>
            <w:r w:rsidRPr="00A85E16">
              <w:rPr>
                <w:rFonts w:eastAsia="Calibri"/>
                <w:lang w:val="en-US"/>
              </w:rPr>
              <w:t xml:space="preserve">Regarding pandemic solutions for public meeting organization, good </w:t>
            </w:r>
            <w:r w:rsidR="00562008" w:rsidRPr="00A85E16">
              <w:rPr>
                <w:rFonts w:eastAsia="Calibri"/>
                <w:lang w:val="en-US"/>
              </w:rPr>
              <w:t>practice</w:t>
            </w:r>
            <w:r w:rsidRPr="00A85E16">
              <w:rPr>
                <w:rFonts w:eastAsia="Calibri"/>
                <w:lang w:val="en-US"/>
              </w:rPr>
              <w:t xml:space="preserve"> that could be taken into account in future transboundary consultations is live online meeting organization (cost effective, more participants may take part). We can highlight example when the Republic of Lithuania organized online meeting and provided interpretation in Latvian.</w:t>
            </w:r>
          </w:p>
        </w:tc>
      </w:tr>
      <w:tr w:rsidR="0015776E" w:rsidRPr="00A85E16" w14:paraId="146E4C18" w14:textId="77777777" w:rsidTr="00DB2E24">
        <w:tc>
          <w:tcPr>
            <w:tcW w:w="2028" w:type="dxa"/>
            <w:shd w:val="clear" w:color="auto" w:fill="auto"/>
          </w:tcPr>
          <w:p w14:paraId="15317BC0" w14:textId="77777777" w:rsidR="0015776E" w:rsidRPr="00A85E16" w:rsidRDefault="0015776E" w:rsidP="00A85E16">
            <w:pPr>
              <w:spacing w:before="40" w:after="120"/>
              <w:ind w:right="113"/>
              <w:rPr>
                <w:rFonts w:eastAsia="Calibri"/>
                <w:lang w:val="en-US"/>
              </w:rPr>
            </w:pPr>
            <w:r w:rsidRPr="00A85E16">
              <w:rPr>
                <w:rFonts w:eastAsia="Calibri"/>
                <w:lang w:val="en-US"/>
              </w:rPr>
              <w:t>Lithuania</w:t>
            </w:r>
          </w:p>
        </w:tc>
        <w:tc>
          <w:tcPr>
            <w:tcW w:w="7609" w:type="dxa"/>
            <w:shd w:val="clear" w:color="auto" w:fill="auto"/>
          </w:tcPr>
          <w:p w14:paraId="266539FC" w14:textId="77777777" w:rsidR="0015776E" w:rsidRPr="00A85E16" w:rsidRDefault="0015776E" w:rsidP="00A85E16">
            <w:pPr>
              <w:spacing w:before="40" w:after="120"/>
              <w:ind w:right="113"/>
              <w:rPr>
                <w:rFonts w:eastAsia="Calibri"/>
                <w:lang w:val="en-US"/>
              </w:rPr>
            </w:pPr>
            <w:r w:rsidRPr="00A85E16">
              <w:rPr>
                <w:rFonts w:eastAsia="Calibri"/>
                <w:lang w:val="en-US"/>
              </w:rPr>
              <w:t>Successful online consultations with Latvia regarding dismantling / decommissioning of Ignalina nuclear power plant can be considered a case of good practice.</w:t>
            </w:r>
          </w:p>
        </w:tc>
      </w:tr>
      <w:tr w:rsidR="0015776E" w:rsidRPr="00A85E16" w14:paraId="6340DE80" w14:textId="77777777" w:rsidTr="00DB2E24">
        <w:tc>
          <w:tcPr>
            <w:tcW w:w="2028" w:type="dxa"/>
            <w:shd w:val="clear" w:color="auto" w:fill="auto"/>
          </w:tcPr>
          <w:p w14:paraId="6669FC7F" w14:textId="77777777" w:rsidR="0015776E" w:rsidRPr="00A85E16" w:rsidRDefault="0015776E" w:rsidP="00A85E16">
            <w:pPr>
              <w:spacing w:before="40" w:after="120"/>
              <w:ind w:right="113"/>
              <w:rPr>
                <w:rFonts w:eastAsia="Calibri"/>
                <w:lang w:val="en-US"/>
              </w:rPr>
            </w:pPr>
            <w:r w:rsidRPr="00A85E16">
              <w:rPr>
                <w:rFonts w:eastAsia="Calibri"/>
                <w:lang w:val="en-US"/>
              </w:rPr>
              <w:t>Malta</w:t>
            </w:r>
          </w:p>
        </w:tc>
        <w:tc>
          <w:tcPr>
            <w:tcW w:w="7609" w:type="dxa"/>
            <w:shd w:val="clear" w:color="auto" w:fill="auto"/>
          </w:tcPr>
          <w:p w14:paraId="0B0894CB" w14:textId="77777777" w:rsidR="0015776E" w:rsidRPr="00A85E16" w:rsidRDefault="0015776E" w:rsidP="00A85E16">
            <w:pPr>
              <w:spacing w:before="40" w:after="120"/>
              <w:ind w:right="113"/>
              <w:rPr>
                <w:rFonts w:eastAsia="Calibri"/>
                <w:lang w:val="en-US"/>
              </w:rPr>
            </w:pPr>
            <w:r w:rsidRPr="00A85E16">
              <w:rPr>
                <w:rFonts w:eastAsia="Calibri"/>
                <w:lang w:val="en-US"/>
              </w:rPr>
              <w:t>Planning ahead to ensure that the necessary steps of the process are duly undertaken, maintaining continuous communication and liaison both at national level and between parties.</w:t>
            </w:r>
          </w:p>
        </w:tc>
      </w:tr>
      <w:tr w:rsidR="0015776E" w:rsidRPr="00A85E16" w14:paraId="1C2976F1" w14:textId="77777777" w:rsidTr="00DB2E24">
        <w:tc>
          <w:tcPr>
            <w:tcW w:w="2028" w:type="dxa"/>
            <w:shd w:val="clear" w:color="auto" w:fill="auto"/>
          </w:tcPr>
          <w:p w14:paraId="4AA4BB87" w14:textId="77777777" w:rsidR="0015776E" w:rsidRPr="00A85E16" w:rsidRDefault="0015776E" w:rsidP="00A85E16">
            <w:pPr>
              <w:spacing w:before="40" w:after="120"/>
              <w:ind w:right="113"/>
              <w:rPr>
                <w:rFonts w:eastAsia="Calibri"/>
                <w:lang w:val="en-US"/>
              </w:rPr>
            </w:pPr>
            <w:r w:rsidRPr="00A85E16">
              <w:rPr>
                <w:rFonts w:eastAsia="Calibri"/>
                <w:lang w:val="en-US"/>
              </w:rPr>
              <w:t>Montenegro</w:t>
            </w:r>
          </w:p>
        </w:tc>
        <w:tc>
          <w:tcPr>
            <w:tcW w:w="7609" w:type="dxa"/>
            <w:shd w:val="clear" w:color="auto" w:fill="auto"/>
          </w:tcPr>
          <w:p w14:paraId="2CBAFA84" w14:textId="77777777" w:rsidR="0015776E" w:rsidRPr="00A85E16" w:rsidRDefault="0015776E" w:rsidP="00A85E16">
            <w:pPr>
              <w:spacing w:before="40" w:after="120"/>
              <w:ind w:right="113"/>
              <w:rPr>
                <w:rFonts w:eastAsia="Calibri"/>
                <w:lang w:val="en-US"/>
              </w:rPr>
            </w:pPr>
            <w:r w:rsidRPr="00A85E16">
              <w:rPr>
                <w:rFonts w:eastAsia="Calibri"/>
                <w:lang w:val="en-US"/>
              </w:rPr>
              <w:t>Experience showed that there is still space for capacity building of all relevant stakeholders in a transboundary procedure.</w:t>
            </w:r>
          </w:p>
        </w:tc>
      </w:tr>
      <w:tr w:rsidR="0015776E" w:rsidRPr="00A85E16" w14:paraId="44493F28" w14:textId="77777777" w:rsidTr="00DB2E24">
        <w:tc>
          <w:tcPr>
            <w:tcW w:w="2028" w:type="dxa"/>
            <w:shd w:val="clear" w:color="auto" w:fill="auto"/>
          </w:tcPr>
          <w:p w14:paraId="7DC4BEFC" w14:textId="77777777" w:rsidR="0015776E" w:rsidRPr="00A85E16" w:rsidRDefault="00562008" w:rsidP="00A85E16">
            <w:pPr>
              <w:spacing w:before="40" w:after="120"/>
              <w:ind w:right="113"/>
              <w:rPr>
                <w:rFonts w:eastAsia="Calibri"/>
                <w:lang w:val="en-US"/>
              </w:rPr>
            </w:pPr>
            <w:r w:rsidRPr="00A85E16">
              <w:rPr>
                <w:rFonts w:eastAsia="Calibri"/>
                <w:lang w:val="en-US"/>
              </w:rPr>
              <w:t>T</w:t>
            </w:r>
            <w:r w:rsidR="0015776E" w:rsidRPr="00A85E16">
              <w:rPr>
                <w:rFonts w:eastAsia="Calibri"/>
                <w:lang w:val="en-US"/>
              </w:rPr>
              <w:t>he Netherlands</w:t>
            </w:r>
          </w:p>
        </w:tc>
        <w:tc>
          <w:tcPr>
            <w:tcW w:w="7609" w:type="dxa"/>
            <w:shd w:val="clear" w:color="auto" w:fill="auto"/>
          </w:tcPr>
          <w:p w14:paraId="7FDFB5AA" w14:textId="77777777" w:rsidR="0015776E" w:rsidRPr="00A85E16" w:rsidRDefault="0015776E" w:rsidP="00A85E16">
            <w:pPr>
              <w:spacing w:before="40" w:after="120"/>
              <w:ind w:right="113"/>
              <w:rPr>
                <w:rFonts w:eastAsia="Calibri"/>
                <w:lang w:val="en-US"/>
              </w:rPr>
            </w:pPr>
            <w:r w:rsidRPr="00A85E16">
              <w:rPr>
                <w:rFonts w:eastAsia="Calibri"/>
                <w:lang w:val="en-US"/>
              </w:rPr>
              <w:t>Good practice cases are the Bilateral agreement/arrangement with Germany and the Flanders Region. However, we cannot provide elaborate examples since we do not systematically gather them.</w:t>
            </w:r>
          </w:p>
        </w:tc>
      </w:tr>
      <w:tr w:rsidR="0015776E" w:rsidRPr="00A85E16" w14:paraId="296587A7" w14:textId="77777777" w:rsidTr="00DB2E24">
        <w:tc>
          <w:tcPr>
            <w:tcW w:w="2028" w:type="dxa"/>
            <w:shd w:val="clear" w:color="auto" w:fill="auto"/>
          </w:tcPr>
          <w:p w14:paraId="4908B9DF" w14:textId="77777777" w:rsidR="0015776E" w:rsidRPr="00A85E16" w:rsidRDefault="0015776E" w:rsidP="00A85E16">
            <w:pPr>
              <w:spacing w:before="40" w:after="120"/>
              <w:ind w:right="113"/>
              <w:rPr>
                <w:rFonts w:eastAsia="Calibri"/>
                <w:lang w:val="en-US"/>
              </w:rPr>
            </w:pPr>
            <w:r w:rsidRPr="00A85E16">
              <w:rPr>
                <w:rFonts w:eastAsia="Calibri"/>
                <w:lang w:val="en-US"/>
              </w:rPr>
              <w:t>Poland</w:t>
            </w:r>
          </w:p>
        </w:tc>
        <w:tc>
          <w:tcPr>
            <w:tcW w:w="7609" w:type="dxa"/>
            <w:shd w:val="clear" w:color="auto" w:fill="auto"/>
          </w:tcPr>
          <w:p w14:paraId="6ECF7FC4" w14:textId="77777777" w:rsidR="0015776E" w:rsidRPr="00A85E16" w:rsidRDefault="0015776E" w:rsidP="00A85E16">
            <w:pPr>
              <w:spacing w:before="40" w:after="120"/>
              <w:ind w:right="113"/>
              <w:rPr>
                <w:rFonts w:eastAsia="Calibri"/>
                <w:lang w:val="en-US"/>
              </w:rPr>
            </w:pPr>
            <w:r w:rsidRPr="00A85E16">
              <w:rPr>
                <w:rFonts w:eastAsia="Calibri"/>
                <w:lang w:val="en-US"/>
              </w:rPr>
              <w:t>Cross reference to Annex III of their completed questionnaire, in which they describe procedures concerning “the continuation of exploitation of the Turów lignite deposit”.</w:t>
            </w:r>
          </w:p>
        </w:tc>
      </w:tr>
      <w:tr w:rsidR="0015776E" w:rsidRPr="00A85E16" w14:paraId="23E65FB8" w14:textId="77777777" w:rsidTr="00DB2E24">
        <w:tc>
          <w:tcPr>
            <w:tcW w:w="2028" w:type="dxa"/>
            <w:shd w:val="clear" w:color="auto" w:fill="auto"/>
          </w:tcPr>
          <w:p w14:paraId="3711D87A" w14:textId="77777777" w:rsidR="0015776E" w:rsidRPr="00A85E16" w:rsidRDefault="0015776E" w:rsidP="00A85E16">
            <w:pPr>
              <w:spacing w:before="40" w:after="120"/>
              <w:ind w:right="113"/>
              <w:rPr>
                <w:rFonts w:eastAsia="Calibri"/>
                <w:lang w:val="en-US"/>
              </w:rPr>
            </w:pPr>
            <w:r w:rsidRPr="00A85E16">
              <w:rPr>
                <w:rFonts w:eastAsia="Calibri"/>
                <w:lang w:val="en-US"/>
              </w:rPr>
              <w:t>Romania</w:t>
            </w:r>
          </w:p>
        </w:tc>
        <w:tc>
          <w:tcPr>
            <w:tcW w:w="7609" w:type="dxa"/>
            <w:shd w:val="clear" w:color="auto" w:fill="auto"/>
          </w:tcPr>
          <w:p w14:paraId="42AA8CBF" w14:textId="77777777" w:rsidR="0015776E" w:rsidRPr="00A85E16" w:rsidRDefault="0015776E" w:rsidP="00A85E16">
            <w:pPr>
              <w:spacing w:before="40" w:after="120"/>
              <w:ind w:right="113"/>
              <w:rPr>
                <w:rFonts w:eastAsia="Calibri"/>
                <w:lang w:val="en-US"/>
              </w:rPr>
            </w:pPr>
            <w:r w:rsidRPr="00A85E16">
              <w:rPr>
                <w:rFonts w:eastAsia="Calibri"/>
                <w:lang w:val="en-US"/>
              </w:rPr>
              <w:t xml:space="preserve">We would like to mention the </w:t>
            </w:r>
            <w:r w:rsidR="00562008" w:rsidRPr="00A85E16">
              <w:rPr>
                <w:rFonts w:eastAsia="Calibri"/>
                <w:lang w:val="en-US"/>
              </w:rPr>
              <w:t>b</w:t>
            </w:r>
            <w:r w:rsidRPr="00A85E16">
              <w:rPr>
                <w:rFonts w:eastAsia="Calibri"/>
                <w:lang w:val="en-US"/>
              </w:rPr>
              <w:t xml:space="preserve">ilateral consultation meeting held in Ruse on the territory of Bulgaria. A </w:t>
            </w:r>
            <w:r w:rsidR="00562008" w:rsidRPr="00A85E16">
              <w:rPr>
                <w:rFonts w:eastAsia="Calibri"/>
                <w:lang w:val="en-US"/>
              </w:rPr>
              <w:t>b</w:t>
            </w:r>
            <w:r w:rsidRPr="00A85E16">
              <w:rPr>
                <w:rFonts w:eastAsia="Calibri"/>
                <w:lang w:val="en-US"/>
              </w:rPr>
              <w:t xml:space="preserve">ilateral expert meeting was conducted on the issue of “Long term operation of the nuclear power plant”, on 31st of January 2020. The meeting was agreed by the Ministries of Environment of Romania and Bulgaria as a result of the steps undertaken concerning </w:t>
            </w:r>
            <w:r w:rsidR="00562008" w:rsidRPr="00A85E16">
              <w:rPr>
                <w:rFonts w:eastAsia="Calibri"/>
                <w:lang w:val="en-US"/>
              </w:rPr>
              <w:t>lifetime extension</w:t>
            </w:r>
            <w:r w:rsidRPr="00A85E16">
              <w:rPr>
                <w:rFonts w:eastAsia="Calibri"/>
                <w:lang w:val="en-US"/>
              </w:rPr>
              <w:t xml:space="preserve"> of</w:t>
            </w:r>
            <w:r w:rsidR="00562008" w:rsidRPr="00A85E16">
              <w:rPr>
                <w:rFonts w:eastAsia="Calibri"/>
                <w:lang w:val="en-US"/>
              </w:rPr>
              <w:t xml:space="preserve"> units 5 and 6</w:t>
            </w:r>
            <w:r w:rsidRPr="00A85E16">
              <w:rPr>
                <w:rFonts w:eastAsia="Calibri"/>
                <w:lang w:val="en-US"/>
              </w:rPr>
              <w:t xml:space="preserve"> of Kozloduy </w:t>
            </w:r>
            <w:r w:rsidR="00562008" w:rsidRPr="00A85E16">
              <w:rPr>
                <w:rFonts w:eastAsia="Calibri"/>
                <w:lang w:val="en-US"/>
              </w:rPr>
              <w:t>nuclear power plant</w:t>
            </w:r>
            <w:r w:rsidRPr="00A85E16">
              <w:rPr>
                <w:rFonts w:eastAsia="Calibri"/>
                <w:lang w:val="en-US"/>
              </w:rPr>
              <w:t xml:space="preserve"> and the steps envisaged by Romania in the near future, for the national units of Cernavoda </w:t>
            </w:r>
            <w:r w:rsidR="00562008" w:rsidRPr="00A85E16">
              <w:rPr>
                <w:rFonts w:eastAsia="Calibri"/>
                <w:lang w:val="en-US"/>
              </w:rPr>
              <w:t>nuclear power plant</w:t>
            </w:r>
            <w:r w:rsidRPr="00A85E16">
              <w:rPr>
                <w:rFonts w:eastAsia="Calibri"/>
                <w:lang w:val="en-US"/>
              </w:rPr>
              <w:t xml:space="preserve">. The meeting was </w:t>
            </w:r>
            <w:r w:rsidRPr="00A85E16">
              <w:rPr>
                <w:rFonts w:eastAsia="Calibri"/>
                <w:lang w:val="en-US"/>
              </w:rPr>
              <w:lastRenderedPageBreak/>
              <w:t xml:space="preserve">well </w:t>
            </w:r>
            <w:r w:rsidR="00562008" w:rsidRPr="00A85E16">
              <w:rPr>
                <w:rFonts w:eastAsia="Calibri"/>
                <w:lang w:val="en-US"/>
              </w:rPr>
              <w:t>organized</w:t>
            </w:r>
            <w:r w:rsidRPr="00A85E16">
              <w:rPr>
                <w:rFonts w:eastAsia="Calibri"/>
                <w:lang w:val="en-US"/>
              </w:rPr>
              <w:t xml:space="preserve"> and facilitated the progress of the future procedures and good collaboration between two Parties.</w:t>
            </w:r>
          </w:p>
        </w:tc>
      </w:tr>
      <w:tr w:rsidR="0015776E" w:rsidRPr="00A85E16" w14:paraId="40CC121F" w14:textId="77777777" w:rsidTr="00DB2E24">
        <w:tc>
          <w:tcPr>
            <w:tcW w:w="2028" w:type="dxa"/>
            <w:shd w:val="clear" w:color="auto" w:fill="auto"/>
          </w:tcPr>
          <w:p w14:paraId="57F2D1A3" w14:textId="77777777" w:rsidR="0015776E" w:rsidRPr="00A85E16" w:rsidRDefault="0015776E" w:rsidP="00A85E16">
            <w:pPr>
              <w:spacing w:before="40" w:after="120"/>
              <w:ind w:right="113"/>
              <w:rPr>
                <w:rFonts w:eastAsia="Calibri"/>
                <w:lang w:val="en-US"/>
              </w:rPr>
            </w:pPr>
            <w:r w:rsidRPr="00A85E16">
              <w:rPr>
                <w:rFonts w:eastAsia="Calibri"/>
                <w:lang w:val="en-US"/>
              </w:rPr>
              <w:lastRenderedPageBreak/>
              <w:t>Slovenia</w:t>
            </w:r>
          </w:p>
        </w:tc>
        <w:tc>
          <w:tcPr>
            <w:tcW w:w="7609" w:type="dxa"/>
            <w:shd w:val="clear" w:color="auto" w:fill="auto"/>
          </w:tcPr>
          <w:p w14:paraId="1961321C" w14:textId="77777777" w:rsidR="0015776E" w:rsidRPr="00A85E16" w:rsidRDefault="0015776E" w:rsidP="00A85E16">
            <w:pPr>
              <w:spacing w:before="40" w:after="120"/>
              <w:ind w:right="113"/>
              <w:rPr>
                <w:rFonts w:eastAsia="Calibri"/>
                <w:lang w:val="en-US"/>
              </w:rPr>
            </w:pPr>
            <w:r w:rsidRPr="00A85E16">
              <w:rPr>
                <w:rFonts w:eastAsia="Calibri"/>
                <w:lang w:val="en-US"/>
              </w:rPr>
              <w:t>Extension of lifetime for nuclear power plant Krško. Early notification, technical consultation prior the public hearing made the procedure efficient with Austria, Italy, Croatia and Hungary.</w:t>
            </w:r>
          </w:p>
        </w:tc>
      </w:tr>
      <w:tr w:rsidR="0015776E" w:rsidRPr="00A85E16" w14:paraId="210B90B0" w14:textId="77777777" w:rsidTr="00DB2E24">
        <w:tc>
          <w:tcPr>
            <w:tcW w:w="2028" w:type="dxa"/>
            <w:tcBorders>
              <w:bottom w:val="single" w:sz="12" w:space="0" w:color="auto"/>
            </w:tcBorders>
            <w:shd w:val="clear" w:color="auto" w:fill="auto"/>
          </w:tcPr>
          <w:p w14:paraId="6FE000B5" w14:textId="77777777" w:rsidR="0015776E" w:rsidRPr="00A85E16" w:rsidRDefault="0015776E" w:rsidP="00A85E16">
            <w:pPr>
              <w:spacing w:before="40" w:after="120"/>
              <w:ind w:right="113"/>
              <w:rPr>
                <w:rFonts w:eastAsia="Calibri"/>
                <w:lang w:val="en-US"/>
              </w:rPr>
            </w:pPr>
            <w:r w:rsidRPr="00A85E16">
              <w:rPr>
                <w:rFonts w:eastAsia="Calibri"/>
                <w:lang w:val="en-US"/>
              </w:rPr>
              <w:t>Switzerland</w:t>
            </w:r>
          </w:p>
        </w:tc>
        <w:tc>
          <w:tcPr>
            <w:tcW w:w="7609" w:type="dxa"/>
            <w:tcBorders>
              <w:bottom w:val="single" w:sz="12" w:space="0" w:color="auto"/>
            </w:tcBorders>
            <w:shd w:val="clear" w:color="auto" w:fill="auto"/>
          </w:tcPr>
          <w:p w14:paraId="7F880A99" w14:textId="77777777" w:rsidR="0015776E" w:rsidRPr="00A85E16" w:rsidRDefault="0015776E" w:rsidP="00A85E16">
            <w:pPr>
              <w:spacing w:before="40" w:after="120"/>
              <w:ind w:right="113"/>
              <w:rPr>
                <w:rFonts w:eastAsia="Calibri"/>
                <w:lang w:val="en-US"/>
              </w:rPr>
            </w:pPr>
            <w:r w:rsidRPr="00A85E16">
              <w:rPr>
                <w:rFonts w:eastAsia="Calibri"/>
                <w:lang w:val="en-US"/>
              </w:rPr>
              <w:t>Rather than formal, administrative exchanges, a technical exchange (online or in person) between specialist staff can often improve mutual understanding, e.g., when e</w:t>
            </w:r>
            <w:r w:rsidR="006B34FF" w:rsidRPr="00A85E16">
              <w:rPr>
                <w:rFonts w:eastAsia="Calibri"/>
                <w:lang w:val="en-US"/>
              </w:rPr>
              <w:t>nv</w:t>
            </w:r>
            <w:r w:rsidRPr="00A85E16">
              <w:rPr>
                <w:rFonts w:eastAsia="Calibri"/>
                <w:lang w:val="en-US"/>
              </w:rPr>
              <w:t>ironmental protection legislation differs between two countries</w:t>
            </w:r>
            <w:r w:rsidR="00562008" w:rsidRPr="00A85E16">
              <w:rPr>
                <w:rFonts w:eastAsia="Calibri"/>
                <w:lang w:val="en-US"/>
              </w:rPr>
              <w:t>.</w:t>
            </w:r>
          </w:p>
        </w:tc>
      </w:tr>
    </w:tbl>
    <w:p w14:paraId="3056AD40" w14:textId="4BD9F3B2" w:rsidR="0060630D" w:rsidRPr="00A85E16" w:rsidRDefault="00A85E16" w:rsidP="00A85E16">
      <w:pPr>
        <w:spacing w:before="240"/>
        <w:jc w:val="center"/>
        <w:rPr>
          <w:u w:val="single"/>
          <w:lang w:val="en-US"/>
        </w:rPr>
      </w:pPr>
      <w:r>
        <w:rPr>
          <w:u w:val="single"/>
          <w:lang w:val="en-US"/>
        </w:rPr>
        <w:tab/>
      </w:r>
      <w:r>
        <w:rPr>
          <w:u w:val="single"/>
          <w:lang w:val="en-US"/>
        </w:rPr>
        <w:tab/>
      </w:r>
      <w:r>
        <w:rPr>
          <w:u w:val="single"/>
          <w:lang w:val="en-US"/>
        </w:rPr>
        <w:tab/>
      </w:r>
    </w:p>
    <w:sectPr w:rsidR="0060630D" w:rsidRPr="00A85E16" w:rsidSect="00A73979">
      <w:headerReference w:type="even" r:id="rId11"/>
      <w:headerReference w:type="default" r:id="rId12"/>
      <w:footerReference w:type="even" r:id="rId13"/>
      <w:footerReference w:type="default" r:id="rId14"/>
      <w:footnotePr>
        <w:numFmt w:val="lowerLetter"/>
        <w:numRestart w:val="eachSect"/>
      </w:footnotePr>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DFC2" w14:textId="77777777" w:rsidR="00A14660" w:rsidRDefault="00A14660"/>
  </w:endnote>
  <w:endnote w:type="continuationSeparator" w:id="0">
    <w:p w14:paraId="27472774" w14:textId="77777777" w:rsidR="00A14660" w:rsidRDefault="00A14660"/>
  </w:endnote>
  <w:endnote w:type="continuationNotice" w:id="1">
    <w:p w14:paraId="6670C132" w14:textId="77777777" w:rsidR="00A14660" w:rsidRDefault="00A14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D4F2" w14:textId="77777777" w:rsidR="00BC6FFC" w:rsidRPr="002C698C" w:rsidRDefault="00BC6FFC" w:rsidP="002C698C">
    <w:pPr>
      <w:pStyle w:val="Footer"/>
      <w:tabs>
        <w:tab w:val="right" w:pos="9638"/>
      </w:tabs>
      <w:rPr>
        <w:sz w:val="18"/>
      </w:rPr>
    </w:pPr>
    <w:r w:rsidRPr="002C698C">
      <w:rPr>
        <w:b/>
        <w:sz w:val="18"/>
      </w:rPr>
      <w:fldChar w:fldCharType="begin"/>
    </w:r>
    <w:r w:rsidRPr="002C698C">
      <w:rPr>
        <w:b/>
        <w:sz w:val="18"/>
      </w:rPr>
      <w:instrText xml:space="preserve"> PAGE  \* MERGEFORMAT </w:instrText>
    </w:r>
    <w:r w:rsidRPr="002C698C">
      <w:rPr>
        <w:b/>
        <w:sz w:val="18"/>
      </w:rPr>
      <w:fldChar w:fldCharType="separate"/>
    </w:r>
    <w:r w:rsidR="0091644A">
      <w:rPr>
        <w:b/>
        <w:noProof/>
        <w:sz w:val="18"/>
      </w:rPr>
      <w:t>2</w:t>
    </w:r>
    <w:r w:rsidRPr="002C69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AA10" w14:textId="77777777" w:rsidR="00BC6FFC" w:rsidRPr="002C698C" w:rsidRDefault="00BC6FFC" w:rsidP="002C698C">
    <w:pPr>
      <w:pStyle w:val="Footer"/>
      <w:tabs>
        <w:tab w:val="right" w:pos="9638"/>
      </w:tabs>
      <w:rPr>
        <w:b/>
        <w:sz w:val="18"/>
      </w:rPr>
    </w:pPr>
    <w:r>
      <w:tab/>
    </w:r>
    <w:r w:rsidRPr="002C698C">
      <w:rPr>
        <w:b/>
        <w:sz w:val="18"/>
      </w:rPr>
      <w:fldChar w:fldCharType="begin"/>
    </w:r>
    <w:r w:rsidRPr="002C698C">
      <w:rPr>
        <w:b/>
        <w:sz w:val="18"/>
      </w:rPr>
      <w:instrText xml:space="preserve"> PAGE  \* MERGEFORMAT </w:instrText>
    </w:r>
    <w:r w:rsidRPr="002C698C">
      <w:rPr>
        <w:b/>
        <w:sz w:val="18"/>
      </w:rPr>
      <w:fldChar w:fldCharType="separate"/>
    </w:r>
    <w:r w:rsidR="0091644A">
      <w:rPr>
        <w:b/>
        <w:noProof/>
        <w:sz w:val="18"/>
      </w:rPr>
      <w:t>3</w:t>
    </w:r>
    <w:r w:rsidRPr="002C698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14CA" w14:textId="77777777" w:rsidR="00A14660" w:rsidRPr="000B175B" w:rsidRDefault="00A14660" w:rsidP="000B175B">
      <w:pPr>
        <w:tabs>
          <w:tab w:val="right" w:pos="2155"/>
        </w:tabs>
        <w:spacing w:after="80"/>
        <w:ind w:left="680"/>
        <w:rPr>
          <w:u w:val="single"/>
        </w:rPr>
      </w:pPr>
      <w:r>
        <w:rPr>
          <w:u w:val="single"/>
        </w:rPr>
        <w:tab/>
      </w:r>
    </w:p>
  </w:footnote>
  <w:footnote w:type="continuationSeparator" w:id="0">
    <w:p w14:paraId="6BBDBDFF" w14:textId="77777777" w:rsidR="00A14660" w:rsidRPr="00FC68B7" w:rsidRDefault="00A14660" w:rsidP="00FC68B7">
      <w:pPr>
        <w:tabs>
          <w:tab w:val="left" w:pos="2155"/>
        </w:tabs>
        <w:spacing w:after="80"/>
        <w:ind w:left="680"/>
        <w:rPr>
          <w:u w:val="single"/>
        </w:rPr>
      </w:pPr>
      <w:r>
        <w:rPr>
          <w:u w:val="single"/>
        </w:rPr>
        <w:tab/>
      </w:r>
    </w:p>
  </w:footnote>
  <w:footnote w:type="continuationNotice" w:id="1">
    <w:p w14:paraId="4622EEB8" w14:textId="77777777" w:rsidR="00A14660" w:rsidRDefault="00A146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DB2F" w14:textId="77777777" w:rsidR="00BC6FFC" w:rsidRPr="004260D7" w:rsidRDefault="004260D7" w:rsidP="004260D7">
    <w:pPr>
      <w:pStyle w:val="Header"/>
    </w:pPr>
    <w:r w:rsidRPr="004260D7">
      <w:t>ECE/MP.EIA/WG.2/20</w:t>
    </w:r>
    <w:r w:rsidR="001D7867">
      <w:t>22</w:t>
    </w:r>
    <w:r w:rsidRPr="004260D7">
      <w:t>/INF.</w:t>
    </w:r>
    <w:r w:rsidR="0065631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92F9" w14:textId="4B2C8275" w:rsidR="00BC6FFC" w:rsidRPr="004260D7" w:rsidRDefault="004260D7" w:rsidP="004260D7">
    <w:pPr>
      <w:pStyle w:val="Header"/>
      <w:jc w:val="right"/>
    </w:pPr>
    <w:r w:rsidRPr="004260D7">
      <w:t>ECE/MP.EIA/WG.2/20</w:t>
    </w:r>
    <w:r w:rsidR="005260B6">
      <w:t>22</w:t>
    </w:r>
    <w:r w:rsidRPr="004260D7">
      <w:t>/INF.</w:t>
    </w:r>
    <w:r w:rsidR="00057B0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5C74E1"/>
    <w:multiLevelType w:val="hybridMultilevel"/>
    <w:tmpl w:val="E3969624"/>
    <w:lvl w:ilvl="0" w:tplc="0304EE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0566798"/>
    <w:multiLevelType w:val="hybridMultilevel"/>
    <w:tmpl w:val="A502E344"/>
    <w:lvl w:ilvl="0" w:tplc="8A1837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F594AFD"/>
    <w:multiLevelType w:val="hybridMultilevel"/>
    <w:tmpl w:val="EBE8E1C0"/>
    <w:lvl w:ilvl="0" w:tplc="FFFFFFFF">
      <w:start w:val="1"/>
      <w:numFmt w:val="lowerRoman"/>
      <w:pStyle w:val="Question"/>
      <w:lvlText w:val="%1."/>
      <w:lvlJc w:val="left"/>
      <w:pPr>
        <w:tabs>
          <w:tab w:val="num" w:pos="108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6E6123B"/>
    <w:multiLevelType w:val="hybridMultilevel"/>
    <w:tmpl w:val="8298675C"/>
    <w:lvl w:ilvl="0" w:tplc="5EE02E52">
      <w:start w:val="1"/>
      <w:numFmt w:val="upp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79C4121"/>
    <w:multiLevelType w:val="hybridMultilevel"/>
    <w:tmpl w:val="B27CAF82"/>
    <w:lvl w:ilvl="0" w:tplc="946A1F2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30F79BD"/>
    <w:multiLevelType w:val="hybridMultilevel"/>
    <w:tmpl w:val="C870F5F4"/>
    <w:lvl w:ilvl="0" w:tplc="264200E0">
      <w:numFmt w:val="bullet"/>
      <w:lvlText w:val="-"/>
      <w:lvlJc w:val="left"/>
      <w:rPr>
        <w:rFonts w:ascii="Calibri" w:eastAsia="DengXi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26A2D"/>
    <w:multiLevelType w:val="hybridMultilevel"/>
    <w:tmpl w:val="28E67FD2"/>
    <w:lvl w:ilvl="0" w:tplc="489E42C6">
      <w:start w:val="2018"/>
      <w:numFmt w:val="bullet"/>
      <w:lvlText w:val="-"/>
      <w:lvlJc w:val="left"/>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EC8423C"/>
    <w:multiLevelType w:val="hybridMultilevel"/>
    <w:tmpl w:val="9692FA0C"/>
    <w:lvl w:ilvl="0" w:tplc="E5B285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843605"/>
    <w:multiLevelType w:val="hybridMultilevel"/>
    <w:tmpl w:val="10CE1E58"/>
    <w:lvl w:ilvl="0" w:tplc="0024AC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7132ABA"/>
    <w:multiLevelType w:val="hybridMultilevel"/>
    <w:tmpl w:val="BF5472F2"/>
    <w:lvl w:ilvl="0" w:tplc="C5F28458">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B2740AD"/>
    <w:multiLevelType w:val="hybridMultilevel"/>
    <w:tmpl w:val="6F78AFE0"/>
    <w:lvl w:ilvl="0" w:tplc="2F5EB3B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11E7EBB"/>
    <w:multiLevelType w:val="hybridMultilevel"/>
    <w:tmpl w:val="001EC56C"/>
    <w:lvl w:ilvl="0" w:tplc="9798105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6" w15:restartNumberingAfterBreak="0">
    <w:nsid w:val="62DB454F"/>
    <w:multiLevelType w:val="multilevel"/>
    <w:tmpl w:val="31026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36294"/>
    <w:multiLevelType w:val="hybridMultilevel"/>
    <w:tmpl w:val="86A87A96"/>
    <w:lvl w:ilvl="0" w:tplc="C4966B1C">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E330CD"/>
    <w:multiLevelType w:val="hybridMultilevel"/>
    <w:tmpl w:val="BDE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B7870"/>
    <w:multiLevelType w:val="hybridMultilevel"/>
    <w:tmpl w:val="C57EF5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3"/>
  </w:num>
  <w:num w:numId="13">
    <w:abstractNumId w:val="10"/>
  </w:num>
  <w:num w:numId="14">
    <w:abstractNumId w:val="27"/>
  </w:num>
  <w:num w:numId="15">
    <w:abstractNumId w:val="29"/>
  </w:num>
  <w:num w:numId="16">
    <w:abstractNumId w:val="16"/>
  </w:num>
  <w:num w:numId="17">
    <w:abstractNumId w:val="15"/>
  </w:num>
  <w:num w:numId="18">
    <w:abstractNumId w:val="25"/>
  </w:num>
  <w:num w:numId="19">
    <w:abstractNumId w:val="26"/>
  </w:num>
  <w:num w:numId="20">
    <w:abstractNumId w:val="23"/>
  </w:num>
  <w:num w:numId="21">
    <w:abstractNumId w:val="30"/>
  </w:num>
  <w:num w:numId="22">
    <w:abstractNumId w:val="18"/>
  </w:num>
  <w:num w:numId="23">
    <w:abstractNumId w:val="17"/>
  </w:num>
  <w:num w:numId="24">
    <w:abstractNumId w:val="28"/>
  </w:num>
  <w:num w:numId="25">
    <w:abstractNumId w:val="12"/>
  </w:num>
  <w:num w:numId="26">
    <w:abstractNumId w:val="11"/>
  </w:num>
  <w:num w:numId="27">
    <w:abstractNumId w:val="22"/>
  </w:num>
  <w:num w:numId="28">
    <w:abstractNumId w:val="21"/>
  </w:num>
  <w:num w:numId="29">
    <w:abstractNumId w:val="20"/>
  </w:num>
  <w:num w:numId="30">
    <w:abstractNumId w:val="31"/>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lowerLette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8C"/>
    <w:rsid w:val="00000B07"/>
    <w:rsid w:val="00001176"/>
    <w:rsid w:val="000216CD"/>
    <w:rsid w:val="00025C2D"/>
    <w:rsid w:val="000269D7"/>
    <w:rsid w:val="000306F1"/>
    <w:rsid w:val="000410A4"/>
    <w:rsid w:val="00044BE3"/>
    <w:rsid w:val="00046B1F"/>
    <w:rsid w:val="0004737E"/>
    <w:rsid w:val="00050F6B"/>
    <w:rsid w:val="00057B01"/>
    <w:rsid w:val="00057E97"/>
    <w:rsid w:val="00064A66"/>
    <w:rsid w:val="00065154"/>
    <w:rsid w:val="000713F7"/>
    <w:rsid w:val="00072C8C"/>
    <w:rsid w:val="000733B5"/>
    <w:rsid w:val="00073D17"/>
    <w:rsid w:val="00074D98"/>
    <w:rsid w:val="0008062D"/>
    <w:rsid w:val="00080CAC"/>
    <w:rsid w:val="00081815"/>
    <w:rsid w:val="00084041"/>
    <w:rsid w:val="000931C0"/>
    <w:rsid w:val="000967F3"/>
    <w:rsid w:val="000A2E6C"/>
    <w:rsid w:val="000B0595"/>
    <w:rsid w:val="000B175B"/>
    <w:rsid w:val="000B3A0F"/>
    <w:rsid w:val="000B4EF7"/>
    <w:rsid w:val="000B75AA"/>
    <w:rsid w:val="000B7F57"/>
    <w:rsid w:val="000C2C03"/>
    <w:rsid w:val="000C2D2E"/>
    <w:rsid w:val="000C6F78"/>
    <w:rsid w:val="000E0415"/>
    <w:rsid w:val="00100A01"/>
    <w:rsid w:val="001053C1"/>
    <w:rsid w:val="00106A6D"/>
    <w:rsid w:val="00106CF2"/>
    <w:rsid w:val="001103AA"/>
    <w:rsid w:val="00115904"/>
    <w:rsid w:val="0011666B"/>
    <w:rsid w:val="001375B4"/>
    <w:rsid w:val="0015776E"/>
    <w:rsid w:val="001649D3"/>
    <w:rsid w:val="00165F3A"/>
    <w:rsid w:val="001703C2"/>
    <w:rsid w:val="00170FBF"/>
    <w:rsid w:val="001769E4"/>
    <w:rsid w:val="001774E9"/>
    <w:rsid w:val="0018139E"/>
    <w:rsid w:val="00187F01"/>
    <w:rsid w:val="0019790D"/>
    <w:rsid w:val="001A1EDD"/>
    <w:rsid w:val="001A3336"/>
    <w:rsid w:val="001A4545"/>
    <w:rsid w:val="001A4616"/>
    <w:rsid w:val="001A6078"/>
    <w:rsid w:val="001B4B04"/>
    <w:rsid w:val="001B5AFE"/>
    <w:rsid w:val="001C46ED"/>
    <w:rsid w:val="001C548B"/>
    <w:rsid w:val="001C6663"/>
    <w:rsid w:val="001C730D"/>
    <w:rsid w:val="001C7895"/>
    <w:rsid w:val="001D0C8C"/>
    <w:rsid w:val="001D1419"/>
    <w:rsid w:val="001D26DF"/>
    <w:rsid w:val="001D3A03"/>
    <w:rsid w:val="001D44B3"/>
    <w:rsid w:val="001D7867"/>
    <w:rsid w:val="001E3E58"/>
    <w:rsid w:val="001E7B67"/>
    <w:rsid w:val="001F08FA"/>
    <w:rsid w:val="001F3C70"/>
    <w:rsid w:val="00202DA8"/>
    <w:rsid w:val="00206BDE"/>
    <w:rsid w:val="00211E0B"/>
    <w:rsid w:val="0021687A"/>
    <w:rsid w:val="0023140B"/>
    <w:rsid w:val="00240A7B"/>
    <w:rsid w:val="0024772E"/>
    <w:rsid w:val="00247CB0"/>
    <w:rsid w:val="002512FF"/>
    <w:rsid w:val="00255FF4"/>
    <w:rsid w:val="002565D9"/>
    <w:rsid w:val="002647A4"/>
    <w:rsid w:val="00267B0B"/>
    <w:rsid w:val="00267F5F"/>
    <w:rsid w:val="0027207C"/>
    <w:rsid w:val="00280B7D"/>
    <w:rsid w:val="00286B4D"/>
    <w:rsid w:val="002879F6"/>
    <w:rsid w:val="00296349"/>
    <w:rsid w:val="002A08EB"/>
    <w:rsid w:val="002A43C4"/>
    <w:rsid w:val="002B6A89"/>
    <w:rsid w:val="002C37FF"/>
    <w:rsid w:val="002C50DB"/>
    <w:rsid w:val="002C698C"/>
    <w:rsid w:val="002D3E66"/>
    <w:rsid w:val="002D4643"/>
    <w:rsid w:val="002E27D4"/>
    <w:rsid w:val="002E3AD1"/>
    <w:rsid w:val="002E66B3"/>
    <w:rsid w:val="002E6A7E"/>
    <w:rsid w:val="002E6B53"/>
    <w:rsid w:val="002F175C"/>
    <w:rsid w:val="002F2B7D"/>
    <w:rsid w:val="00302E18"/>
    <w:rsid w:val="0030321B"/>
    <w:rsid w:val="0031178C"/>
    <w:rsid w:val="003120D4"/>
    <w:rsid w:val="003229D8"/>
    <w:rsid w:val="00324894"/>
    <w:rsid w:val="00331FDF"/>
    <w:rsid w:val="00342FBB"/>
    <w:rsid w:val="00343D61"/>
    <w:rsid w:val="00352709"/>
    <w:rsid w:val="003619B5"/>
    <w:rsid w:val="003653A4"/>
    <w:rsid w:val="00365763"/>
    <w:rsid w:val="0036601A"/>
    <w:rsid w:val="00371178"/>
    <w:rsid w:val="0037194D"/>
    <w:rsid w:val="00371998"/>
    <w:rsid w:val="00392E47"/>
    <w:rsid w:val="003A23BB"/>
    <w:rsid w:val="003A3562"/>
    <w:rsid w:val="003A6810"/>
    <w:rsid w:val="003B1DA2"/>
    <w:rsid w:val="003B58BE"/>
    <w:rsid w:val="003C2CC4"/>
    <w:rsid w:val="003D4B23"/>
    <w:rsid w:val="003E48E2"/>
    <w:rsid w:val="003E58CF"/>
    <w:rsid w:val="003E6187"/>
    <w:rsid w:val="003E7CB7"/>
    <w:rsid w:val="003F06E8"/>
    <w:rsid w:val="003F6D6E"/>
    <w:rsid w:val="00401CCF"/>
    <w:rsid w:val="004104BD"/>
    <w:rsid w:val="00410C89"/>
    <w:rsid w:val="00415193"/>
    <w:rsid w:val="00422E03"/>
    <w:rsid w:val="00425609"/>
    <w:rsid w:val="004260D7"/>
    <w:rsid w:val="00426B9B"/>
    <w:rsid w:val="004325CB"/>
    <w:rsid w:val="004334A2"/>
    <w:rsid w:val="0043351E"/>
    <w:rsid w:val="00436788"/>
    <w:rsid w:val="00442A83"/>
    <w:rsid w:val="00443B32"/>
    <w:rsid w:val="00447484"/>
    <w:rsid w:val="00453DEB"/>
    <w:rsid w:val="0045495B"/>
    <w:rsid w:val="00455606"/>
    <w:rsid w:val="00461533"/>
    <w:rsid w:val="004678ED"/>
    <w:rsid w:val="00467B6C"/>
    <w:rsid w:val="00476C23"/>
    <w:rsid w:val="0048120C"/>
    <w:rsid w:val="0048397A"/>
    <w:rsid w:val="00483EA8"/>
    <w:rsid w:val="00485CBB"/>
    <w:rsid w:val="004866B7"/>
    <w:rsid w:val="004920D6"/>
    <w:rsid w:val="0049707E"/>
    <w:rsid w:val="0049794E"/>
    <w:rsid w:val="004A0421"/>
    <w:rsid w:val="004A2AB6"/>
    <w:rsid w:val="004A5544"/>
    <w:rsid w:val="004A752E"/>
    <w:rsid w:val="004B258D"/>
    <w:rsid w:val="004B5A1F"/>
    <w:rsid w:val="004C2461"/>
    <w:rsid w:val="004C7462"/>
    <w:rsid w:val="004E09FC"/>
    <w:rsid w:val="004E45B5"/>
    <w:rsid w:val="004E5CC6"/>
    <w:rsid w:val="004E77B2"/>
    <w:rsid w:val="004F6F15"/>
    <w:rsid w:val="00501D23"/>
    <w:rsid w:val="005037FB"/>
    <w:rsid w:val="00504B2D"/>
    <w:rsid w:val="005104F4"/>
    <w:rsid w:val="0052136D"/>
    <w:rsid w:val="005260B6"/>
    <w:rsid w:val="005268A3"/>
    <w:rsid w:val="0052775E"/>
    <w:rsid w:val="00530E7B"/>
    <w:rsid w:val="005405BF"/>
    <w:rsid w:val="005420F2"/>
    <w:rsid w:val="00550724"/>
    <w:rsid w:val="00561774"/>
    <w:rsid w:val="00562008"/>
    <w:rsid w:val="00562807"/>
    <w:rsid w:val="005628B6"/>
    <w:rsid w:val="0056303E"/>
    <w:rsid w:val="005654C7"/>
    <w:rsid w:val="0057184C"/>
    <w:rsid w:val="00576529"/>
    <w:rsid w:val="00580D7C"/>
    <w:rsid w:val="0058154F"/>
    <w:rsid w:val="00592392"/>
    <w:rsid w:val="0059273C"/>
    <w:rsid w:val="005934F7"/>
    <w:rsid w:val="005949DF"/>
    <w:rsid w:val="0059724D"/>
    <w:rsid w:val="005A5AF6"/>
    <w:rsid w:val="005B204E"/>
    <w:rsid w:val="005B3DB3"/>
    <w:rsid w:val="005B4E13"/>
    <w:rsid w:val="005B68BD"/>
    <w:rsid w:val="005C342F"/>
    <w:rsid w:val="005D024B"/>
    <w:rsid w:val="005D3B71"/>
    <w:rsid w:val="005D4D4C"/>
    <w:rsid w:val="005D651B"/>
    <w:rsid w:val="005E1183"/>
    <w:rsid w:val="005E46DD"/>
    <w:rsid w:val="005E5696"/>
    <w:rsid w:val="005F7B75"/>
    <w:rsid w:val="006001EE"/>
    <w:rsid w:val="00605042"/>
    <w:rsid w:val="0060630D"/>
    <w:rsid w:val="00611FC4"/>
    <w:rsid w:val="00612463"/>
    <w:rsid w:val="00616260"/>
    <w:rsid w:val="006176FB"/>
    <w:rsid w:val="00621418"/>
    <w:rsid w:val="006239AC"/>
    <w:rsid w:val="0062415E"/>
    <w:rsid w:val="00631859"/>
    <w:rsid w:val="00632DC4"/>
    <w:rsid w:val="006359DB"/>
    <w:rsid w:val="00640B26"/>
    <w:rsid w:val="006517E4"/>
    <w:rsid w:val="00652387"/>
    <w:rsid w:val="00652D0A"/>
    <w:rsid w:val="0065631B"/>
    <w:rsid w:val="00662BB6"/>
    <w:rsid w:val="0067584F"/>
    <w:rsid w:val="00676606"/>
    <w:rsid w:val="00683A1D"/>
    <w:rsid w:val="00684C21"/>
    <w:rsid w:val="0068510D"/>
    <w:rsid w:val="006A185A"/>
    <w:rsid w:val="006A2530"/>
    <w:rsid w:val="006A6832"/>
    <w:rsid w:val="006B34FF"/>
    <w:rsid w:val="006C1934"/>
    <w:rsid w:val="006C3589"/>
    <w:rsid w:val="006C4B74"/>
    <w:rsid w:val="006C4C45"/>
    <w:rsid w:val="006C7830"/>
    <w:rsid w:val="006D3515"/>
    <w:rsid w:val="006D37AF"/>
    <w:rsid w:val="006D4FBA"/>
    <w:rsid w:val="006D51D0"/>
    <w:rsid w:val="006D5FB9"/>
    <w:rsid w:val="006D74D8"/>
    <w:rsid w:val="006E26F0"/>
    <w:rsid w:val="006E38D6"/>
    <w:rsid w:val="006E564B"/>
    <w:rsid w:val="006E7191"/>
    <w:rsid w:val="006F5695"/>
    <w:rsid w:val="006F6332"/>
    <w:rsid w:val="006F6B4C"/>
    <w:rsid w:val="00703577"/>
    <w:rsid w:val="00705894"/>
    <w:rsid w:val="00705E38"/>
    <w:rsid w:val="0072159E"/>
    <w:rsid w:val="0072160B"/>
    <w:rsid w:val="0072209F"/>
    <w:rsid w:val="0072632A"/>
    <w:rsid w:val="007266B2"/>
    <w:rsid w:val="00730E7E"/>
    <w:rsid w:val="0073270B"/>
    <w:rsid w:val="007327D5"/>
    <w:rsid w:val="00733073"/>
    <w:rsid w:val="00741B41"/>
    <w:rsid w:val="00746B7B"/>
    <w:rsid w:val="007629C8"/>
    <w:rsid w:val="007637DC"/>
    <w:rsid w:val="00764584"/>
    <w:rsid w:val="0077047D"/>
    <w:rsid w:val="007867F0"/>
    <w:rsid w:val="00787ABD"/>
    <w:rsid w:val="00793A3E"/>
    <w:rsid w:val="00795578"/>
    <w:rsid w:val="007963BC"/>
    <w:rsid w:val="007B451B"/>
    <w:rsid w:val="007B6BA5"/>
    <w:rsid w:val="007B70F1"/>
    <w:rsid w:val="007C3390"/>
    <w:rsid w:val="007C4F4B"/>
    <w:rsid w:val="007D7342"/>
    <w:rsid w:val="007E01E9"/>
    <w:rsid w:val="007E40C0"/>
    <w:rsid w:val="007E63F3"/>
    <w:rsid w:val="007E6615"/>
    <w:rsid w:val="007F26DD"/>
    <w:rsid w:val="007F5B4A"/>
    <w:rsid w:val="007F6611"/>
    <w:rsid w:val="00811920"/>
    <w:rsid w:val="00815AD0"/>
    <w:rsid w:val="00820B89"/>
    <w:rsid w:val="00822541"/>
    <w:rsid w:val="008231CA"/>
    <w:rsid w:val="008242D7"/>
    <w:rsid w:val="008257B1"/>
    <w:rsid w:val="00832334"/>
    <w:rsid w:val="00841A45"/>
    <w:rsid w:val="00843767"/>
    <w:rsid w:val="00843CDA"/>
    <w:rsid w:val="008549F9"/>
    <w:rsid w:val="008654AD"/>
    <w:rsid w:val="00865AC9"/>
    <w:rsid w:val="008679D9"/>
    <w:rsid w:val="00872040"/>
    <w:rsid w:val="00876BB9"/>
    <w:rsid w:val="008878DE"/>
    <w:rsid w:val="008947DD"/>
    <w:rsid w:val="008979B1"/>
    <w:rsid w:val="008A522A"/>
    <w:rsid w:val="008A533B"/>
    <w:rsid w:val="008A6B25"/>
    <w:rsid w:val="008A6C4F"/>
    <w:rsid w:val="008B2335"/>
    <w:rsid w:val="008B4955"/>
    <w:rsid w:val="008B7A5D"/>
    <w:rsid w:val="008C48A9"/>
    <w:rsid w:val="008C611D"/>
    <w:rsid w:val="008D1727"/>
    <w:rsid w:val="008D1FCE"/>
    <w:rsid w:val="008D65A7"/>
    <w:rsid w:val="008E0678"/>
    <w:rsid w:val="008E114A"/>
    <w:rsid w:val="008F06E5"/>
    <w:rsid w:val="008F21D0"/>
    <w:rsid w:val="0090024A"/>
    <w:rsid w:val="009027FA"/>
    <w:rsid w:val="009065A8"/>
    <w:rsid w:val="00910BF4"/>
    <w:rsid w:val="00914BE6"/>
    <w:rsid w:val="0091644A"/>
    <w:rsid w:val="00916530"/>
    <w:rsid w:val="009223CA"/>
    <w:rsid w:val="00922EE1"/>
    <w:rsid w:val="00931B97"/>
    <w:rsid w:val="00940F93"/>
    <w:rsid w:val="00941938"/>
    <w:rsid w:val="00946576"/>
    <w:rsid w:val="0095319E"/>
    <w:rsid w:val="00955983"/>
    <w:rsid w:val="009760F3"/>
    <w:rsid w:val="00976CFB"/>
    <w:rsid w:val="0097784A"/>
    <w:rsid w:val="0098121B"/>
    <w:rsid w:val="00983AEA"/>
    <w:rsid w:val="00983F17"/>
    <w:rsid w:val="009A0830"/>
    <w:rsid w:val="009A0E8D"/>
    <w:rsid w:val="009A1173"/>
    <w:rsid w:val="009A48D1"/>
    <w:rsid w:val="009A7F18"/>
    <w:rsid w:val="009B26E7"/>
    <w:rsid w:val="009B36B4"/>
    <w:rsid w:val="009B3776"/>
    <w:rsid w:val="009C27B8"/>
    <w:rsid w:val="009C4A9E"/>
    <w:rsid w:val="009C4FDB"/>
    <w:rsid w:val="009D2E1B"/>
    <w:rsid w:val="009D62BD"/>
    <w:rsid w:val="009E3236"/>
    <w:rsid w:val="009E580A"/>
    <w:rsid w:val="009F1D8A"/>
    <w:rsid w:val="009F5C19"/>
    <w:rsid w:val="009F69BD"/>
    <w:rsid w:val="00A00697"/>
    <w:rsid w:val="00A00A3F"/>
    <w:rsid w:val="00A01489"/>
    <w:rsid w:val="00A01F36"/>
    <w:rsid w:val="00A074C3"/>
    <w:rsid w:val="00A14660"/>
    <w:rsid w:val="00A1606D"/>
    <w:rsid w:val="00A3026E"/>
    <w:rsid w:val="00A302CF"/>
    <w:rsid w:val="00A30A1B"/>
    <w:rsid w:val="00A338F1"/>
    <w:rsid w:val="00A35BE0"/>
    <w:rsid w:val="00A3616E"/>
    <w:rsid w:val="00A376BD"/>
    <w:rsid w:val="00A43470"/>
    <w:rsid w:val="00A65CA2"/>
    <w:rsid w:val="00A664E2"/>
    <w:rsid w:val="00A70A06"/>
    <w:rsid w:val="00A72F22"/>
    <w:rsid w:val="00A7360F"/>
    <w:rsid w:val="00A73979"/>
    <w:rsid w:val="00A748A6"/>
    <w:rsid w:val="00A769F4"/>
    <w:rsid w:val="00A776B4"/>
    <w:rsid w:val="00A82418"/>
    <w:rsid w:val="00A85E16"/>
    <w:rsid w:val="00A94361"/>
    <w:rsid w:val="00A95478"/>
    <w:rsid w:val="00AA293C"/>
    <w:rsid w:val="00AA6B55"/>
    <w:rsid w:val="00AB729C"/>
    <w:rsid w:val="00AC1AC0"/>
    <w:rsid w:val="00AD1AE6"/>
    <w:rsid w:val="00AF2620"/>
    <w:rsid w:val="00AF4B57"/>
    <w:rsid w:val="00AF5732"/>
    <w:rsid w:val="00B071A0"/>
    <w:rsid w:val="00B10DDC"/>
    <w:rsid w:val="00B11ED3"/>
    <w:rsid w:val="00B13ECB"/>
    <w:rsid w:val="00B213D8"/>
    <w:rsid w:val="00B23F07"/>
    <w:rsid w:val="00B30179"/>
    <w:rsid w:val="00B317C5"/>
    <w:rsid w:val="00B31ECD"/>
    <w:rsid w:val="00B40E46"/>
    <w:rsid w:val="00B421C1"/>
    <w:rsid w:val="00B4653D"/>
    <w:rsid w:val="00B55C71"/>
    <w:rsid w:val="00B56E4A"/>
    <w:rsid w:val="00B56E9C"/>
    <w:rsid w:val="00B5750B"/>
    <w:rsid w:val="00B64B1F"/>
    <w:rsid w:val="00B6553F"/>
    <w:rsid w:val="00B715A3"/>
    <w:rsid w:val="00B77D05"/>
    <w:rsid w:val="00B8053E"/>
    <w:rsid w:val="00B81206"/>
    <w:rsid w:val="00B81E12"/>
    <w:rsid w:val="00B97B3C"/>
    <w:rsid w:val="00BA43C9"/>
    <w:rsid w:val="00BB471D"/>
    <w:rsid w:val="00BB50B9"/>
    <w:rsid w:val="00BB526C"/>
    <w:rsid w:val="00BC3FA0"/>
    <w:rsid w:val="00BC662E"/>
    <w:rsid w:val="00BC6FFC"/>
    <w:rsid w:val="00BC74E9"/>
    <w:rsid w:val="00BD2122"/>
    <w:rsid w:val="00BD37B2"/>
    <w:rsid w:val="00BD4CE4"/>
    <w:rsid w:val="00BE4497"/>
    <w:rsid w:val="00BE582B"/>
    <w:rsid w:val="00BE58C4"/>
    <w:rsid w:val="00BF2B74"/>
    <w:rsid w:val="00BF68A8"/>
    <w:rsid w:val="00C041B4"/>
    <w:rsid w:val="00C11A03"/>
    <w:rsid w:val="00C15076"/>
    <w:rsid w:val="00C22C0C"/>
    <w:rsid w:val="00C26CD3"/>
    <w:rsid w:val="00C3308F"/>
    <w:rsid w:val="00C35ADD"/>
    <w:rsid w:val="00C35AEE"/>
    <w:rsid w:val="00C35F1F"/>
    <w:rsid w:val="00C36985"/>
    <w:rsid w:val="00C4527F"/>
    <w:rsid w:val="00C463DD"/>
    <w:rsid w:val="00C47134"/>
    <w:rsid w:val="00C4724C"/>
    <w:rsid w:val="00C47552"/>
    <w:rsid w:val="00C54A99"/>
    <w:rsid w:val="00C5775F"/>
    <w:rsid w:val="00C629A0"/>
    <w:rsid w:val="00C64629"/>
    <w:rsid w:val="00C73BBA"/>
    <w:rsid w:val="00C745C3"/>
    <w:rsid w:val="00C77902"/>
    <w:rsid w:val="00C80065"/>
    <w:rsid w:val="00C86215"/>
    <w:rsid w:val="00C9442F"/>
    <w:rsid w:val="00C96DF2"/>
    <w:rsid w:val="00CA2825"/>
    <w:rsid w:val="00CB1940"/>
    <w:rsid w:val="00CB1B05"/>
    <w:rsid w:val="00CB3E03"/>
    <w:rsid w:val="00CC10D3"/>
    <w:rsid w:val="00CC10DC"/>
    <w:rsid w:val="00CD286D"/>
    <w:rsid w:val="00CD33CA"/>
    <w:rsid w:val="00CD4FE9"/>
    <w:rsid w:val="00CE4A8F"/>
    <w:rsid w:val="00CF3073"/>
    <w:rsid w:val="00CF3AF5"/>
    <w:rsid w:val="00CF5E12"/>
    <w:rsid w:val="00CF7186"/>
    <w:rsid w:val="00D02901"/>
    <w:rsid w:val="00D0448D"/>
    <w:rsid w:val="00D05278"/>
    <w:rsid w:val="00D07FAC"/>
    <w:rsid w:val="00D2031B"/>
    <w:rsid w:val="00D207F1"/>
    <w:rsid w:val="00D25FE2"/>
    <w:rsid w:val="00D26D82"/>
    <w:rsid w:val="00D27FCF"/>
    <w:rsid w:val="00D30281"/>
    <w:rsid w:val="00D312A0"/>
    <w:rsid w:val="00D4131A"/>
    <w:rsid w:val="00D43252"/>
    <w:rsid w:val="00D47EEA"/>
    <w:rsid w:val="00D55820"/>
    <w:rsid w:val="00D570E4"/>
    <w:rsid w:val="00D610C4"/>
    <w:rsid w:val="00D67EFF"/>
    <w:rsid w:val="00D706FA"/>
    <w:rsid w:val="00D71B3E"/>
    <w:rsid w:val="00D773DF"/>
    <w:rsid w:val="00D931F3"/>
    <w:rsid w:val="00D95303"/>
    <w:rsid w:val="00D978C6"/>
    <w:rsid w:val="00DA3C1C"/>
    <w:rsid w:val="00DA5668"/>
    <w:rsid w:val="00DB2E24"/>
    <w:rsid w:val="00DB3807"/>
    <w:rsid w:val="00DB4864"/>
    <w:rsid w:val="00DB48E0"/>
    <w:rsid w:val="00DB500F"/>
    <w:rsid w:val="00DB64D6"/>
    <w:rsid w:val="00DC1AEE"/>
    <w:rsid w:val="00DD18A4"/>
    <w:rsid w:val="00DD2EB3"/>
    <w:rsid w:val="00DD574D"/>
    <w:rsid w:val="00DD667B"/>
    <w:rsid w:val="00DF4225"/>
    <w:rsid w:val="00E046DF"/>
    <w:rsid w:val="00E07ED4"/>
    <w:rsid w:val="00E10103"/>
    <w:rsid w:val="00E14DDF"/>
    <w:rsid w:val="00E174C1"/>
    <w:rsid w:val="00E25A15"/>
    <w:rsid w:val="00E27346"/>
    <w:rsid w:val="00E343F8"/>
    <w:rsid w:val="00E3514E"/>
    <w:rsid w:val="00E6074B"/>
    <w:rsid w:val="00E71BC8"/>
    <w:rsid w:val="00E7260F"/>
    <w:rsid w:val="00E73F5D"/>
    <w:rsid w:val="00E77E4E"/>
    <w:rsid w:val="00E81793"/>
    <w:rsid w:val="00E86B3F"/>
    <w:rsid w:val="00E87B7D"/>
    <w:rsid w:val="00E87E53"/>
    <w:rsid w:val="00E93497"/>
    <w:rsid w:val="00E94117"/>
    <w:rsid w:val="00E96630"/>
    <w:rsid w:val="00EB1CFB"/>
    <w:rsid w:val="00EB3A35"/>
    <w:rsid w:val="00EB4359"/>
    <w:rsid w:val="00EB5BF9"/>
    <w:rsid w:val="00EB6489"/>
    <w:rsid w:val="00ED7A2A"/>
    <w:rsid w:val="00EE3E42"/>
    <w:rsid w:val="00EE4A76"/>
    <w:rsid w:val="00EF0D74"/>
    <w:rsid w:val="00EF1D7F"/>
    <w:rsid w:val="00EF73AB"/>
    <w:rsid w:val="00EF7912"/>
    <w:rsid w:val="00F012FE"/>
    <w:rsid w:val="00F20A63"/>
    <w:rsid w:val="00F27E1B"/>
    <w:rsid w:val="00F31C29"/>
    <w:rsid w:val="00F31E5F"/>
    <w:rsid w:val="00F5291F"/>
    <w:rsid w:val="00F55620"/>
    <w:rsid w:val="00F55E46"/>
    <w:rsid w:val="00F56536"/>
    <w:rsid w:val="00F5710E"/>
    <w:rsid w:val="00F57D01"/>
    <w:rsid w:val="00F6100A"/>
    <w:rsid w:val="00F6137A"/>
    <w:rsid w:val="00F73DFA"/>
    <w:rsid w:val="00F87ED1"/>
    <w:rsid w:val="00F93781"/>
    <w:rsid w:val="00FB04E1"/>
    <w:rsid w:val="00FB07D6"/>
    <w:rsid w:val="00FB613B"/>
    <w:rsid w:val="00FB7305"/>
    <w:rsid w:val="00FC2A88"/>
    <w:rsid w:val="00FC4723"/>
    <w:rsid w:val="00FC68B7"/>
    <w:rsid w:val="00FD0D2B"/>
    <w:rsid w:val="00FD2672"/>
    <w:rsid w:val="00FD3F98"/>
    <w:rsid w:val="00FE106A"/>
    <w:rsid w:val="00FE42A8"/>
    <w:rsid w:val="00FE4830"/>
    <w:rsid w:val="00FE4F0F"/>
    <w:rsid w:val="00FF145D"/>
    <w:rsid w:val="00FF496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DBB09"/>
  <w15:chartTrackingRefBased/>
  <w15:docId w15:val="{3468CB73-FE3B-4D3B-B651-571DFE28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076"/>
    <w:pPr>
      <w:suppressAutoHyphens/>
      <w:spacing w:line="240" w:lineRule="atLeast"/>
    </w:pPr>
    <w:rPr>
      <w:lang w:eastAsia="en-US"/>
    </w:rPr>
  </w:style>
  <w:style w:type="paragraph" w:styleId="Heading1">
    <w:name w:val="heading 1"/>
    <w:aliases w:val="Table_G"/>
    <w:basedOn w:val="SingleTxtG"/>
    <w:next w:val="SingleTxtG"/>
    <w:qFormat/>
    <w:rsid w:val="00C15076"/>
    <w:pPr>
      <w:spacing w:after="0" w:line="240" w:lineRule="auto"/>
      <w:ind w:right="0"/>
      <w:jc w:val="left"/>
      <w:outlineLvl w:val="0"/>
    </w:pPr>
  </w:style>
  <w:style w:type="paragraph" w:styleId="Heading2">
    <w:name w:val="heading 2"/>
    <w:basedOn w:val="Normal"/>
    <w:next w:val="Normal"/>
    <w:qFormat/>
    <w:rsid w:val="00C15076"/>
    <w:pPr>
      <w:spacing w:line="240" w:lineRule="auto"/>
      <w:outlineLvl w:val="1"/>
    </w:pPr>
  </w:style>
  <w:style w:type="paragraph" w:styleId="Heading3">
    <w:name w:val="heading 3"/>
    <w:basedOn w:val="Normal"/>
    <w:next w:val="Normal"/>
    <w:qFormat/>
    <w:rsid w:val="00C15076"/>
    <w:pPr>
      <w:spacing w:line="240" w:lineRule="auto"/>
      <w:outlineLvl w:val="2"/>
    </w:pPr>
  </w:style>
  <w:style w:type="paragraph" w:styleId="Heading4">
    <w:name w:val="heading 4"/>
    <w:basedOn w:val="Normal"/>
    <w:next w:val="Normal"/>
    <w:qFormat/>
    <w:rsid w:val="00C15076"/>
    <w:pPr>
      <w:spacing w:line="240" w:lineRule="auto"/>
      <w:outlineLvl w:val="3"/>
    </w:pPr>
  </w:style>
  <w:style w:type="paragraph" w:styleId="Heading5">
    <w:name w:val="heading 5"/>
    <w:basedOn w:val="Normal"/>
    <w:next w:val="Normal"/>
    <w:qFormat/>
    <w:rsid w:val="00C15076"/>
    <w:pPr>
      <w:spacing w:line="240" w:lineRule="auto"/>
      <w:outlineLvl w:val="4"/>
    </w:pPr>
  </w:style>
  <w:style w:type="paragraph" w:styleId="Heading6">
    <w:name w:val="heading 6"/>
    <w:basedOn w:val="Normal"/>
    <w:next w:val="Normal"/>
    <w:qFormat/>
    <w:rsid w:val="00C15076"/>
    <w:pPr>
      <w:spacing w:line="240" w:lineRule="auto"/>
      <w:outlineLvl w:val="5"/>
    </w:pPr>
  </w:style>
  <w:style w:type="paragraph" w:styleId="Heading7">
    <w:name w:val="heading 7"/>
    <w:basedOn w:val="Normal"/>
    <w:next w:val="Normal"/>
    <w:qFormat/>
    <w:rsid w:val="00C15076"/>
    <w:pPr>
      <w:spacing w:line="240" w:lineRule="auto"/>
      <w:outlineLvl w:val="6"/>
    </w:pPr>
  </w:style>
  <w:style w:type="paragraph" w:styleId="Heading8">
    <w:name w:val="heading 8"/>
    <w:basedOn w:val="Normal"/>
    <w:next w:val="Normal"/>
    <w:qFormat/>
    <w:rsid w:val="00C15076"/>
    <w:pPr>
      <w:spacing w:line="240" w:lineRule="auto"/>
      <w:outlineLvl w:val="7"/>
    </w:pPr>
  </w:style>
  <w:style w:type="paragraph" w:styleId="Heading9">
    <w:name w:val="heading 9"/>
    <w:basedOn w:val="Normal"/>
    <w:next w:val="Normal"/>
    <w:qFormat/>
    <w:rsid w:val="00C150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150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15076"/>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C15076"/>
    <w:pPr>
      <w:spacing w:after="120"/>
      <w:ind w:left="1134" w:right="1134"/>
      <w:jc w:val="both"/>
    </w:pPr>
  </w:style>
  <w:style w:type="character" w:styleId="PageNumber">
    <w:name w:val="page number"/>
    <w:aliases w:val="7_G"/>
    <w:rsid w:val="00C150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C15076"/>
    <w:pPr>
      <w:keepNext/>
      <w:keepLines/>
      <w:spacing w:before="240" w:after="240" w:line="420" w:lineRule="exact"/>
      <w:ind w:left="1134" w:right="1134"/>
    </w:pPr>
    <w:rPr>
      <w:b/>
      <w:sz w:val="40"/>
    </w:rPr>
  </w:style>
  <w:style w:type="paragraph" w:customStyle="1" w:styleId="SLG">
    <w:name w:val="__S_L_G"/>
    <w:basedOn w:val="Normal"/>
    <w:next w:val="Normal"/>
    <w:rsid w:val="00C15076"/>
    <w:pPr>
      <w:keepNext/>
      <w:keepLines/>
      <w:spacing w:before="240" w:after="240" w:line="580" w:lineRule="exact"/>
      <w:ind w:left="1134" w:right="1134"/>
    </w:pPr>
    <w:rPr>
      <w:b/>
      <w:sz w:val="56"/>
    </w:rPr>
  </w:style>
  <w:style w:type="paragraph" w:customStyle="1" w:styleId="SSG">
    <w:name w:val="__S_S_G"/>
    <w:basedOn w:val="Normal"/>
    <w:next w:val="Normal"/>
    <w:rsid w:val="00C15076"/>
    <w:pPr>
      <w:keepNext/>
      <w:keepLines/>
      <w:spacing w:before="240" w:after="240" w:line="300" w:lineRule="exact"/>
      <w:ind w:left="1134" w:right="1134"/>
    </w:pPr>
    <w:rPr>
      <w:b/>
      <w:sz w:val="28"/>
    </w:rPr>
  </w:style>
  <w:style w:type="character" w:styleId="EndnoteReference">
    <w:name w:val="endnote reference"/>
    <w:aliases w:val="1_G"/>
    <w:rsid w:val="00C15076"/>
    <w:rPr>
      <w:rFonts w:ascii="Times New Roman" w:hAnsi="Times New Roman"/>
      <w:sz w:val="18"/>
      <w:vertAlign w:val="superscript"/>
    </w:rPr>
  </w:style>
  <w:style w:type="character" w:styleId="FootnoteReference">
    <w:name w:val="footnote reference"/>
    <w:aliases w:val="4_G"/>
    <w:rsid w:val="00C15076"/>
    <w:rPr>
      <w:rFonts w:ascii="Times New Roman" w:hAnsi="Times New Roman"/>
      <w:sz w:val="18"/>
      <w:vertAlign w:val="superscript"/>
    </w:rPr>
  </w:style>
  <w:style w:type="paragraph" w:styleId="FootnoteText">
    <w:name w:val="footnote text"/>
    <w:aliases w:val="5_G"/>
    <w:basedOn w:val="Normal"/>
    <w:link w:val="FootnoteTextChar"/>
    <w:rsid w:val="00C15076"/>
    <w:pPr>
      <w:tabs>
        <w:tab w:val="right" w:pos="1021"/>
      </w:tabs>
      <w:spacing w:line="220" w:lineRule="exact"/>
      <w:ind w:left="1134" w:right="1134" w:hanging="1134"/>
    </w:pPr>
    <w:rPr>
      <w:sz w:val="18"/>
    </w:rPr>
  </w:style>
  <w:style w:type="paragraph" w:customStyle="1" w:styleId="XLargeG">
    <w:name w:val="__XLarge_G"/>
    <w:basedOn w:val="Normal"/>
    <w:next w:val="Normal"/>
    <w:rsid w:val="00C15076"/>
    <w:pPr>
      <w:keepNext/>
      <w:keepLines/>
      <w:spacing w:before="240" w:after="240" w:line="420" w:lineRule="exact"/>
      <w:ind w:left="1134" w:right="1134"/>
    </w:pPr>
    <w:rPr>
      <w:b/>
      <w:sz w:val="40"/>
    </w:rPr>
  </w:style>
  <w:style w:type="paragraph" w:customStyle="1" w:styleId="Bullet1G">
    <w:name w:val="_Bullet 1_G"/>
    <w:basedOn w:val="Normal"/>
    <w:rsid w:val="00C15076"/>
    <w:pPr>
      <w:numPr>
        <w:numId w:val="14"/>
      </w:numPr>
      <w:spacing w:after="120"/>
      <w:ind w:right="1134"/>
      <w:jc w:val="both"/>
    </w:pPr>
  </w:style>
  <w:style w:type="paragraph" w:styleId="EndnoteText">
    <w:name w:val="endnote text"/>
    <w:aliases w:val="2_G"/>
    <w:basedOn w:val="FootnoteText"/>
    <w:rsid w:val="00C150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C15076"/>
    <w:pPr>
      <w:numPr>
        <w:numId w:val="15"/>
      </w:numPr>
      <w:spacing w:after="120"/>
      <w:ind w:right="1134"/>
      <w:jc w:val="both"/>
    </w:pPr>
  </w:style>
  <w:style w:type="paragraph" w:customStyle="1" w:styleId="H1G">
    <w:name w:val="_ H_1_G"/>
    <w:basedOn w:val="Normal"/>
    <w:next w:val="Normal"/>
    <w:link w:val="H1GChar"/>
    <w:rsid w:val="00C150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150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150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150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C150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C150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150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C15076"/>
    <w:pPr>
      <w:spacing w:line="240" w:lineRule="auto"/>
    </w:pPr>
    <w:rPr>
      <w:sz w:val="16"/>
    </w:rPr>
  </w:style>
  <w:style w:type="paragraph" w:styleId="Header">
    <w:name w:val="header"/>
    <w:aliases w:val="6_G"/>
    <w:basedOn w:val="Normal"/>
    <w:rsid w:val="00C15076"/>
    <w:pPr>
      <w:pBdr>
        <w:bottom w:val="single" w:sz="4" w:space="4" w:color="auto"/>
      </w:pBdr>
      <w:spacing w:line="240" w:lineRule="auto"/>
    </w:pPr>
    <w:rPr>
      <w:b/>
      <w:sz w:val="18"/>
    </w:rPr>
  </w:style>
  <w:style w:type="paragraph" w:styleId="BalloonText">
    <w:name w:val="Balloon Text"/>
    <w:basedOn w:val="Normal"/>
    <w:link w:val="BalloonTextChar"/>
    <w:rsid w:val="002C698C"/>
    <w:pPr>
      <w:spacing w:line="240" w:lineRule="auto"/>
    </w:pPr>
    <w:rPr>
      <w:rFonts w:ascii="Tahoma" w:hAnsi="Tahoma" w:cs="Tahoma"/>
      <w:sz w:val="16"/>
      <w:szCs w:val="16"/>
    </w:rPr>
  </w:style>
  <w:style w:type="character" w:customStyle="1" w:styleId="BalloonTextChar">
    <w:name w:val="Balloon Text Char"/>
    <w:link w:val="BalloonText"/>
    <w:rsid w:val="002C698C"/>
    <w:rPr>
      <w:rFonts w:ascii="Tahoma" w:hAnsi="Tahoma" w:cs="Tahoma"/>
      <w:sz w:val="16"/>
      <w:szCs w:val="16"/>
      <w:lang w:eastAsia="en-US"/>
    </w:rPr>
  </w:style>
  <w:style w:type="character" w:customStyle="1" w:styleId="FootnoteTextChar">
    <w:name w:val="Footnote Text Char"/>
    <w:aliases w:val="5_G Char"/>
    <w:link w:val="FootnoteText"/>
    <w:rsid w:val="002A08EB"/>
    <w:rPr>
      <w:sz w:val="18"/>
      <w:lang w:val="en-GB"/>
    </w:rPr>
  </w:style>
  <w:style w:type="character" w:customStyle="1" w:styleId="HChGChar">
    <w:name w:val="_ H _Ch_G Char"/>
    <w:link w:val="HChG"/>
    <w:rsid w:val="002A08EB"/>
    <w:rPr>
      <w:b/>
      <w:sz w:val="28"/>
      <w:lang w:val="en-GB"/>
    </w:rPr>
  </w:style>
  <w:style w:type="paragraph" w:styleId="CommentSubject">
    <w:name w:val="annotation subject"/>
    <w:basedOn w:val="CommentText"/>
    <w:next w:val="CommentText"/>
    <w:link w:val="CommentSubjectChar"/>
    <w:rsid w:val="000713F7"/>
    <w:rPr>
      <w:b/>
      <w:bCs/>
    </w:rPr>
  </w:style>
  <w:style w:type="character" w:customStyle="1" w:styleId="CommentTextChar">
    <w:name w:val="Comment Text Char"/>
    <w:link w:val="CommentText"/>
    <w:semiHidden/>
    <w:rsid w:val="000713F7"/>
    <w:rPr>
      <w:lang w:eastAsia="en-US"/>
    </w:rPr>
  </w:style>
  <w:style w:type="character" w:customStyle="1" w:styleId="CommentSubjectChar">
    <w:name w:val="Comment Subject Char"/>
    <w:link w:val="CommentSubject"/>
    <w:rsid w:val="000713F7"/>
    <w:rPr>
      <w:b/>
      <w:bCs/>
      <w:lang w:eastAsia="en-US"/>
    </w:rPr>
  </w:style>
  <w:style w:type="paragraph" w:styleId="Revision">
    <w:name w:val="Revision"/>
    <w:hidden/>
    <w:uiPriority w:val="99"/>
    <w:semiHidden/>
    <w:rsid w:val="002565D9"/>
    <w:rPr>
      <w:lang w:eastAsia="en-US"/>
    </w:rPr>
  </w:style>
  <w:style w:type="character" w:customStyle="1" w:styleId="SingleTxtGChar">
    <w:name w:val="_ Single Txt_G Char"/>
    <w:link w:val="SingleTxtG"/>
    <w:rsid w:val="00C47134"/>
    <w:rPr>
      <w:lang w:eastAsia="en-US"/>
    </w:rPr>
  </w:style>
  <w:style w:type="paragraph" w:customStyle="1" w:styleId="Question">
    <w:name w:val="Question"/>
    <w:basedOn w:val="Normal"/>
    <w:next w:val="Normal"/>
    <w:rsid w:val="009D62BD"/>
    <w:pPr>
      <w:numPr>
        <w:numId w:val="17"/>
      </w:numPr>
      <w:tabs>
        <w:tab w:val="left" w:pos="868"/>
      </w:tabs>
      <w:suppressAutoHyphens w:val="0"/>
      <w:spacing w:before="120" w:after="120" w:line="240" w:lineRule="auto"/>
    </w:pPr>
    <w:rPr>
      <w:i/>
      <w:sz w:val="24"/>
      <w:szCs w:val="24"/>
    </w:rPr>
  </w:style>
  <w:style w:type="paragraph" w:customStyle="1" w:styleId="Default">
    <w:name w:val="Default"/>
    <w:rsid w:val="009D62BD"/>
    <w:pPr>
      <w:autoSpaceDE w:val="0"/>
      <w:autoSpaceDN w:val="0"/>
      <w:adjustRightInd w:val="0"/>
    </w:pPr>
    <w:rPr>
      <w:rFonts w:eastAsia="MS Mincho"/>
      <w:color w:val="000000"/>
      <w:sz w:val="24"/>
      <w:szCs w:val="24"/>
      <w:lang w:eastAsia="en-US"/>
    </w:rPr>
  </w:style>
  <w:style w:type="character" w:customStyle="1" w:styleId="H1GChar">
    <w:name w:val="_ H_1_G Char"/>
    <w:link w:val="H1G"/>
    <w:rsid w:val="00065154"/>
    <w:rPr>
      <w:b/>
      <w:sz w:val="24"/>
      <w:lang w:eastAsia="en-US"/>
    </w:rPr>
  </w:style>
  <w:style w:type="paragraph" w:styleId="ListParagraph">
    <w:name w:val="List Paragraph"/>
    <w:basedOn w:val="Normal"/>
    <w:uiPriority w:val="34"/>
    <w:qFormat/>
    <w:rsid w:val="00455606"/>
    <w:pPr>
      <w:suppressAutoHyphens w:val="0"/>
      <w:spacing w:line="240" w:lineRule="auto"/>
      <w:ind w:left="720"/>
      <w:contextualSpacing/>
    </w:pPr>
    <w:rPr>
      <w:sz w:val="24"/>
      <w:szCs w:val="24"/>
      <w:lang w:val="sv-SE"/>
    </w:rPr>
  </w:style>
  <w:style w:type="table" w:customStyle="1" w:styleId="TableGrid10">
    <w:name w:val="Table Grid1"/>
    <w:basedOn w:val="TableNormal"/>
    <w:next w:val="TableGrid"/>
    <w:uiPriority w:val="39"/>
    <w:rsid w:val="0015776E"/>
    <w:rPr>
      <w:rFonts w:ascii="Calibri" w:eastAsia="Calibri" w:hAnsi="Calibri" w:cs="Arial"/>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B213D8"/>
    <w:rPr>
      <w:b/>
      <w:lang w:eastAsia="en-US"/>
    </w:rPr>
  </w:style>
  <w:style w:type="table" w:customStyle="1" w:styleId="TableGrid20">
    <w:name w:val="Table Grid2"/>
    <w:basedOn w:val="TableNormal"/>
    <w:next w:val="TableGrid"/>
    <w:uiPriority w:val="39"/>
    <w:rsid w:val="00B213D8"/>
    <w:rPr>
      <w:rFonts w:ascii="Calibri" w:eastAsia="Calibri" w:hAnsi="Calibri" w:cs="Arial"/>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2781">
      <w:bodyDiv w:val="1"/>
      <w:marLeft w:val="0"/>
      <w:marRight w:val="0"/>
      <w:marTop w:val="0"/>
      <w:marBottom w:val="0"/>
      <w:divBdr>
        <w:top w:val="none" w:sz="0" w:space="0" w:color="auto"/>
        <w:left w:val="none" w:sz="0" w:space="0" w:color="auto"/>
        <w:bottom w:val="none" w:sz="0" w:space="0" w:color="auto"/>
        <w:right w:val="none" w:sz="0" w:space="0" w:color="auto"/>
      </w:divBdr>
    </w:div>
    <w:div w:id="490870856">
      <w:bodyDiv w:val="1"/>
      <w:marLeft w:val="0"/>
      <w:marRight w:val="0"/>
      <w:marTop w:val="0"/>
      <w:marBottom w:val="0"/>
      <w:divBdr>
        <w:top w:val="none" w:sz="0" w:space="0" w:color="auto"/>
        <w:left w:val="none" w:sz="0" w:space="0" w:color="auto"/>
        <w:bottom w:val="none" w:sz="0" w:space="0" w:color="auto"/>
        <w:right w:val="none" w:sz="0" w:space="0" w:color="auto"/>
      </w:divBdr>
      <w:divsChild>
        <w:div w:id="211620064">
          <w:marLeft w:val="0"/>
          <w:marRight w:val="0"/>
          <w:marTop w:val="0"/>
          <w:marBottom w:val="0"/>
          <w:divBdr>
            <w:top w:val="none" w:sz="0" w:space="0" w:color="auto"/>
            <w:left w:val="none" w:sz="0" w:space="0" w:color="auto"/>
            <w:bottom w:val="none" w:sz="0" w:space="0" w:color="auto"/>
            <w:right w:val="none" w:sz="0" w:space="0" w:color="auto"/>
          </w:divBdr>
        </w:div>
        <w:div w:id="227348144">
          <w:marLeft w:val="0"/>
          <w:marRight w:val="0"/>
          <w:marTop w:val="0"/>
          <w:marBottom w:val="0"/>
          <w:divBdr>
            <w:top w:val="none" w:sz="0" w:space="0" w:color="auto"/>
            <w:left w:val="none" w:sz="0" w:space="0" w:color="auto"/>
            <w:bottom w:val="none" w:sz="0" w:space="0" w:color="auto"/>
            <w:right w:val="none" w:sz="0" w:space="0" w:color="auto"/>
          </w:divBdr>
        </w:div>
        <w:div w:id="283973388">
          <w:marLeft w:val="0"/>
          <w:marRight w:val="0"/>
          <w:marTop w:val="0"/>
          <w:marBottom w:val="0"/>
          <w:divBdr>
            <w:top w:val="none" w:sz="0" w:space="0" w:color="auto"/>
            <w:left w:val="none" w:sz="0" w:space="0" w:color="auto"/>
            <w:bottom w:val="none" w:sz="0" w:space="0" w:color="auto"/>
            <w:right w:val="none" w:sz="0" w:space="0" w:color="auto"/>
          </w:divBdr>
        </w:div>
        <w:div w:id="393964765">
          <w:marLeft w:val="0"/>
          <w:marRight w:val="0"/>
          <w:marTop w:val="0"/>
          <w:marBottom w:val="0"/>
          <w:divBdr>
            <w:top w:val="none" w:sz="0" w:space="0" w:color="auto"/>
            <w:left w:val="none" w:sz="0" w:space="0" w:color="auto"/>
            <w:bottom w:val="none" w:sz="0" w:space="0" w:color="auto"/>
            <w:right w:val="none" w:sz="0" w:space="0" w:color="auto"/>
          </w:divBdr>
        </w:div>
        <w:div w:id="636028138">
          <w:marLeft w:val="0"/>
          <w:marRight w:val="0"/>
          <w:marTop w:val="0"/>
          <w:marBottom w:val="0"/>
          <w:divBdr>
            <w:top w:val="none" w:sz="0" w:space="0" w:color="auto"/>
            <w:left w:val="none" w:sz="0" w:space="0" w:color="auto"/>
            <w:bottom w:val="none" w:sz="0" w:space="0" w:color="auto"/>
            <w:right w:val="none" w:sz="0" w:space="0" w:color="auto"/>
          </w:divBdr>
        </w:div>
        <w:div w:id="754713410">
          <w:marLeft w:val="0"/>
          <w:marRight w:val="0"/>
          <w:marTop w:val="0"/>
          <w:marBottom w:val="0"/>
          <w:divBdr>
            <w:top w:val="none" w:sz="0" w:space="0" w:color="auto"/>
            <w:left w:val="none" w:sz="0" w:space="0" w:color="auto"/>
            <w:bottom w:val="none" w:sz="0" w:space="0" w:color="auto"/>
            <w:right w:val="none" w:sz="0" w:space="0" w:color="auto"/>
          </w:divBdr>
        </w:div>
        <w:div w:id="991061969">
          <w:marLeft w:val="0"/>
          <w:marRight w:val="0"/>
          <w:marTop w:val="0"/>
          <w:marBottom w:val="0"/>
          <w:divBdr>
            <w:top w:val="none" w:sz="0" w:space="0" w:color="auto"/>
            <w:left w:val="none" w:sz="0" w:space="0" w:color="auto"/>
            <w:bottom w:val="none" w:sz="0" w:space="0" w:color="auto"/>
            <w:right w:val="none" w:sz="0" w:space="0" w:color="auto"/>
          </w:divBdr>
        </w:div>
        <w:div w:id="1089888073">
          <w:marLeft w:val="0"/>
          <w:marRight w:val="0"/>
          <w:marTop w:val="0"/>
          <w:marBottom w:val="0"/>
          <w:divBdr>
            <w:top w:val="none" w:sz="0" w:space="0" w:color="auto"/>
            <w:left w:val="none" w:sz="0" w:space="0" w:color="auto"/>
            <w:bottom w:val="none" w:sz="0" w:space="0" w:color="auto"/>
            <w:right w:val="none" w:sz="0" w:space="0" w:color="auto"/>
          </w:divBdr>
        </w:div>
        <w:div w:id="1436246210">
          <w:marLeft w:val="0"/>
          <w:marRight w:val="0"/>
          <w:marTop w:val="0"/>
          <w:marBottom w:val="0"/>
          <w:divBdr>
            <w:top w:val="none" w:sz="0" w:space="0" w:color="auto"/>
            <w:left w:val="none" w:sz="0" w:space="0" w:color="auto"/>
            <w:bottom w:val="none" w:sz="0" w:space="0" w:color="auto"/>
            <w:right w:val="none" w:sz="0" w:space="0" w:color="auto"/>
          </w:divBdr>
        </w:div>
        <w:div w:id="1645433177">
          <w:marLeft w:val="0"/>
          <w:marRight w:val="0"/>
          <w:marTop w:val="0"/>
          <w:marBottom w:val="0"/>
          <w:divBdr>
            <w:top w:val="none" w:sz="0" w:space="0" w:color="auto"/>
            <w:left w:val="none" w:sz="0" w:space="0" w:color="auto"/>
            <w:bottom w:val="none" w:sz="0" w:space="0" w:color="auto"/>
            <w:right w:val="none" w:sz="0" w:space="0" w:color="auto"/>
          </w:divBdr>
        </w:div>
        <w:div w:id="1746145413">
          <w:marLeft w:val="0"/>
          <w:marRight w:val="0"/>
          <w:marTop w:val="0"/>
          <w:marBottom w:val="0"/>
          <w:divBdr>
            <w:top w:val="none" w:sz="0" w:space="0" w:color="auto"/>
            <w:left w:val="none" w:sz="0" w:space="0" w:color="auto"/>
            <w:bottom w:val="none" w:sz="0" w:space="0" w:color="auto"/>
            <w:right w:val="none" w:sz="0" w:space="0" w:color="auto"/>
          </w:divBdr>
        </w:div>
        <w:div w:id="1779988956">
          <w:marLeft w:val="0"/>
          <w:marRight w:val="0"/>
          <w:marTop w:val="0"/>
          <w:marBottom w:val="0"/>
          <w:divBdr>
            <w:top w:val="none" w:sz="0" w:space="0" w:color="auto"/>
            <w:left w:val="none" w:sz="0" w:space="0" w:color="auto"/>
            <w:bottom w:val="none" w:sz="0" w:space="0" w:color="auto"/>
            <w:right w:val="none" w:sz="0" w:space="0" w:color="auto"/>
          </w:divBdr>
        </w:div>
        <w:div w:id="1960187801">
          <w:marLeft w:val="0"/>
          <w:marRight w:val="0"/>
          <w:marTop w:val="0"/>
          <w:marBottom w:val="0"/>
          <w:divBdr>
            <w:top w:val="none" w:sz="0" w:space="0" w:color="auto"/>
            <w:left w:val="none" w:sz="0" w:space="0" w:color="auto"/>
            <w:bottom w:val="none" w:sz="0" w:space="0" w:color="auto"/>
            <w:right w:val="none" w:sz="0" w:space="0" w:color="auto"/>
          </w:divBdr>
        </w:div>
        <w:div w:id="1991712574">
          <w:marLeft w:val="0"/>
          <w:marRight w:val="0"/>
          <w:marTop w:val="0"/>
          <w:marBottom w:val="0"/>
          <w:divBdr>
            <w:top w:val="none" w:sz="0" w:space="0" w:color="auto"/>
            <w:left w:val="none" w:sz="0" w:space="0" w:color="auto"/>
            <w:bottom w:val="none" w:sz="0" w:space="0" w:color="auto"/>
            <w:right w:val="none" w:sz="0" w:space="0" w:color="auto"/>
          </w:divBdr>
        </w:div>
      </w:divsChild>
    </w:div>
    <w:div w:id="740950619">
      <w:bodyDiv w:val="1"/>
      <w:marLeft w:val="0"/>
      <w:marRight w:val="0"/>
      <w:marTop w:val="0"/>
      <w:marBottom w:val="0"/>
      <w:divBdr>
        <w:top w:val="none" w:sz="0" w:space="0" w:color="auto"/>
        <w:left w:val="none" w:sz="0" w:space="0" w:color="auto"/>
        <w:bottom w:val="none" w:sz="0" w:space="0" w:color="auto"/>
        <w:right w:val="none" w:sz="0" w:space="0" w:color="auto"/>
      </w:divBdr>
      <w:divsChild>
        <w:div w:id="52900226">
          <w:marLeft w:val="0"/>
          <w:marRight w:val="0"/>
          <w:marTop w:val="0"/>
          <w:marBottom w:val="0"/>
          <w:divBdr>
            <w:top w:val="none" w:sz="0" w:space="0" w:color="auto"/>
            <w:left w:val="none" w:sz="0" w:space="0" w:color="auto"/>
            <w:bottom w:val="none" w:sz="0" w:space="0" w:color="auto"/>
            <w:right w:val="none" w:sz="0" w:space="0" w:color="auto"/>
          </w:divBdr>
        </w:div>
        <w:div w:id="55131965">
          <w:marLeft w:val="0"/>
          <w:marRight w:val="0"/>
          <w:marTop w:val="0"/>
          <w:marBottom w:val="0"/>
          <w:divBdr>
            <w:top w:val="none" w:sz="0" w:space="0" w:color="auto"/>
            <w:left w:val="none" w:sz="0" w:space="0" w:color="auto"/>
            <w:bottom w:val="none" w:sz="0" w:space="0" w:color="auto"/>
            <w:right w:val="none" w:sz="0" w:space="0" w:color="auto"/>
          </w:divBdr>
        </w:div>
        <w:div w:id="110630962">
          <w:marLeft w:val="0"/>
          <w:marRight w:val="0"/>
          <w:marTop w:val="0"/>
          <w:marBottom w:val="0"/>
          <w:divBdr>
            <w:top w:val="none" w:sz="0" w:space="0" w:color="auto"/>
            <w:left w:val="none" w:sz="0" w:space="0" w:color="auto"/>
            <w:bottom w:val="none" w:sz="0" w:space="0" w:color="auto"/>
            <w:right w:val="none" w:sz="0" w:space="0" w:color="auto"/>
          </w:divBdr>
        </w:div>
        <w:div w:id="328950067">
          <w:marLeft w:val="0"/>
          <w:marRight w:val="0"/>
          <w:marTop w:val="0"/>
          <w:marBottom w:val="0"/>
          <w:divBdr>
            <w:top w:val="none" w:sz="0" w:space="0" w:color="auto"/>
            <w:left w:val="none" w:sz="0" w:space="0" w:color="auto"/>
            <w:bottom w:val="none" w:sz="0" w:space="0" w:color="auto"/>
            <w:right w:val="none" w:sz="0" w:space="0" w:color="auto"/>
          </w:divBdr>
        </w:div>
        <w:div w:id="337386854">
          <w:marLeft w:val="0"/>
          <w:marRight w:val="0"/>
          <w:marTop w:val="0"/>
          <w:marBottom w:val="0"/>
          <w:divBdr>
            <w:top w:val="none" w:sz="0" w:space="0" w:color="auto"/>
            <w:left w:val="none" w:sz="0" w:space="0" w:color="auto"/>
            <w:bottom w:val="none" w:sz="0" w:space="0" w:color="auto"/>
            <w:right w:val="none" w:sz="0" w:space="0" w:color="auto"/>
          </w:divBdr>
        </w:div>
        <w:div w:id="852652050">
          <w:marLeft w:val="0"/>
          <w:marRight w:val="0"/>
          <w:marTop w:val="0"/>
          <w:marBottom w:val="0"/>
          <w:divBdr>
            <w:top w:val="none" w:sz="0" w:space="0" w:color="auto"/>
            <w:left w:val="none" w:sz="0" w:space="0" w:color="auto"/>
            <w:bottom w:val="none" w:sz="0" w:space="0" w:color="auto"/>
            <w:right w:val="none" w:sz="0" w:space="0" w:color="auto"/>
          </w:divBdr>
        </w:div>
        <w:div w:id="860512524">
          <w:marLeft w:val="0"/>
          <w:marRight w:val="0"/>
          <w:marTop w:val="0"/>
          <w:marBottom w:val="0"/>
          <w:divBdr>
            <w:top w:val="none" w:sz="0" w:space="0" w:color="auto"/>
            <w:left w:val="none" w:sz="0" w:space="0" w:color="auto"/>
            <w:bottom w:val="none" w:sz="0" w:space="0" w:color="auto"/>
            <w:right w:val="none" w:sz="0" w:space="0" w:color="auto"/>
          </w:divBdr>
        </w:div>
        <w:div w:id="1088308374">
          <w:marLeft w:val="0"/>
          <w:marRight w:val="0"/>
          <w:marTop w:val="0"/>
          <w:marBottom w:val="0"/>
          <w:divBdr>
            <w:top w:val="none" w:sz="0" w:space="0" w:color="auto"/>
            <w:left w:val="none" w:sz="0" w:space="0" w:color="auto"/>
            <w:bottom w:val="none" w:sz="0" w:space="0" w:color="auto"/>
            <w:right w:val="none" w:sz="0" w:space="0" w:color="auto"/>
          </w:divBdr>
        </w:div>
        <w:div w:id="1283615997">
          <w:marLeft w:val="0"/>
          <w:marRight w:val="0"/>
          <w:marTop w:val="0"/>
          <w:marBottom w:val="0"/>
          <w:divBdr>
            <w:top w:val="none" w:sz="0" w:space="0" w:color="auto"/>
            <w:left w:val="none" w:sz="0" w:space="0" w:color="auto"/>
            <w:bottom w:val="none" w:sz="0" w:space="0" w:color="auto"/>
            <w:right w:val="none" w:sz="0" w:space="0" w:color="auto"/>
          </w:divBdr>
        </w:div>
        <w:div w:id="1338531579">
          <w:marLeft w:val="0"/>
          <w:marRight w:val="0"/>
          <w:marTop w:val="0"/>
          <w:marBottom w:val="0"/>
          <w:divBdr>
            <w:top w:val="none" w:sz="0" w:space="0" w:color="auto"/>
            <w:left w:val="none" w:sz="0" w:space="0" w:color="auto"/>
            <w:bottom w:val="none" w:sz="0" w:space="0" w:color="auto"/>
            <w:right w:val="none" w:sz="0" w:space="0" w:color="auto"/>
          </w:divBdr>
        </w:div>
        <w:div w:id="1456752341">
          <w:marLeft w:val="0"/>
          <w:marRight w:val="0"/>
          <w:marTop w:val="0"/>
          <w:marBottom w:val="0"/>
          <w:divBdr>
            <w:top w:val="none" w:sz="0" w:space="0" w:color="auto"/>
            <w:left w:val="none" w:sz="0" w:space="0" w:color="auto"/>
            <w:bottom w:val="none" w:sz="0" w:space="0" w:color="auto"/>
            <w:right w:val="none" w:sz="0" w:space="0" w:color="auto"/>
          </w:divBdr>
        </w:div>
        <w:div w:id="1457479747">
          <w:marLeft w:val="0"/>
          <w:marRight w:val="0"/>
          <w:marTop w:val="0"/>
          <w:marBottom w:val="0"/>
          <w:divBdr>
            <w:top w:val="none" w:sz="0" w:space="0" w:color="auto"/>
            <w:left w:val="none" w:sz="0" w:space="0" w:color="auto"/>
            <w:bottom w:val="none" w:sz="0" w:space="0" w:color="auto"/>
            <w:right w:val="none" w:sz="0" w:space="0" w:color="auto"/>
          </w:divBdr>
        </w:div>
        <w:div w:id="1534460564">
          <w:marLeft w:val="0"/>
          <w:marRight w:val="0"/>
          <w:marTop w:val="0"/>
          <w:marBottom w:val="0"/>
          <w:divBdr>
            <w:top w:val="none" w:sz="0" w:space="0" w:color="auto"/>
            <w:left w:val="none" w:sz="0" w:space="0" w:color="auto"/>
            <w:bottom w:val="none" w:sz="0" w:space="0" w:color="auto"/>
            <w:right w:val="none" w:sz="0" w:space="0" w:color="auto"/>
          </w:divBdr>
        </w:div>
        <w:div w:id="1606887407">
          <w:marLeft w:val="0"/>
          <w:marRight w:val="0"/>
          <w:marTop w:val="0"/>
          <w:marBottom w:val="0"/>
          <w:divBdr>
            <w:top w:val="none" w:sz="0" w:space="0" w:color="auto"/>
            <w:left w:val="none" w:sz="0" w:space="0" w:color="auto"/>
            <w:bottom w:val="none" w:sz="0" w:space="0" w:color="auto"/>
            <w:right w:val="none" w:sz="0" w:space="0" w:color="auto"/>
          </w:divBdr>
        </w:div>
        <w:div w:id="1715302225">
          <w:marLeft w:val="0"/>
          <w:marRight w:val="0"/>
          <w:marTop w:val="0"/>
          <w:marBottom w:val="0"/>
          <w:divBdr>
            <w:top w:val="none" w:sz="0" w:space="0" w:color="auto"/>
            <w:left w:val="none" w:sz="0" w:space="0" w:color="auto"/>
            <w:bottom w:val="none" w:sz="0" w:space="0" w:color="auto"/>
            <w:right w:val="none" w:sz="0" w:space="0" w:color="auto"/>
          </w:divBdr>
        </w:div>
        <w:div w:id="1958095915">
          <w:marLeft w:val="0"/>
          <w:marRight w:val="0"/>
          <w:marTop w:val="0"/>
          <w:marBottom w:val="0"/>
          <w:divBdr>
            <w:top w:val="none" w:sz="0" w:space="0" w:color="auto"/>
            <w:left w:val="none" w:sz="0" w:space="0" w:color="auto"/>
            <w:bottom w:val="none" w:sz="0" w:space="0" w:color="auto"/>
            <w:right w:val="none" w:sz="0" w:space="0" w:color="auto"/>
          </w:divBdr>
        </w:div>
      </w:divsChild>
    </w:div>
    <w:div w:id="928777897">
      <w:bodyDiv w:val="1"/>
      <w:marLeft w:val="0"/>
      <w:marRight w:val="0"/>
      <w:marTop w:val="0"/>
      <w:marBottom w:val="0"/>
      <w:divBdr>
        <w:top w:val="none" w:sz="0" w:space="0" w:color="auto"/>
        <w:left w:val="none" w:sz="0" w:space="0" w:color="auto"/>
        <w:bottom w:val="none" w:sz="0" w:space="0" w:color="auto"/>
        <w:right w:val="none" w:sz="0" w:space="0" w:color="auto"/>
      </w:divBdr>
      <w:divsChild>
        <w:div w:id="12147228">
          <w:marLeft w:val="0"/>
          <w:marRight w:val="0"/>
          <w:marTop w:val="0"/>
          <w:marBottom w:val="0"/>
          <w:divBdr>
            <w:top w:val="none" w:sz="0" w:space="0" w:color="auto"/>
            <w:left w:val="none" w:sz="0" w:space="0" w:color="auto"/>
            <w:bottom w:val="none" w:sz="0" w:space="0" w:color="auto"/>
            <w:right w:val="none" w:sz="0" w:space="0" w:color="auto"/>
          </w:divBdr>
        </w:div>
        <w:div w:id="35980041">
          <w:marLeft w:val="0"/>
          <w:marRight w:val="0"/>
          <w:marTop w:val="0"/>
          <w:marBottom w:val="0"/>
          <w:divBdr>
            <w:top w:val="none" w:sz="0" w:space="0" w:color="auto"/>
            <w:left w:val="none" w:sz="0" w:space="0" w:color="auto"/>
            <w:bottom w:val="none" w:sz="0" w:space="0" w:color="auto"/>
            <w:right w:val="none" w:sz="0" w:space="0" w:color="auto"/>
          </w:divBdr>
        </w:div>
        <w:div w:id="37321737">
          <w:marLeft w:val="0"/>
          <w:marRight w:val="0"/>
          <w:marTop w:val="0"/>
          <w:marBottom w:val="0"/>
          <w:divBdr>
            <w:top w:val="none" w:sz="0" w:space="0" w:color="auto"/>
            <w:left w:val="none" w:sz="0" w:space="0" w:color="auto"/>
            <w:bottom w:val="none" w:sz="0" w:space="0" w:color="auto"/>
            <w:right w:val="none" w:sz="0" w:space="0" w:color="auto"/>
          </w:divBdr>
        </w:div>
        <w:div w:id="101073539">
          <w:marLeft w:val="0"/>
          <w:marRight w:val="0"/>
          <w:marTop w:val="0"/>
          <w:marBottom w:val="0"/>
          <w:divBdr>
            <w:top w:val="none" w:sz="0" w:space="0" w:color="auto"/>
            <w:left w:val="none" w:sz="0" w:space="0" w:color="auto"/>
            <w:bottom w:val="none" w:sz="0" w:space="0" w:color="auto"/>
            <w:right w:val="none" w:sz="0" w:space="0" w:color="auto"/>
          </w:divBdr>
        </w:div>
        <w:div w:id="314574182">
          <w:marLeft w:val="0"/>
          <w:marRight w:val="0"/>
          <w:marTop w:val="0"/>
          <w:marBottom w:val="0"/>
          <w:divBdr>
            <w:top w:val="none" w:sz="0" w:space="0" w:color="auto"/>
            <w:left w:val="none" w:sz="0" w:space="0" w:color="auto"/>
            <w:bottom w:val="none" w:sz="0" w:space="0" w:color="auto"/>
            <w:right w:val="none" w:sz="0" w:space="0" w:color="auto"/>
          </w:divBdr>
        </w:div>
        <w:div w:id="425152537">
          <w:marLeft w:val="0"/>
          <w:marRight w:val="0"/>
          <w:marTop w:val="0"/>
          <w:marBottom w:val="0"/>
          <w:divBdr>
            <w:top w:val="none" w:sz="0" w:space="0" w:color="auto"/>
            <w:left w:val="none" w:sz="0" w:space="0" w:color="auto"/>
            <w:bottom w:val="none" w:sz="0" w:space="0" w:color="auto"/>
            <w:right w:val="none" w:sz="0" w:space="0" w:color="auto"/>
          </w:divBdr>
        </w:div>
        <w:div w:id="433601358">
          <w:marLeft w:val="0"/>
          <w:marRight w:val="0"/>
          <w:marTop w:val="0"/>
          <w:marBottom w:val="0"/>
          <w:divBdr>
            <w:top w:val="none" w:sz="0" w:space="0" w:color="auto"/>
            <w:left w:val="none" w:sz="0" w:space="0" w:color="auto"/>
            <w:bottom w:val="none" w:sz="0" w:space="0" w:color="auto"/>
            <w:right w:val="none" w:sz="0" w:space="0" w:color="auto"/>
          </w:divBdr>
        </w:div>
        <w:div w:id="453063725">
          <w:marLeft w:val="0"/>
          <w:marRight w:val="0"/>
          <w:marTop w:val="0"/>
          <w:marBottom w:val="0"/>
          <w:divBdr>
            <w:top w:val="none" w:sz="0" w:space="0" w:color="auto"/>
            <w:left w:val="none" w:sz="0" w:space="0" w:color="auto"/>
            <w:bottom w:val="none" w:sz="0" w:space="0" w:color="auto"/>
            <w:right w:val="none" w:sz="0" w:space="0" w:color="auto"/>
          </w:divBdr>
        </w:div>
        <w:div w:id="463275888">
          <w:marLeft w:val="0"/>
          <w:marRight w:val="0"/>
          <w:marTop w:val="0"/>
          <w:marBottom w:val="0"/>
          <w:divBdr>
            <w:top w:val="none" w:sz="0" w:space="0" w:color="auto"/>
            <w:left w:val="none" w:sz="0" w:space="0" w:color="auto"/>
            <w:bottom w:val="none" w:sz="0" w:space="0" w:color="auto"/>
            <w:right w:val="none" w:sz="0" w:space="0" w:color="auto"/>
          </w:divBdr>
        </w:div>
        <w:div w:id="480924994">
          <w:marLeft w:val="0"/>
          <w:marRight w:val="0"/>
          <w:marTop w:val="0"/>
          <w:marBottom w:val="0"/>
          <w:divBdr>
            <w:top w:val="none" w:sz="0" w:space="0" w:color="auto"/>
            <w:left w:val="none" w:sz="0" w:space="0" w:color="auto"/>
            <w:bottom w:val="none" w:sz="0" w:space="0" w:color="auto"/>
            <w:right w:val="none" w:sz="0" w:space="0" w:color="auto"/>
          </w:divBdr>
        </w:div>
        <w:div w:id="528568911">
          <w:marLeft w:val="0"/>
          <w:marRight w:val="0"/>
          <w:marTop w:val="0"/>
          <w:marBottom w:val="0"/>
          <w:divBdr>
            <w:top w:val="none" w:sz="0" w:space="0" w:color="auto"/>
            <w:left w:val="none" w:sz="0" w:space="0" w:color="auto"/>
            <w:bottom w:val="none" w:sz="0" w:space="0" w:color="auto"/>
            <w:right w:val="none" w:sz="0" w:space="0" w:color="auto"/>
          </w:divBdr>
        </w:div>
        <w:div w:id="544679564">
          <w:marLeft w:val="0"/>
          <w:marRight w:val="0"/>
          <w:marTop w:val="0"/>
          <w:marBottom w:val="0"/>
          <w:divBdr>
            <w:top w:val="none" w:sz="0" w:space="0" w:color="auto"/>
            <w:left w:val="none" w:sz="0" w:space="0" w:color="auto"/>
            <w:bottom w:val="none" w:sz="0" w:space="0" w:color="auto"/>
            <w:right w:val="none" w:sz="0" w:space="0" w:color="auto"/>
          </w:divBdr>
        </w:div>
        <w:div w:id="596594356">
          <w:marLeft w:val="0"/>
          <w:marRight w:val="0"/>
          <w:marTop w:val="0"/>
          <w:marBottom w:val="0"/>
          <w:divBdr>
            <w:top w:val="none" w:sz="0" w:space="0" w:color="auto"/>
            <w:left w:val="none" w:sz="0" w:space="0" w:color="auto"/>
            <w:bottom w:val="none" w:sz="0" w:space="0" w:color="auto"/>
            <w:right w:val="none" w:sz="0" w:space="0" w:color="auto"/>
          </w:divBdr>
        </w:div>
        <w:div w:id="656959668">
          <w:marLeft w:val="0"/>
          <w:marRight w:val="0"/>
          <w:marTop w:val="0"/>
          <w:marBottom w:val="0"/>
          <w:divBdr>
            <w:top w:val="none" w:sz="0" w:space="0" w:color="auto"/>
            <w:left w:val="none" w:sz="0" w:space="0" w:color="auto"/>
            <w:bottom w:val="none" w:sz="0" w:space="0" w:color="auto"/>
            <w:right w:val="none" w:sz="0" w:space="0" w:color="auto"/>
          </w:divBdr>
        </w:div>
        <w:div w:id="662709535">
          <w:marLeft w:val="0"/>
          <w:marRight w:val="0"/>
          <w:marTop w:val="0"/>
          <w:marBottom w:val="0"/>
          <w:divBdr>
            <w:top w:val="none" w:sz="0" w:space="0" w:color="auto"/>
            <w:left w:val="none" w:sz="0" w:space="0" w:color="auto"/>
            <w:bottom w:val="none" w:sz="0" w:space="0" w:color="auto"/>
            <w:right w:val="none" w:sz="0" w:space="0" w:color="auto"/>
          </w:divBdr>
        </w:div>
        <w:div w:id="666055978">
          <w:marLeft w:val="0"/>
          <w:marRight w:val="0"/>
          <w:marTop w:val="0"/>
          <w:marBottom w:val="0"/>
          <w:divBdr>
            <w:top w:val="none" w:sz="0" w:space="0" w:color="auto"/>
            <w:left w:val="none" w:sz="0" w:space="0" w:color="auto"/>
            <w:bottom w:val="none" w:sz="0" w:space="0" w:color="auto"/>
            <w:right w:val="none" w:sz="0" w:space="0" w:color="auto"/>
          </w:divBdr>
        </w:div>
        <w:div w:id="672495447">
          <w:marLeft w:val="0"/>
          <w:marRight w:val="0"/>
          <w:marTop w:val="0"/>
          <w:marBottom w:val="0"/>
          <w:divBdr>
            <w:top w:val="none" w:sz="0" w:space="0" w:color="auto"/>
            <w:left w:val="none" w:sz="0" w:space="0" w:color="auto"/>
            <w:bottom w:val="none" w:sz="0" w:space="0" w:color="auto"/>
            <w:right w:val="none" w:sz="0" w:space="0" w:color="auto"/>
          </w:divBdr>
        </w:div>
        <w:div w:id="672991328">
          <w:marLeft w:val="0"/>
          <w:marRight w:val="0"/>
          <w:marTop w:val="0"/>
          <w:marBottom w:val="0"/>
          <w:divBdr>
            <w:top w:val="none" w:sz="0" w:space="0" w:color="auto"/>
            <w:left w:val="none" w:sz="0" w:space="0" w:color="auto"/>
            <w:bottom w:val="none" w:sz="0" w:space="0" w:color="auto"/>
            <w:right w:val="none" w:sz="0" w:space="0" w:color="auto"/>
          </w:divBdr>
        </w:div>
        <w:div w:id="796024117">
          <w:marLeft w:val="0"/>
          <w:marRight w:val="0"/>
          <w:marTop w:val="0"/>
          <w:marBottom w:val="0"/>
          <w:divBdr>
            <w:top w:val="none" w:sz="0" w:space="0" w:color="auto"/>
            <w:left w:val="none" w:sz="0" w:space="0" w:color="auto"/>
            <w:bottom w:val="none" w:sz="0" w:space="0" w:color="auto"/>
            <w:right w:val="none" w:sz="0" w:space="0" w:color="auto"/>
          </w:divBdr>
        </w:div>
        <w:div w:id="853425883">
          <w:marLeft w:val="0"/>
          <w:marRight w:val="0"/>
          <w:marTop w:val="0"/>
          <w:marBottom w:val="0"/>
          <w:divBdr>
            <w:top w:val="none" w:sz="0" w:space="0" w:color="auto"/>
            <w:left w:val="none" w:sz="0" w:space="0" w:color="auto"/>
            <w:bottom w:val="none" w:sz="0" w:space="0" w:color="auto"/>
            <w:right w:val="none" w:sz="0" w:space="0" w:color="auto"/>
          </w:divBdr>
        </w:div>
        <w:div w:id="933172219">
          <w:marLeft w:val="0"/>
          <w:marRight w:val="0"/>
          <w:marTop w:val="0"/>
          <w:marBottom w:val="0"/>
          <w:divBdr>
            <w:top w:val="none" w:sz="0" w:space="0" w:color="auto"/>
            <w:left w:val="none" w:sz="0" w:space="0" w:color="auto"/>
            <w:bottom w:val="none" w:sz="0" w:space="0" w:color="auto"/>
            <w:right w:val="none" w:sz="0" w:space="0" w:color="auto"/>
          </w:divBdr>
        </w:div>
        <w:div w:id="942418528">
          <w:marLeft w:val="0"/>
          <w:marRight w:val="0"/>
          <w:marTop w:val="0"/>
          <w:marBottom w:val="0"/>
          <w:divBdr>
            <w:top w:val="none" w:sz="0" w:space="0" w:color="auto"/>
            <w:left w:val="none" w:sz="0" w:space="0" w:color="auto"/>
            <w:bottom w:val="none" w:sz="0" w:space="0" w:color="auto"/>
            <w:right w:val="none" w:sz="0" w:space="0" w:color="auto"/>
          </w:divBdr>
        </w:div>
        <w:div w:id="1022363090">
          <w:marLeft w:val="0"/>
          <w:marRight w:val="0"/>
          <w:marTop w:val="0"/>
          <w:marBottom w:val="0"/>
          <w:divBdr>
            <w:top w:val="none" w:sz="0" w:space="0" w:color="auto"/>
            <w:left w:val="none" w:sz="0" w:space="0" w:color="auto"/>
            <w:bottom w:val="none" w:sz="0" w:space="0" w:color="auto"/>
            <w:right w:val="none" w:sz="0" w:space="0" w:color="auto"/>
          </w:divBdr>
        </w:div>
        <w:div w:id="1122073045">
          <w:marLeft w:val="0"/>
          <w:marRight w:val="0"/>
          <w:marTop w:val="0"/>
          <w:marBottom w:val="0"/>
          <w:divBdr>
            <w:top w:val="none" w:sz="0" w:space="0" w:color="auto"/>
            <w:left w:val="none" w:sz="0" w:space="0" w:color="auto"/>
            <w:bottom w:val="none" w:sz="0" w:space="0" w:color="auto"/>
            <w:right w:val="none" w:sz="0" w:space="0" w:color="auto"/>
          </w:divBdr>
        </w:div>
        <w:div w:id="1241327103">
          <w:marLeft w:val="0"/>
          <w:marRight w:val="0"/>
          <w:marTop w:val="0"/>
          <w:marBottom w:val="0"/>
          <w:divBdr>
            <w:top w:val="none" w:sz="0" w:space="0" w:color="auto"/>
            <w:left w:val="none" w:sz="0" w:space="0" w:color="auto"/>
            <w:bottom w:val="none" w:sz="0" w:space="0" w:color="auto"/>
            <w:right w:val="none" w:sz="0" w:space="0" w:color="auto"/>
          </w:divBdr>
        </w:div>
        <w:div w:id="1499031507">
          <w:marLeft w:val="0"/>
          <w:marRight w:val="0"/>
          <w:marTop w:val="0"/>
          <w:marBottom w:val="0"/>
          <w:divBdr>
            <w:top w:val="none" w:sz="0" w:space="0" w:color="auto"/>
            <w:left w:val="none" w:sz="0" w:space="0" w:color="auto"/>
            <w:bottom w:val="none" w:sz="0" w:space="0" w:color="auto"/>
            <w:right w:val="none" w:sz="0" w:space="0" w:color="auto"/>
          </w:divBdr>
        </w:div>
        <w:div w:id="1547257674">
          <w:marLeft w:val="0"/>
          <w:marRight w:val="0"/>
          <w:marTop w:val="0"/>
          <w:marBottom w:val="0"/>
          <w:divBdr>
            <w:top w:val="none" w:sz="0" w:space="0" w:color="auto"/>
            <w:left w:val="none" w:sz="0" w:space="0" w:color="auto"/>
            <w:bottom w:val="none" w:sz="0" w:space="0" w:color="auto"/>
            <w:right w:val="none" w:sz="0" w:space="0" w:color="auto"/>
          </w:divBdr>
        </w:div>
        <w:div w:id="1612972871">
          <w:marLeft w:val="0"/>
          <w:marRight w:val="0"/>
          <w:marTop w:val="0"/>
          <w:marBottom w:val="0"/>
          <w:divBdr>
            <w:top w:val="none" w:sz="0" w:space="0" w:color="auto"/>
            <w:left w:val="none" w:sz="0" w:space="0" w:color="auto"/>
            <w:bottom w:val="none" w:sz="0" w:space="0" w:color="auto"/>
            <w:right w:val="none" w:sz="0" w:space="0" w:color="auto"/>
          </w:divBdr>
        </w:div>
        <w:div w:id="1620525088">
          <w:marLeft w:val="0"/>
          <w:marRight w:val="0"/>
          <w:marTop w:val="0"/>
          <w:marBottom w:val="0"/>
          <w:divBdr>
            <w:top w:val="none" w:sz="0" w:space="0" w:color="auto"/>
            <w:left w:val="none" w:sz="0" w:space="0" w:color="auto"/>
            <w:bottom w:val="none" w:sz="0" w:space="0" w:color="auto"/>
            <w:right w:val="none" w:sz="0" w:space="0" w:color="auto"/>
          </w:divBdr>
        </w:div>
        <w:div w:id="1666543554">
          <w:marLeft w:val="0"/>
          <w:marRight w:val="0"/>
          <w:marTop w:val="0"/>
          <w:marBottom w:val="0"/>
          <w:divBdr>
            <w:top w:val="none" w:sz="0" w:space="0" w:color="auto"/>
            <w:left w:val="none" w:sz="0" w:space="0" w:color="auto"/>
            <w:bottom w:val="none" w:sz="0" w:space="0" w:color="auto"/>
            <w:right w:val="none" w:sz="0" w:space="0" w:color="auto"/>
          </w:divBdr>
        </w:div>
        <w:div w:id="1711345095">
          <w:marLeft w:val="0"/>
          <w:marRight w:val="0"/>
          <w:marTop w:val="0"/>
          <w:marBottom w:val="0"/>
          <w:divBdr>
            <w:top w:val="none" w:sz="0" w:space="0" w:color="auto"/>
            <w:left w:val="none" w:sz="0" w:space="0" w:color="auto"/>
            <w:bottom w:val="none" w:sz="0" w:space="0" w:color="auto"/>
            <w:right w:val="none" w:sz="0" w:space="0" w:color="auto"/>
          </w:divBdr>
        </w:div>
        <w:div w:id="1771507188">
          <w:marLeft w:val="0"/>
          <w:marRight w:val="0"/>
          <w:marTop w:val="0"/>
          <w:marBottom w:val="0"/>
          <w:divBdr>
            <w:top w:val="none" w:sz="0" w:space="0" w:color="auto"/>
            <w:left w:val="none" w:sz="0" w:space="0" w:color="auto"/>
            <w:bottom w:val="none" w:sz="0" w:space="0" w:color="auto"/>
            <w:right w:val="none" w:sz="0" w:space="0" w:color="auto"/>
          </w:divBdr>
        </w:div>
        <w:div w:id="1777023747">
          <w:marLeft w:val="0"/>
          <w:marRight w:val="0"/>
          <w:marTop w:val="0"/>
          <w:marBottom w:val="0"/>
          <w:divBdr>
            <w:top w:val="none" w:sz="0" w:space="0" w:color="auto"/>
            <w:left w:val="none" w:sz="0" w:space="0" w:color="auto"/>
            <w:bottom w:val="none" w:sz="0" w:space="0" w:color="auto"/>
            <w:right w:val="none" w:sz="0" w:space="0" w:color="auto"/>
          </w:divBdr>
        </w:div>
        <w:div w:id="1826120596">
          <w:marLeft w:val="0"/>
          <w:marRight w:val="0"/>
          <w:marTop w:val="0"/>
          <w:marBottom w:val="0"/>
          <w:divBdr>
            <w:top w:val="none" w:sz="0" w:space="0" w:color="auto"/>
            <w:left w:val="none" w:sz="0" w:space="0" w:color="auto"/>
            <w:bottom w:val="none" w:sz="0" w:space="0" w:color="auto"/>
            <w:right w:val="none" w:sz="0" w:space="0" w:color="auto"/>
          </w:divBdr>
        </w:div>
        <w:div w:id="1852793053">
          <w:marLeft w:val="0"/>
          <w:marRight w:val="0"/>
          <w:marTop w:val="0"/>
          <w:marBottom w:val="0"/>
          <w:divBdr>
            <w:top w:val="none" w:sz="0" w:space="0" w:color="auto"/>
            <w:left w:val="none" w:sz="0" w:space="0" w:color="auto"/>
            <w:bottom w:val="none" w:sz="0" w:space="0" w:color="auto"/>
            <w:right w:val="none" w:sz="0" w:space="0" w:color="auto"/>
          </w:divBdr>
        </w:div>
        <w:div w:id="1960527174">
          <w:marLeft w:val="0"/>
          <w:marRight w:val="0"/>
          <w:marTop w:val="0"/>
          <w:marBottom w:val="0"/>
          <w:divBdr>
            <w:top w:val="none" w:sz="0" w:space="0" w:color="auto"/>
            <w:left w:val="none" w:sz="0" w:space="0" w:color="auto"/>
            <w:bottom w:val="none" w:sz="0" w:space="0" w:color="auto"/>
            <w:right w:val="none" w:sz="0" w:space="0" w:color="auto"/>
          </w:divBdr>
        </w:div>
        <w:div w:id="1993370983">
          <w:marLeft w:val="0"/>
          <w:marRight w:val="0"/>
          <w:marTop w:val="0"/>
          <w:marBottom w:val="0"/>
          <w:divBdr>
            <w:top w:val="none" w:sz="0" w:space="0" w:color="auto"/>
            <w:left w:val="none" w:sz="0" w:space="0" w:color="auto"/>
            <w:bottom w:val="none" w:sz="0" w:space="0" w:color="auto"/>
            <w:right w:val="none" w:sz="0" w:space="0" w:color="auto"/>
          </w:divBdr>
        </w:div>
        <w:div w:id="2058235831">
          <w:marLeft w:val="0"/>
          <w:marRight w:val="0"/>
          <w:marTop w:val="0"/>
          <w:marBottom w:val="0"/>
          <w:divBdr>
            <w:top w:val="none" w:sz="0" w:space="0" w:color="auto"/>
            <w:left w:val="none" w:sz="0" w:space="0" w:color="auto"/>
            <w:bottom w:val="none" w:sz="0" w:space="0" w:color="auto"/>
            <w:right w:val="none" w:sz="0" w:space="0" w:color="auto"/>
          </w:divBdr>
        </w:div>
      </w:divsChild>
    </w:div>
    <w:div w:id="1317415004">
      <w:bodyDiv w:val="1"/>
      <w:marLeft w:val="0"/>
      <w:marRight w:val="0"/>
      <w:marTop w:val="0"/>
      <w:marBottom w:val="0"/>
      <w:divBdr>
        <w:top w:val="none" w:sz="0" w:space="0" w:color="auto"/>
        <w:left w:val="none" w:sz="0" w:space="0" w:color="auto"/>
        <w:bottom w:val="none" w:sz="0" w:space="0" w:color="auto"/>
        <w:right w:val="none" w:sz="0" w:space="0" w:color="auto"/>
      </w:divBdr>
      <w:divsChild>
        <w:div w:id="1650597106">
          <w:marLeft w:val="0"/>
          <w:marRight w:val="0"/>
          <w:marTop w:val="0"/>
          <w:marBottom w:val="0"/>
          <w:divBdr>
            <w:top w:val="none" w:sz="0" w:space="0" w:color="auto"/>
            <w:left w:val="none" w:sz="0" w:space="0" w:color="auto"/>
            <w:bottom w:val="none" w:sz="0" w:space="0" w:color="auto"/>
            <w:right w:val="none" w:sz="0" w:space="0" w:color="auto"/>
          </w:divBdr>
        </w:div>
        <w:div w:id="183745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fimova\AppData\Roaming\Microsoft\Templates\EB_AIR\EB_AIR_WG%20(Singl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CBB79-6860-4C29-A4B3-EB01C51F7CDA}">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B36BD025-C9B7-472C-97FA-41364A2185CA}">
  <ds:schemaRefs>
    <ds:schemaRef ds:uri="http://schemas.openxmlformats.org/officeDocument/2006/bibliography"/>
  </ds:schemaRefs>
</ds:datastoreItem>
</file>

<file path=customXml/itemProps3.xml><?xml version="1.0" encoding="utf-8"?>
<ds:datastoreItem xmlns:ds="http://schemas.openxmlformats.org/officeDocument/2006/customXml" ds:itemID="{CC519B63-5CEE-4D25-AE1A-76E4009E0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0BC84-CE94-4DEA-AADB-FF4EB06D4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EB_AIR_WG (Single)_E.dotm</Template>
  <TotalTime>29</TotalTime>
  <Pages>9</Pages>
  <Words>2098</Words>
  <Characters>11963</Characters>
  <Application>Microsoft Office Word</Application>
  <DocSecurity>0</DocSecurity>
  <Lines>99</Lines>
  <Paragraphs>28</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Trofimova</dc:creator>
  <cp:keywords/>
  <cp:lastModifiedBy>Elisabeth Losasso</cp:lastModifiedBy>
  <cp:revision>14</cp:revision>
  <cp:lastPrinted>2013-10-10T19:29:00Z</cp:lastPrinted>
  <dcterms:created xsi:type="dcterms:W3CDTF">2022-10-25T10:16:00Z</dcterms:created>
  <dcterms:modified xsi:type="dcterms:W3CDTF">2022-10-31T16:15:00Z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0f41beebd3731acd53bcf889f83c716ca92c5d65742b512087b8690f79e69910</vt:lpwstr>
  </property>
  <property fmtid="{D5CDD505-2E9C-101B-9397-08002B2CF9AE}" pid="3" name="MediaServiceImageTags">
    <vt:lpwstr/>
  </property>
</Properties>
</file>