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C00831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ECE1F3E" w14:textId="77777777" w:rsidR="00132EA9" w:rsidRPr="00DB58B5" w:rsidRDefault="00132EA9" w:rsidP="00611B2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917440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259636" w14:textId="576DA77F" w:rsidR="00132EA9" w:rsidRPr="00DB58B5" w:rsidRDefault="00611B25" w:rsidP="00611B25">
            <w:pPr>
              <w:jc w:val="right"/>
            </w:pPr>
            <w:r w:rsidRPr="00611B25">
              <w:rPr>
                <w:sz w:val="40"/>
              </w:rPr>
              <w:t>ST</w:t>
            </w:r>
            <w:r>
              <w:t>/SG/AC</w:t>
            </w:r>
            <w:r w:rsidR="00680607" w:rsidRPr="00680607">
              <w:t>.</w:t>
            </w:r>
            <w:r>
              <w:t>10/C</w:t>
            </w:r>
            <w:r w:rsidR="00680607" w:rsidRPr="00680607">
              <w:t>.</w:t>
            </w:r>
            <w:r>
              <w:t>4/2022/15</w:t>
            </w:r>
          </w:p>
        </w:tc>
      </w:tr>
      <w:tr w:rsidR="00132EA9" w:rsidRPr="00DB58B5" w14:paraId="16901B2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B1CB5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1F4FF0" wp14:editId="104A77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D3AFF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140EA1" w14:textId="660E47C8" w:rsidR="00132EA9" w:rsidRDefault="00611B25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680607" w:rsidRPr="00680607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2522BED5" w14:textId="77777777" w:rsidR="00611B25" w:rsidRDefault="00611B25" w:rsidP="00611B25">
            <w:pPr>
              <w:spacing w:line="240" w:lineRule="exact"/>
            </w:pPr>
            <w:r>
              <w:t>15 septembre 2022</w:t>
            </w:r>
          </w:p>
          <w:p w14:paraId="7A9F7ADD" w14:textId="77777777" w:rsidR="00611B25" w:rsidRDefault="00611B25" w:rsidP="00611B25">
            <w:pPr>
              <w:spacing w:line="240" w:lineRule="exact"/>
            </w:pPr>
            <w:r>
              <w:t>Français</w:t>
            </w:r>
          </w:p>
          <w:p w14:paraId="61124FE6" w14:textId="5D9A5D5C" w:rsidR="00611B25" w:rsidRPr="00DB58B5" w:rsidRDefault="00611B25" w:rsidP="00611B25">
            <w:pPr>
              <w:spacing w:line="240" w:lineRule="exact"/>
            </w:pPr>
            <w:r>
              <w:t>Original : anglais</w:t>
            </w:r>
          </w:p>
        </w:tc>
      </w:tr>
    </w:tbl>
    <w:p w14:paraId="0DA5B150" w14:textId="77777777" w:rsidR="00611B25" w:rsidRPr="00210425" w:rsidRDefault="00611B25" w:rsidP="00611B25">
      <w:pPr>
        <w:spacing w:before="120"/>
        <w:rPr>
          <w:b/>
          <w:sz w:val="24"/>
          <w:szCs w:val="24"/>
          <w:lang w:val="fr-FR"/>
        </w:rPr>
      </w:pPr>
      <w:r w:rsidRPr="00210425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210425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210425">
        <w:rPr>
          <w:b/>
          <w:bCs/>
          <w:sz w:val="24"/>
          <w:szCs w:val="24"/>
          <w:lang w:val="fr-FR"/>
        </w:rPr>
        <w:t>de classification et d’étiquetage des produits chimiques</w:t>
      </w:r>
    </w:p>
    <w:p w14:paraId="28900E8C" w14:textId="77777777" w:rsidR="00611B25" w:rsidRPr="00680607" w:rsidRDefault="00611B25" w:rsidP="00611B25">
      <w:pPr>
        <w:spacing w:before="120"/>
        <w:rPr>
          <w:b/>
          <w:color w:val="000000"/>
          <w:lang w:val="fr-FR"/>
        </w:rPr>
      </w:pPr>
      <w:r w:rsidRPr="00E21F69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E21F69">
        <w:rPr>
          <w:b/>
          <w:bCs/>
          <w:lang w:val="fr-FR"/>
        </w:rPr>
        <w:t xml:space="preserve">experts du Système général harmonisé </w:t>
      </w:r>
      <w:r>
        <w:rPr>
          <w:b/>
          <w:bCs/>
          <w:lang w:val="fr-FR"/>
        </w:rPr>
        <w:br/>
      </w:r>
      <w:proofErr w:type="gramStart"/>
      <w:r w:rsidRPr="00E21F69">
        <w:rPr>
          <w:b/>
          <w:bCs/>
          <w:lang w:val="fr-FR"/>
        </w:rPr>
        <w:t>de</w:t>
      </w:r>
      <w:proofErr w:type="gramEnd"/>
      <w:r w:rsidRPr="00E21F69">
        <w:rPr>
          <w:b/>
          <w:bCs/>
          <w:lang w:val="fr-FR"/>
        </w:rPr>
        <w:t xml:space="preserve"> classification et d</w:t>
      </w:r>
      <w:r>
        <w:rPr>
          <w:b/>
          <w:bCs/>
          <w:lang w:val="fr-FR"/>
        </w:rPr>
        <w:t>’</w:t>
      </w:r>
      <w:r w:rsidRPr="00E21F69">
        <w:rPr>
          <w:b/>
          <w:bCs/>
          <w:lang w:val="fr-FR"/>
        </w:rPr>
        <w:t>étiquetage des produits chimiques</w:t>
      </w:r>
    </w:p>
    <w:p w14:paraId="398AEB73" w14:textId="77777777" w:rsidR="00611B25" w:rsidRPr="00E21F69" w:rsidRDefault="00611B25" w:rsidP="00611B25">
      <w:pPr>
        <w:spacing w:before="120"/>
        <w:rPr>
          <w:b/>
          <w:lang w:val="fr-FR"/>
        </w:rPr>
      </w:pPr>
      <w:r w:rsidRPr="00E21F69">
        <w:rPr>
          <w:b/>
          <w:bCs/>
          <w:lang w:val="fr-FR"/>
        </w:rPr>
        <w:t>Quarante-troisième session</w:t>
      </w:r>
    </w:p>
    <w:p w14:paraId="21776568" w14:textId="77777777" w:rsidR="00611B25" w:rsidRPr="00E21F69" w:rsidRDefault="00611B25" w:rsidP="00611B25">
      <w:pPr>
        <w:rPr>
          <w:lang w:val="fr-FR"/>
        </w:rPr>
      </w:pPr>
      <w:r w:rsidRPr="00E21F69">
        <w:rPr>
          <w:lang w:val="fr-FR"/>
        </w:rPr>
        <w:t>Genève, 7-9 décembre 2022</w:t>
      </w:r>
    </w:p>
    <w:p w14:paraId="7C7A1D52" w14:textId="77777777" w:rsidR="00611B25" w:rsidRPr="00E21F69" w:rsidRDefault="00611B25" w:rsidP="00611B25">
      <w:pPr>
        <w:rPr>
          <w:lang w:val="fr-FR"/>
        </w:rPr>
      </w:pPr>
      <w:r w:rsidRPr="00E21F69">
        <w:rPr>
          <w:lang w:val="fr-FR"/>
        </w:rPr>
        <w:t>Point 3 c) de l</w:t>
      </w:r>
      <w:r>
        <w:rPr>
          <w:lang w:val="fr-FR"/>
        </w:rPr>
        <w:t>’</w:t>
      </w:r>
      <w:r w:rsidRPr="00E21F69">
        <w:rPr>
          <w:lang w:val="fr-FR"/>
        </w:rPr>
        <w:t>ordre du jour provisoire</w:t>
      </w:r>
    </w:p>
    <w:p w14:paraId="73C3CB1F" w14:textId="77777777" w:rsidR="00611B25" w:rsidRPr="00E21F69" w:rsidRDefault="00611B25" w:rsidP="00611B25">
      <w:pPr>
        <w:rPr>
          <w:lang w:val="fr-FR"/>
        </w:rPr>
      </w:pPr>
      <w:r w:rsidRPr="00E21F69">
        <w:rPr>
          <w:b/>
          <w:bCs/>
          <w:lang w:val="fr-FR"/>
        </w:rPr>
        <w:t xml:space="preserve">Travaux relatifs au Système général harmonisé de classification </w:t>
      </w:r>
      <w:r>
        <w:rPr>
          <w:b/>
          <w:bCs/>
          <w:lang w:val="fr-FR"/>
        </w:rPr>
        <w:br/>
      </w:r>
      <w:r w:rsidRPr="00E21F69">
        <w:rPr>
          <w:b/>
          <w:bCs/>
          <w:lang w:val="fr-FR"/>
        </w:rPr>
        <w:t>et d</w:t>
      </w:r>
      <w:r>
        <w:rPr>
          <w:b/>
          <w:bCs/>
          <w:lang w:val="fr-FR"/>
        </w:rPr>
        <w:t>’</w:t>
      </w:r>
      <w:r w:rsidRPr="00E21F69">
        <w:rPr>
          <w:b/>
          <w:bCs/>
          <w:lang w:val="fr-FR"/>
        </w:rPr>
        <w:t xml:space="preserve">étiquetage des produits chimiques : utilisation de méthodes </w:t>
      </w:r>
      <w:r>
        <w:rPr>
          <w:b/>
          <w:bCs/>
          <w:lang w:val="fr-FR"/>
        </w:rPr>
        <w:br/>
      </w:r>
      <w:r w:rsidRPr="00E21F69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E21F69">
        <w:rPr>
          <w:b/>
          <w:bCs/>
          <w:lang w:val="fr-FR"/>
        </w:rPr>
        <w:t xml:space="preserve">expérimentation non animales pour le classement </w:t>
      </w:r>
      <w:r>
        <w:rPr>
          <w:b/>
          <w:bCs/>
          <w:lang w:val="fr-FR"/>
        </w:rPr>
        <w:br/>
      </w:r>
      <w:r w:rsidRPr="00E21F69">
        <w:rPr>
          <w:b/>
          <w:bCs/>
          <w:lang w:val="fr-FR"/>
        </w:rPr>
        <w:t>relatif aux dangers pour la santé</w:t>
      </w:r>
    </w:p>
    <w:p w14:paraId="395459AD" w14:textId="722113DB" w:rsidR="00611B25" w:rsidRPr="00E21F69" w:rsidRDefault="00611B25" w:rsidP="00611B25">
      <w:pPr>
        <w:pStyle w:val="HChG"/>
        <w:rPr>
          <w:lang w:val="fr-FR"/>
        </w:rPr>
      </w:pPr>
      <w:bookmarkStart w:id="0" w:name="_Hlk37755597"/>
      <w:r w:rsidRPr="00E21F69">
        <w:rPr>
          <w:lang w:val="fr-FR"/>
        </w:rPr>
        <w:tab/>
      </w:r>
      <w:r w:rsidRPr="00E21F69">
        <w:rPr>
          <w:lang w:val="fr-FR"/>
        </w:rPr>
        <w:tab/>
        <w:t>Amendements de conséquence aux chapitres 1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2, 3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 et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découlant de la révision du chapitre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4 du SGH </w:t>
      </w:r>
      <w:r>
        <w:rPr>
          <w:lang w:val="fr-FR"/>
        </w:rPr>
        <w:t>tendant</w:t>
      </w:r>
      <w:r w:rsidRPr="00E21F69">
        <w:rPr>
          <w:lang w:val="fr-FR"/>
        </w:rPr>
        <w:t xml:space="preserve"> </w:t>
      </w:r>
      <w:r>
        <w:rPr>
          <w:lang w:val="fr-FR"/>
        </w:rPr>
        <w:br/>
      </w:r>
      <w:r w:rsidRPr="00E21F69">
        <w:rPr>
          <w:lang w:val="fr-FR"/>
        </w:rPr>
        <w:t>à y intégrer pleinement les méthodes d</w:t>
      </w:r>
      <w:r>
        <w:rPr>
          <w:lang w:val="fr-FR"/>
        </w:rPr>
        <w:t>’</w:t>
      </w:r>
      <w:r w:rsidRPr="00E21F69">
        <w:rPr>
          <w:lang w:val="fr-FR"/>
        </w:rPr>
        <w:t xml:space="preserve">expérimentation </w:t>
      </w:r>
      <w:r>
        <w:rPr>
          <w:lang w:val="fr-FR"/>
        </w:rPr>
        <w:br/>
      </w:r>
      <w:r w:rsidRPr="00E21F69">
        <w:rPr>
          <w:lang w:val="fr-FR"/>
        </w:rPr>
        <w:t>non animales pour la sensibilisation cutanée</w:t>
      </w:r>
    </w:p>
    <w:p w14:paraId="74010D99" w14:textId="30B58C15" w:rsidR="00611B25" w:rsidRPr="00E21F69" w:rsidRDefault="00611B25" w:rsidP="00611B25">
      <w:pPr>
        <w:pStyle w:val="H1G"/>
        <w:rPr>
          <w:lang w:val="fr-FR"/>
        </w:rPr>
      </w:pPr>
      <w:r w:rsidRPr="00E21F69">
        <w:rPr>
          <w:lang w:val="fr-FR"/>
        </w:rPr>
        <w:tab/>
      </w:r>
      <w:r w:rsidRPr="00E21F69">
        <w:rPr>
          <w:lang w:val="fr-FR"/>
        </w:rPr>
        <w:tab/>
      </w:r>
      <w:r w:rsidRPr="00E21F69">
        <w:rPr>
          <w:bCs/>
          <w:lang w:val="fr-FR"/>
        </w:rPr>
        <w:t xml:space="preserve">Communication des experts du Royaume-Uni et des Pays-Bas </w:t>
      </w:r>
      <w:r>
        <w:rPr>
          <w:bCs/>
          <w:lang w:val="fr-FR"/>
        </w:rPr>
        <w:br/>
      </w:r>
      <w:r w:rsidRPr="00E21F69">
        <w:rPr>
          <w:bCs/>
          <w:lang w:val="fr-FR"/>
        </w:rPr>
        <w:t>au nom du groupe de travail informel de l</w:t>
      </w:r>
      <w:r>
        <w:rPr>
          <w:bCs/>
          <w:lang w:val="fr-FR"/>
        </w:rPr>
        <w:t>’</w:t>
      </w:r>
      <w:r w:rsidRPr="00E21F69">
        <w:rPr>
          <w:bCs/>
          <w:lang w:val="fr-FR"/>
        </w:rPr>
        <w:t>utilisation de méthodes d</w:t>
      </w:r>
      <w:r>
        <w:rPr>
          <w:bCs/>
          <w:lang w:val="fr-FR"/>
        </w:rPr>
        <w:t>’</w:t>
      </w:r>
      <w:r w:rsidRPr="00E21F69">
        <w:rPr>
          <w:bCs/>
          <w:lang w:val="fr-FR"/>
        </w:rPr>
        <w:t xml:space="preserve">expérimentation non animales pour le classement </w:t>
      </w:r>
      <w:r>
        <w:rPr>
          <w:bCs/>
          <w:lang w:val="fr-FR"/>
        </w:rPr>
        <w:br/>
      </w:r>
      <w:r w:rsidRPr="00E21F69">
        <w:rPr>
          <w:bCs/>
          <w:lang w:val="fr-FR"/>
        </w:rPr>
        <w:t>des dangers pour la santé et l</w:t>
      </w:r>
      <w:r>
        <w:rPr>
          <w:bCs/>
          <w:lang w:val="fr-FR"/>
        </w:rPr>
        <w:t>’</w:t>
      </w:r>
      <w:r w:rsidRPr="00E21F69">
        <w:rPr>
          <w:bCs/>
          <w:lang w:val="fr-FR"/>
        </w:rPr>
        <w:t>environnement</w:t>
      </w:r>
      <w:r w:rsidRPr="00680607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bookmarkEnd w:id="0"/>
    <w:p w14:paraId="677398EC" w14:textId="3FCBC092" w:rsidR="00611B25" w:rsidRPr="00E21F69" w:rsidRDefault="00611B25" w:rsidP="00611B25">
      <w:pPr>
        <w:pStyle w:val="HChG"/>
        <w:rPr>
          <w:lang w:val="fr-FR"/>
        </w:rPr>
      </w:pPr>
      <w:r w:rsidRPr="00E21F69">
        <w:rPr>
          <w:lang w:val="fr-FR"/>
        </w:rPr>
        <w:tab/>
      </w:r>
      <w:r w:rsidRPr="00E21F69">
        <w:rPr>
          <w:lang w:val="fr-FR"/>
        </w:rPr>
        <w:tab/>
        <w:t>Introduction</w:t>
      </w:r>
    </w:p>
    <w:p w14:paraId="58BE76C4" w14:textId="75C777C2" w:rsidR="00611B25" w:rsidRPr="00E21F69" w:rsidRDefault="00611B25" w:rsidP="00611B25">
      <w:pPr>
        <w:pStyle w:val="SingleTxtG"/>
        <w:rPr>
          <w:lang w:val="fr-FR"/>
        </w:rPr>
      </w:pPr>
      <w:r w:rsidRPr="00E21F69">
        <w:rPr>
          <w:lang w:val="fr-FR"/>
        </w:rPr>
        <w:t>1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Le document ST/SG/AC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10/C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4/2022/14 et le document informel INF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contiennent une proposition de révision du chapitre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 du SGH visant à y intégrer pleinement les méthodes d</w:t>
      </w:r>
      <w:r>
        <w:rPr>
          <w:lang w:val="fr-FR"/>
        </w:rPr>
        <w:t>’</w:t>
      </w:r>
      <w:r w:rsidRPr="00E21F69">
        <w:rPr>
          <w:lang w:val="fr-FR"/>
        </w:rPr>
        <w:t>expérimentation non animales pour la sensibilisation cutanée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 Les modifications qu</w:t>
      </w:r>
      <w:r>
        <w:rPr>
          <w:lang w:val="fr-FR"/>
        </w:rPr>
        <w:t>’</w:t>
      </w:r>
      <w:r w:rsidRPr="00E21F69">
        <w:rPr>
          <w:lang w:val="fr-FR"/>
        </w:rPr>
        <w:t>il est proposé d</w:t>
      </w:r>
      <w:r>
        <w:rPr>
          <w:lang w:val="fr-FR"/>
        </w:rPr>
        <w:t>’</w:t>
      </w:r>
      <w:r w:rsidRPr="00E21F69">
        <w:rPr>
          <w:lang w:val="fr-FR"/>
        </w:rPr>
        <w:t>apporter au chapitre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 rendraient nécessaires un certain nombre de modifications connexes aux chapitres 1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2, 3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 et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du SGH, dont les grandes lignes sont exposées aux paragraphes 2 à 6 ci-après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 </w:t>
      </w:r>
    </w:p>
    <w:p w14:paraId="1DDF1FA9" w14:textId="3DBDFC18" w:rsidR="00611B25" w:rsidRPr="00E21F69" w:rsidRDefault="00611B25" w:rsidP="00611B25">
      <w:pPr>
        <w:pStyle w:val="HChG"/>
        <w:rPr>
          <w:noProof/>
          <w:lang w:val="fr-FR"/>
        </w:rPr>
      </w:pPr>
      <w:r w:rsidRPr="00E21F69">
        <w:rPr>
          <w:lang w:val="fr-FR"/>
        </w:rPr>
        <w:tab/>
      </w:r>
      <w:r w:rsidRPr="00E21F69">
        <w:rPr>
          <w:lang w:val="fr-FR"/>
        </w:rPr>
        <w:tab/>
        <w:t>Modifications connexes qu</w:t>
      </w:r>
      <w:r>
        <w:rPr>
          <w:lang w:val="fr-FR"/>
        </w:rPr>
        <w:t>’</w:t>
      </w:r>
      <w:r w:rsidRPr="00E21F69">
        <w:rPr>
          <w:lang w:val="fr-FR"/>
        </w:rPr>
        <w:t>il est proposé d</w:t>
      </w:r>
      <w:r>
        <w:rPr>
          <w:lang w:val="fr-FR"/>
        </w:rPr>
        <w:t>’</w:t>
      </w:r>
      <w:r w:rsidRPr="00E21F69">
        <w:rPr>
          <w:lang w:val="fr-FR"/>
        </w:rPr>
        <w:t xml:space="preserve">apporter </w:t>
      </w:r>
      <w:r>
        <w:rPr>
          <w:lang w:val="fr-FR"/>
        </w:rPr>
        <w:br/>
      </w:r>
      <w:r w:rsidRPr="00E21F69">
        <w:rPr>
          <w:lang w:val="fr-FR"/>
        </w:rPr>
        <w:t>au chapitre 1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</w:p>
    <w:p w14:paraId="13CE63CC" w14:textId="2D84AC6F" w:rsidR="00611B25" w:rsidRPr="00E21F69" w:rsidRDefault="00611B25" w:rsidP="00611B25">
      <w:pPr>
        <w:pStyle w:val="SingleTxtG"/>
        <w:rPr>
          <w:lang w:val="fr-FR"/>
        </w:rPr>
      </w:pP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Modifier le chapitre 1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2, « Définitions et abréviations » comme suit :</w:t>
      </w:r>
    </w:p>
    <w:p w14:paraId="6FD754EF" w14:textId="77777777" w:rsidR="00611B25" w:rsidRPr="00E21F69" w:rsidRDefault="00611B25" w:rsidP="00611B25">
      <w:pPr>
        <w:pStyle w:val="SingleTxtG"/>
        <w:ind w:firstLine="567"/>
        <w:rPr>
          <w:lang w:val="fr-FR"/>
        </w:rPr>
      </w:pPr>
      <w:r w:rsidRPr="00E21F69">
        <w:rPr>
          <w:lang w:val="fr-FR"/>
        </w:rPr>
        <w:t>Ajouter, dans la liste alphabétique, une nouvelle définition libellée comme suit :</w:t>
      </w:r>
    </w:p>
    <w:p w14:paraId="32E24E22" w14:textId="57B767AE" w:rsidR="00611B25" w:rsidRPr="00E21F69" w:rsidRDefault="00611B25" w:rsidP="00611B25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E21F69">
        <w:rPr>
          <w:b/>
          <w:bCs/>
          <w:i/>
          <w:iCs/>
          <w:lang w:val="fr-FR"/>
        </w:rPr>
        <w:t>Méthode définie</w:t>
      </w:r>
      <w:r w:rsidRPr="00E21F69">
        <w:rPr>
          <w:lang w:val="fr-FR"/>
        </w:rPr>
        <w:t>,</w:t>
      </w:r>
      <w:r>
        <w:rPr>
          <w:lang w:val="fr-FR"/>
        </w:rPr>
        <w:t xml:space="preserve"> </w:t>
      </w:r>
      <w:r w:rsidRPr="00E21F69">
        <w:rPr>
          <w:lang w:val="fr-FR"/>
        </w:rPr>
        <w:t>une méthode d</w:t>
      </w:r>
      <w:r>
        <w:rPr>
          <w:lang w:val="fr-FR"/>
        </w:rPr>
        <w:t>’</w:t>
      </w:r>
      <w:r w:rsidRPr="00E21F69">
        <w:rPr>
          <w:lang w:val="fr-FR"/>
        </w:rPr>
        <w:t>essai et d</w:t>
      </w:r>
      <w:r>
        <w:rPr>
          <w:lang w:val="fr-FR"/>
        </w:rPr>
        <w:t>’</w:t>
      </w:r>
      <w:r w:rsidRPr="00E21F69">
        <w:rPr>
          <w:lang w:val="fr-FR"/>
        </w:rPr>
        <w:t>évaluation qui consiste à appliquer une procédure déterminée d</w:t>
      </w:r>
      <w:r>
        <w:rPr>
          <w:lang w:val="fr-FR"/>
        </w:rPr>
        <w:t>’</w:t>
      </w:r>
      <w:r w:rsidRPr="00E21F69">
        <w:rPr>
          <w:lang w:val="fr-FR"/>
        </w:rPr>
        <w:t xml:space="preserve">interprétation des données pour interpréter les données </w:t>
      </w:r>
      <w:r w:rsidRPr="00E21F69">
        <w:rPr>
          <w:lang w:val="fr-FR"/>
        </w:rPr>
        <w:lastRenderedPageBreak/>
        <w:t>obtenues à partir d</w:t>
      </w:r>
      <w:r>
        <w:rPr>
          <w:lang w:val="fr-FR"/>
        </w:rPr>
        <w:t>’</w:t>
      </w:r>
      <w:r w:rsidRPr="00E21F69">
        <w:rPr>
          <w:lang w:val="fr-FR"/>
        </w:rPr>
        <w:t>un ensemble défini de sources d</w:t>
      </w:r>
      <w:r>
        <w:rPr>
          <w:lang w:val="fr-FR"/>
        </w:rPr>
        <w:t>’</w:t>
      </w:r>
      <w:r w:rsidRPr="00E21F69">
        <w:rPr>
          <w:lang w:val="fr-FR"/>
        </w:rPr>
        <w:t>information, qui peut être utilisé</w:t>
      </w:r>
      <w:r w:rsidR="00680607">
        <w:rPr>
          <w:lang w:val="fr-FR"/>
        </w:rPr>
        <w:t>e</w:t>
      </w:r>
      <w:r w:rsidRPr="00E21F69">
        <w:rPr>
          <w:lang w:val="fr-FR"/>
        </w:rPr>
        <w:t xml:space="preserve"> seul</w:t>
      </w:r>
      <w:r w:rsidR="00680607">
        <w:rPr>
          <w:lang w:val="fr-FR"/>
        </w:rPr>
        <w:t>e</w:t>
      </w:r>
      <w:r w:rsidRPr="00E21F69">
        <w:rPr>
          <w:lang w:val="fr-FR"/>
        </w:rPr>
        <w:t xml:space="preserve"> ou avec d</w:t>
      </w:r>
      <w:r>
        <w:rPr>
          <w:lang w:val="fr-FR"/>
        </w:rPr>
        <w:t>’</w:t>
      </w:r>
      <w:r w:rsidRPr="00E21F69">
        <w:rPr>
          <w:lang w:val="fr-FR"/>
        </w:rPr>
        <w:t>autres sources d</w:t>
      </w:r>
      <w:r>
        <w:rPr>
          <w:lang w:val="fr-FR"/>
        </w:rPr>
        <w:t>’</w:t>
      </w:r>
      <w:r w:rsidRPr="00E21F69">
        <w:rPr>
          <w:lang w:val="fr-FR"/>
        </w:rPr>
        <w:t>information dans le cadre d</w:t>
      </w:r>
      <w:r>
        <w:rPr>
          <w:lang w:val="fr-FR"/>
        </w:rPr>
        <w:t>’</w:t>
      </w:r>
      <w:r w:rsidRPr="00E21F69">
        <w:rPr>
          <w:lang w:val="fr-FR"/>
        </w:rPr>
        <w:t>une évaluation globale de la force probante des données, de façon à répondre à un besoin particulier en matière de réglementation ;</w:t>
      </w:r>
      <w:r>
        <w:rPr>
          <w:lang w:val="fr-FR"/>
        </w:rPr>
        <w:t> »</w:t>
      </w:r>
      <w:r w:rsidR="00680607" w:rsidRPr="00680607">
        <w:rPr>
          <w:lang w:val="fr-FR"/>
        </w:rPr>
        <w:t>.</w:t>
      </w:r>
    </w:p>
    <w:p w14:paraId="2EDC4B30" w14:textId="61AA7705" w:rsidR="00611B25" w:rsidRPr="00E21F69" w:rsidRDefault="00611B25" w:rsidP="00611B25">
      <w:pPr>
        <w:pStyle w:val="HChG"/>
        <w:rPr>
          <w:noProof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21F69">
        <w:rPr>
          <w:lang w:val="fr-FR"/>
        </w:rPr>
        <w:t>Modifications connexes qu</w:t>
      </w:r>
      <w:r>
        <w:rPr>
          <w:lang w:val="fr-FR"/>
        </w:rPr>
        <w:t>’</w:t>
      </w:r>
      <w:r w:rsidRPr="00E21F69">
        <w:rPr>
          <w:lang w:val="fr-FR"/>
        </w:rPr>
        <w:t>il est proposé d</w:t>
      </w:r>
      <w:r>
        <w:rPr>
          <w:lang w:val="fr-FR"/>
        </w:rPr>
        <w:t>’</w:t>
      </w:r>
      <w:r w:rsidRPr="00E21F69">
        <w:rPr>
          <w:lang w:val="fr-FR"/>
        </w:rPr>
        <w:t xml:space="preserve">apporter </w:t>
      </w:r>
      <w:r>
        <w:rPr>
          <w:lang w:val="fr-FR"/>
        </w:rPr>
        <w:br/>
      </w:r>
      <w:r w:rsidRPr="00E21F69">
        <w:rPr>
          <w:lang w:val="fr-FR"/>
        </w:rPr>
        <w:t>au chapitre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</w:p>
    <w:p w14:paraId="543D4C4C" w14:textId="1F4EE06B" w:rsidR="00611B25" w:rsidRPr="00E21F69" w:rsidRDefault="00611B25" w:rsidP="00611B25">
      <w:pPr>
        <w:pStyle w:val="SingleTxtG"/>
        <w:rPr>
          <w:noProof/>
          <w:sz w:val="28"/>
          <w:szCs w:val="28"/>
          <w:lang w:val="fr-FR"/>
        </w:rPr>
      </w:pPr>
      <w:r w:rsidRPr="00E21F69">
        <w:rPr>
          <w:b/>
          <w:bCs/>
          <w:i/>
          <w:iCs/>
          <w:lang w:val="fr-FR"/>
        </w:rPr>
        <w:t>Note :</w:t>
      </w:r>
      <w:r w:rsidRPr="00E21F69">
        <w:rPr>
          <w:i/>
          <w:iCs/>
          <w:lang w:val="fr-FR"/>
        </w:rPr>
        <w:t xml:space="preserve"> L</w:t>
      </w:r>
      <w:r>
        <w:rPr>
          <w:i/>
          <w:iCs/>
          <w:lang w:val="fr-FR"/>
        </w:rPr>
        <w:t>’</w:t>
      </w:r>
      <w:r w:rsidRPr="00E21F69">
        <w:rPr>
          <w:i/>
          <w:iCs/>
          <w:lang w:val="fr-FR"/>
        </w:rPr>
        <w:t>amendement ci-dessous complète les amendements au chapitre 3</w:t>
      </w:r>
      <w:r w:rsidR="00680607" w:rsidRPr="00680607">
        <w:rPr>
          <w:i/>
          <w:iCs/>
          <w:lang w:val="fr-FR"/>
        </w:rPr>
        <w:t>.</w:t>
      </w:r>
      <w:r w:rsidRPr="00E21F69">
        <w:rPr>
          <w:i/>
          <w:iCs/>
          <w:lang w:val="fr-FR"/>
        </w:rPr>
        <w:t>2 adoptés par le Sous-Comité à sa quarantième session (voir ST/SG/AC</w:t>
      </w:r>
      <w:r w:rsidR="00680607" w:rsidRPr="00680607">
        <w:rPr>
          <w:i/>
          <w:iCs/>
          <w:lang w:val="fr-FR"/>
        </w:rPr>
        <w:t>.</w:t>
      </w:r>
      <w:r w:rsidRPr="00E21F69">
        <w:rPr>
          <w:i/>
          <w:iCs/>
          <w:lang w:val="fr-FR"/>
        </w:rPr>
        <w:t>10/C</w:t>
      </w:r>
      <w:r w:rsidR="00680607" w:rsidRPr="00680607">
        <w:rPr>
          <w:i/>
          <w:iCs/>
          <w:lang w:val="fr-FR"/>
        </w:rPr>
        <w:t>.</w:t>
      </w:r>
      <w:r w:rsidRPr="00E21F69">
        <w:rPr>
          <w:i/>
          <w:iCs/>
          <w:lang w:val="fr-FR"/>
        </w:rPr>
        <w:t>4/80, annexe I)</w:t>
      </w:r>
      <w:r w:rsidR="00680607" w:rsidRPr="00680607">
        <w:rPr>
          <w:i/>
          <w:iCs/>
          <w:lang w:val="fr-FR"/>
        </w:rPr>
        <w:t>.</w:t>
      </w:r>
    </w:p>
    <w:p w14:paraId="4EA4F3F9" w14:textId="2EFC7F96" w:rsidR="00611B25" w:rsidRPr="00E21F69" w:rsidRDefault="00611B25" w:rsidP="00611B25">
      <w:pPr>
        <w:pStyle w:val="SingleTxtG"/>
        <w:rPr>
          <w:lang w:val="fr-FR"/>
        </w:rPr>
      </w:pP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Au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6 (</w:t>
      </w:r>
      <w:r>
        <w:rPr>
          <w:i/>
          <w:iCs/>
          <w:lang w:val="fr-FR"/>
        </w:rPr>
        <w:t>Classification</w:t>
      </w:r>
      <w:r w:rsidRPr="00176C61">
        <w:rPr>
          <w:i/>
          <w:iCs/>
          <w:lang w:val="fr-FR"/>
        </w:rPr>
        <w:t xml:space="preserve"> fondé</w:t>
      </w:r>
      <w:r>
        <w:rPr>
          <w:i/>
          <w:iCs/>
          <w:lang w:val="fr-FR"/>
        </w:rPr>
        <w:t>e</w:t>
      </w:r>
      <w:r w:rsidRPr="00176C61">
        <w:rPr>
          <w:i/>
          <w:iCs/>
          <w:lang w:val="fr-FR"/>
        </w:rPr>
        <w:t xml:space="preserve"> sur des méthodes non fondées sur des essais (étape</w:t>
      </w:r>
      <w:r>
        <w:rPr>
          <w:i/>
          <w:iCs/>
          <w:lang w:val="fr-FR"/>
        </w:rPr>
        <w:t> </w:t>
      </w:r>
      <w:r w:rsidRPr="00176C61">
        <w:rPr>
          <w:i/>
          <w:iCs/>
          <w:lang w:val="fr-FR"/>
        </w:rPr>
        <w:t>5 dans la figure 3</w:t>
      </w:r>
      <w:r w:rsidR="00680607" w:rsidRPr="00680607">
        <w:rPr>
          <w:i/>
          <w:iCs/>
          <w:lang w:val="fr-FR"/>
        </w:rPr>
        <w:t>.</w:t>
      </w:r>
      <w:r w:rsidRPr="00176C61">
        <w:rPr>
          <w:i/>
          <w:iCs/>
          <w:lang w:val="fr-FR"/>
        </w:rPr>
        <w:t>2</w:t>
      </w:r>
      <w:r w:rsidR="00680607" w:rsidRPr="00680607">
        <w:rPr>
          <w:i/>
          <w:iCs/>
          <w:lang w:val="fr-FR"/>
        </w:rPr>
        <w:t>.</w:t>
      </w:r>
      <w:r w:rsidRPr="00176C61">
        <w:rPr>
          <w:i/>
          <w:iCs/>
          <w:lang w:val="fr-FR"/>
        </w:rPr>
        <w:t>1)</w:t>
      </w:r>
      <w:r>
        <w:rPr>
          <w:lang w:val="fr-FR"/>
        </w:rPr>
        <w:t>)</w:t>
      </w:r>
      <w:r w:rsidRPr="00E21F69">
        <w:rPr>
          <w:lang w:val="fr-FR"/>
        </w:rPr>
        <w:t>, ajouter le nouveau paragraphe suivant après le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6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3 : </w:t>
      </w:r>
    </w:p>
    <w:p w14:paraId="293074AB" w14:textId="5291EF63" w:rsidR="00611B25" w:rsidRPr="00E21F69" w:rsidRDefault="00611B25" w:rsidP="00611B25">
      <w:pPr>
        <w:pStyle w:val="SingleTxtG"/>
        <w:rPr>
          <w:sz w:val="24"/>
          <w:szCs w:val="24"/>
          <w:lang w:val="fr-FR"/>
        </w:rPr>
      </w:pPr>
      <w:r>
        <w:rPr>
          <w:lang w:val="fr-FR"/>
        </w:rPr>
        <w:t>« 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6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Pr="00E21F69">
        <w:rPr>
          <w:lang w:val="fr-FR"/>
        </w:rPr>
        <w:tab/>
        <w:t>Pour les conclusions de non</w:t>
      </w:r>
      <w:r w:rsidR="00680607">
        <w:rPr>
          <w:lang w:val="fr-FR"/>
        </w:rPr>
        <w:t>-</w:t>
      </w:r>
      <w:r w:rsidRPr="00E21F69">
        <w:rPr>
          <w:lang w:val="fr-FR"/>
        </w:rPr>
        <w:t>classement reposant sur les méthodes de lecture croisée ou (Q)SAR, le bien-fondé et la robustesse du raisonnement scientifique et des données justificatives doivent être bien étayés, ce qui nécessite normalement l</w:t>
      </w:r>
      <w:r>
        <w:rPr>
          <w:lang w:val="fr-FR"/>
        </w:rPr>
        <w:t>’</w:t>
      </w:r>
      <w:r w:rsidRPr="00E21F69">
        <w:rPr>
          <w:lang w:val="fr-FR"/>
        </w:rPr>
        <w:t>existence de plusieurs substances négatives présentant une bonne similarité structurelle et physique (en termes de toxicocinétique) avec la substance à classer, ainsi qu</w:t>
      </w:r>
      <w:r>
        <w:rPr>
          <w:lang w:val="fr-FR"/>
        </w:rPr>
        <w:t>’</w:t>
      </w:r>
      <w:r w:rsidRPr="00E21F69">
        <w:rPr>
          <w:lang w:val="fr-FR"/>
        </w:rPr>
        <w:t>une absence manifeste de substances positives présentant une bonne similarité structurelle et physique avec la substance à classer</w:t>
      </w:r>
      <w:r w:rsidR="00680607" w:rsidRPr="00680607">
        <w:rPr>
          <w:lang w:val="fr-FR"/>
        </w:rPr>
        <w:t>.</w:t>
      </w:r>
      <w:r>
        <w:rPr>
          <w:lang w:val="fr-FR"/>
        </w:rPr>
        <w:t> ».</w:t>
      </w:r>
    </w:p>
    <w:p w14:paraId="42F89C76" w14:textId="74B47990" w:rsidR="00611B25" w:rsidRPr="00E21F69" w:rsidRDefault="00611B25" w:rsidP="00611B25">
      <w:pPr>
        <w:pStyle w:val="HChG"/>
        <w:rPr>
          <w:noProof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21F69">
        <w:rPr>
          <w:lang w:val="fr-FR"/>
        </w:rPr>
        <w:t>Modifications connexes qu</w:t>
      </w:r>
      <w:r>
        <w:rPr>
          <w:lang w:val="fr-FR"/>
        </w:rPr>
        <w:t>’</w:t>
      </w:r>
      <w:r w:rsidRPr="00E21F69">
        <w:rPr>
          <w:lang w:val="fr-FR"/>
        </w:rPr>
        <w:t>il est proposé d</w:t>
      </w:r>
      <w:r>
        <w:rPr>
          <w:lang w:val="fr-FR"/>
        </w:rPr>
        <w:t>’</w:t>
      </w:r>
      <w:r w:rsidRPr="00E21F69">
        <w:rPr>
          <w:lang w:val="fr-FR"/>
        </w:rPr>
        <w:t xml:space="preserve">apporter </w:t>
      </w:r>
      <w:r>
        <w:rPr>
          <w:lang w:val="fr-FR"/>
        </w:rPr>
        <w:br/>
      </w:r>
      <w:r w:rsidRPr="00E21F69">
        <w:rPr>
          <w:lang w:val="fr-FR"/>
        </w:rPr>
        <w:t>au chapitre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</w:p>
    <w:p w14:paraId="56973AA0" w14:textId="4691258A" w:rsidR="00611B25" w:rsidRPr="00E21F69" w:rsidRDefault="00611B25" w:rsidP="00611B25">
      <w:pPr>
        <w:pStyle w:val="SingleTxtG"/>
        <w:rPr>
          <w:i/>
          <w:iCs/>
          <w:lang w:val="fr-FR"/>
        </w:rPr>
      </w:pPr>
      <w:r w:rsidRPr="00E21F69">
        <w:rPr>
          <w:b/>
          <w:bCs/>
          <w:i/>
          <w:iCs/>
          <w:lang w:val="fr-FR"/>
        </w:rPr>
        <w:t xml:space="preserve">Note : </w:t>
      </w:r>
      <w:r w:rsidRPr="00E21F69">
        <w:rPr>
          <w:i/>
          <w:iCs/>
          <w:lang w:val="fr-FR"/>
        </w:rPr>
        <w:t>Les amendements ci-dessous font référence au texte du chapitre 3</w:t>
      </w:r>
      <w:r w:rsidR="00680607" w:rsidRPr="00680607">
        <w:rPr>
          <w:i/>
          <w:iCs/>
          <w:lang w:val="fr-FR"/>
        </w:rPr>
        <w:t>.</w:t>
      </w:r>
      <w:r w:rsidRPr="00E21F69">
        <w:rPr>
          <w:i/>
          <w:iCs/>
          <w:lang w:val="fr-FR"/>
        </w:rPr>
        <w:t>3 adopté par le Sous-Comité à sa quarantième session (voir ST/SG/AC</w:t>
      </w:r>
      <w:r w:rsidR="00680607" w:rsidRPr="00680607">
        <w:rPr>
          <w:i/>
          <w:iCs/>
          <w:lang w:val="fr-FR"/>
        </w:rPr>
        <w:t>.</w:t>
      </w:r>
      <w:r w:rsidRPr="00E21F69">
        <w:rPr>
          <w:i/>
          <w:iCs/>
          <w:lang w:val="fr-FR"/>
        </w:rPr>
        <w:t>10/C</w:t>
      </w:r>
      <w:r w:rsidR="00680607" w:rsidRPr="00680607">
        <w:rPr>
          <w:i/>
          <w:iCs/>
          <w:lang w:val="fr-FR"/>
        </w:rPr>
        <w:t>.</w:t>
      </w:r>
      <w:r w:rsidRPr="00E21F69">
        <w:rPr>
          <w:i/>
          <w:iCs/>
          <w:lang w:val="fr-FR"/>
        </w:rPr>
        <w:t>4/80, annexe I)</w:t>
      </w:r>
      <w:r w:rsidR="00680607" w:rsidRPr="00680607">
        <w:rPr>
          <w:i/>
          <w:iCs/>
          <w:lang w:val="fr-FR"/>
        </w:rPr>
        <w:t>.</w:t>
      </w:r>
    </w:p>
    <w:p w14:paraId="02B0EB37" w14:textId="0A1D034E" w:rsidR="00611B25" w:rsidRPr="00E21F69" w:rsidRDefault="00611B25" w:rsidP="00680607">
      <w:pPr>
        <w:pStyle w:val="SingleTxtG"/>
        <w:rPr>
          <w:lang w:val="fr-FR"/>
        </w:rPr>
      </w:pP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Au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(</w:t>
      </w:r>
      <w:r w:rsidRPr="00206C85">
        <w:rPr>
          <w:lang w:val="fr-FR"/>
        </w:rPr>
        <w:t>Classification fondée sur des méthodes définies (étape</w:t>
      </w:r>
      <w:r w:rsidR="00680607">
        <w:rPr>
          <w:lang w:val="fr-FR"/>
        </w:rPr>
        <w:t> </w:t>
      </w:r>
      <w:r w:rsidRPr="00206C85">
        <w:rPr>
          <w:lang w:val="fr-FR"/>
        </w:rPr>
        <w:t xml:space="preserve">2 </w:t>
      </w:r>
      <w:r>
        <w:rPr>
          <w:lang w:val="fr-FR"/>
        </w:rPr>
        <w:t xml:space="preserve">dans </w:t>
      </w:r>
      <w:r w:rsidRPr="00206C85">
        <w:rPr>
          <w:lang w:val="fr-FR"/>
        </w:rPr>
        <w:t>la figure</w:t>
      </w:r>
      <w:r w:rsidR="00680607">
        <w:rPr>
          <w:lang w:val="fr-FR"/>
        </w:rPr>
        <w:t> </w:t>
      </w:r>
      <w:r w:rsidRPr="00206C85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206C85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206C85">
        <w:rPr>
          <w:lang w:val="fr-FR"/>
        </w:rPr>
        <w:t>1)</w:t>
      </w:r>
      <w:r w:rsidRPr="00E21F69">
        <w:rPr>
          <w:lang w:val="fr-FR"/>
        </w:rPr>
        <w:t xml:space="preserve">) : </w:t>
      </w:r>
    </w:p>
    <w:p w14:paraId="583C3D59" w14:textId="4EB458FB" w:rsidR="00611B25" w:rsidRPr="00E21F69" w:rsidRDefault="00611B25" w:rsidP="00611B25">
      <w:pPr>
        <w:pStyle w:val="Bullet1G"/>
        <w:numPr>
          <w:ilvl w:val="0"/>
          <w:numId w:val="17"/>
        </w:numPr>
        <w:rPr>
          <w:lang w:val="fr-FR"/>
        </w:rPr>
      </w:pPr>
      <w:r w:rsidRPr="00E21F69">
        <w:rPr>
          <w:lang w:val="fr-FR"/>
        </w:rPr>
        <w:t xml:space="preserve">Ajouter un nouveau numéro de paragraphe </w:t>
      </w:r>
      <w:r>
        <w:rPr>
          <w:lang w:val="fr-FR"/>
        </w:rPr>
        <w:t>« 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1</w:t>
      </w:r>
      <w:r>
        <w:rPr>
          <w:lang w:val="fr-FR"/>
        </w:rPr>
        <w:t> »</w:t>
      </w:r>
      <w:r w:rsidRPr="00E21F69">
        <w:rPr>
          <w:lang w:val="fr-FR"/>
        </w:rPr>
        <w:t xml:space="preserve"> au début du texte du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3, de sorte qu</w:t>
      </w:r>
      <w:r>
        <w:rPr>
          <w:lang w:val="fr-FR"/>
        </w:rPr>
        <w:t>’</w:t>
      </w:r>
      <w:r w:rsidRPr="00E21F69">
        <w:rPr>
          <w:lang w:val="fr-FR"/>
        </w:rPr>
        <w:t>il se lise comme suit :</w:t>
      </w:r>
    </w:p>
    <w:p w14:paraId="1A0A6B29" w14:textId="40842775" w:rsidR="00611B25" w:rsidRPr="00E21F69" w:rsidRDefault="00611B25" w:rsidP="00611B25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1</w:t>
      </w:r>
      <w:r w:rsidRPr="00E21F69">
        <w:rPr>
          <w:lang w:val="fr-FR"/>
        </w:rPr>
        <w:tab/>
      </w:r>
      <w:r w:rsidRPr="00E21F69">
        <w:rPr>
          <w:lang w:val="fr-FR"/>
        </w:rPr>
        <w:tab/>
        <w:t xml:space="preserve">Les méthodes définies consistent </w:t>
      </w:r>
      <w:proofErr w:type="gramStart"/>
      <w:r w:rsidRPr="00E21F69">
        <w:rPr>
          <w:lang w:val="fr-FR"/>
        </w:rPr>
        <w:t>à</w:t>
      </w:r>
      <w:r w:rsidR="00680607" w:rsidRPr="00680607">
        <w:rPr>
          <w:lang w:val="fr-FR"/>
        </w:rPr>
        <w:t>...</w:t>
      </w:r>
      <w:proofErr w:type="gramEnd"/>
      <w:r>
        <w:rPr>
          <w:lang w:val="fr-FR"/>
        </w:rPr>
        <w:t> »</w:t>
      </w:r>
    </w:p>
    <w:p w14:paraId="1CBDB6A0" w14:textId="3A8B2985" w:rsidR="00611B25" w:rsidRPr="00E21F69" w:rsidRDefault="00611B25" w:rsidP="00611B25">
      <w:pPr>
        <w:pStyle w:val="Bullet1G"/>
        <w:numPr>
          <w:ilvl w:val="0"/>
          <w:numId w:val="17"/>
        </w:numPr>
        <w:rPr>
          <w:lang w:val="fr-FR"/>
        </w:rPr>
      </w:pPr>
      <w:r w:rsidRPr="00E21F69">
        <w:rPr>
          <w:lang w:val="fr-FR"/>
        </w:rPr>
        <w:t>Après le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1, ajouter deux nouveaux paragraphes libellés comme suit :</w:t>
      </w:r>
    </w:p>
    <w:p w14:paraId="3513CA7A" w14:textId="38F1D9AD" w:rsidR="00611B25" w:rsidRPr="00E21F69" w:rsidRDefault="00611B25" w:rsidP="00611B25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Pr="00E21F69">
        <w:rPr>
          <w:lang w:val="fr-FR"/>
        </w:rPr>
        <w:tab/>
      </w:r>
      <w:r w:rsidRPr="00E21F69">
        <w:rPr>
          <w:lang w:val="fr-FR"/>
        </w:rPr>
        <w:tab/>
        <w:t xml:space="preserve">Lorsque les résultats issus de méthodes définies se voient attribuer un degré de confiance, un résultat </w:t>
      </w:r>
      <w:r>
        <w:rPr>
          <w:lang w:val="fr-FR"/>
        </w:rPr>
        <w:t>peu fiable</w:t>
      </w:r>
      <w:r w:rsidRPr="00E21F69">
        <w:rPr>
          <w:lang w:val="fr-FR"/>
        </w:rPr>
        <w:t xml:space="preserve"> d</w:t>
      </w:r>
      <w:r>
        <w:rPr>
          <w:lang w:val="fr-FR"/>
        </w:rPr>
        <w:t>’</w:t>
      </w:r>
      <w:r w:rsidRPr="00E21F69">
        <w:rPr>
          <w:lang w:val="fr-FR"/>
        </w:rPr>
        <w:t>une approche définie ne peut pas être utilisé seul à des fins de classement</w:t>
      </w:r>
      <w:r>
        <w:rPr>
          <w:lang w:val="fr-FR"/>
        </w:rPr>
        <w:t>,</w:t>
      </w:r>
      <w:r w:rsidRPr="00E21F69">
        <w:rPr>
          <w:lang w:val="fr-FR"/>
        </w:rPr>
        <w:t xml:space="preserve"> mais peut être pris en compte en combinaison avec d</w:t>
      </w:r>
      <w:r>
        <w:rPr>
          <w:lang w:val="fr-FR"/>
        </w:rPr>
        <w:t>’</w:t>
      </w:r>
      <w:r w:rsidRPr="00E21F69">
        <w:rPr>
          <w:lang w:val="fr-FR"/>
        </w:rPr>
        <w:t>autres données</w:t>
      </w:r>
      <w:r w:rsidR="00680607" w:rsidRPr="00680607">
        <w:rPr>
          <w:lang w:val="fr-FR"/>
        </w:rPr>
        <w:t>.</w:t>
      </w:r>
    </w:p>
    <w:p w14:paraId="534B868E" w14:textId="569FF36C" w:rsidR="00611B25" w:rsidRPr="00E21F69" w:rsidRDefault="00611B25" w:rsidP="00611B25">
      <w:pPr>
        <w:pStyle w:val="SingleTxtG"/>
        <w:ind w:left="1701"/>
        <w:rPr>
          <w:lang w:val="fr-FR"/>
        </w:rPr>
      </w:pP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Pr="00E21F69">
        <w:rPr>
          <w:lang w:val="fr-FR"/>
        </w:rPr>
        <w:tab/>
      </w:r>
      <w:r w:rsidRPr="00E21F69">
        <w:rPr>
          <w:lang w:val="fr-FR"/>
        </w:rPr>
        <w:tab/>
        <w:t>Certains éléments de preuve peuvent être utilisés individuellement et dans le cadre de méthodes définies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 </w:t>
      </w:r>
      <w:r>
        <w:rPr>
          <w:lang w:val="fr-FR"/>
        </w:rPr>
        <w:t>Un</w:t>
      </w:r>
      <w:r w:rsidRPr="00E21F69">
        <w:rPr>
          <w:lang w:val="fr-FR"/>
        </w:rPr>
        <w:t xml:space="preserve"> élément de preuve utilisé dans le cadre d</w:t>
      </w:r>
      <w:r>
        <w:rPr>
          <w:lang w:val="fr-FR"/>
        </w:rPr>
        <w:t>’une</w:t>
      </w:r>
      <w:r w:rsidRPr="00E21F69">
        <w:rPr>
          <w:lang w:val="fr-FR"/>
        </w:rPr>
        <w:t xml:space="preserve"> méthode définie ne </w:t>
      </w:r>
      <w:r>
        <w:rPr>
          <w:lang w:val="fr-FR"/>
        </w:rPr>
        <w:t xml:space="preserve">doit </w:t>
      </w:r>
      <w:r w:rsidRPr="00E21F69">
        <w:rPr>
          <w:lang w:val="fr-FR"/>
        </w:rPr>
        <w:t xml:space="preserve">pas être également utilisé </w:t>
      </w:r>
      <w:r>
        <w:rPr>
          <w:lang w:val="fr-FR"/>
        </w:rPr>
        <w:t>seul</w:t>
      </w:r>
      <w:r w:rsidRPr="00E21F69">
        <w:rPr>
          <w:lang w:val="fr-FR"/>
        </w:rPr>
        <w:t xml:space="preserve"> dans le cadre d</w:t>
      </w:r>
      <w:r>
        <w:rPr>
          <w:lang w:val="fr-FR"/>
        </w:rPr>
        <w:t>’</w:t>
      </w:r>
      <w:r w:rsidRPr="00E21F69">
        <w:rPr>
          <w:lang w:val="fr-FR"/>
        </w:rPr>
        <w:t xml:space="preserve">une évaluation </w:t>
      </w:r>
      <w:r>
        <w:rPr>
          <w:lang w:val="fr-FR"/>
        </w:rPr>
        <w:t>de</w:t>
      </w:r>
      <w:r w:rsidRPr="00E21F69">
        <w:rPr>
          <w:lang w:val="fr-FR"/>
        </w:rPr>
        <w:t xml:space="preserve"> la force probante des données</w:t>
      </w:r>
      <w:r w:rsidR="00680607" w:rsidRPr="00680607">
        <w:rPr>
          <w:lang w:val="fr-FR"/>
        </w:rPr>
        <w:t>.</w:t>
      </w:r>
      <w:r>
        <w:rPr>
          <w:lang w:val="fr-FR"/>
        </w:rPr>
        <w:t> ».</w:t>
      </w:r>
    </w:p>
    <w:p w14:paraId="1375E66E" w14:textId="19256C50" w:rsidR="00611B25" w:rsidRPr="00E21F69" w:rsidRDefault="00611B25" w:rsidP="00680607">
      <w:pPr>
        <w:pStyle w:val="SingleTxtG"/>
        <w:rPr>
          <w:noProof/>
          <w:lang w:val="fr-FR"/>
        </w:rPr>
      </w:pPr>
      <w:r w:rsidRPr="00E21F69">
        <w:rPr>
          <w:lang w:val="fr-FR"/>
        </w:rPr>
        <w:t>5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Au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 (</w:t>
      </w:r>
      <w:r w:rsidRPr="009248EF">
        <w:rPr>
          <w:i/>
          <w:iCs/>
          <w:lang w:val="fr-FR"/>
        </w:rPr>
        <w:t xml:space="preserve">Classification fondée sur des données </w:t>
      </w:r>
      <w:r w:rsidRPr="00680607">
        <w:rPr>
          <w:lang w:val="fr-FR"/>
        </w:rPr>
        <w:t>in vitro/ex vivo</w:t>
      </w:r>
      <w:r w:rsidRPr="009248EF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(</w:t>
      </w:r>
      <w:r w:rsidRPr="009248EF">
        <w:rPr>
          <w:i/>
          <w:iCs/>
          <w:lang w:val="fr-FR"/>
        </w:rPr>
        <w:t xml:space="preserve">étape 2 </w:t>
      </w:r>
      <w:r>
        <w:rPr>
          <w:i/>
          <w:iCs/>
          <w:lang w:val="fr-FR"/>
        </w:rPr>
        <w:t xml:space="preserve">dans </w:t>
      </w:r>
      <w:r w:rsidRPr="009248EF">
        <w:rPr>
          <w:i/>
          <w:iCs/>
          <w:lang w:val="fr-FR"/>
        </w:rPr>
        <w:t>la figure 3</w:t>
      </w:r>
      <w:r w:rsidR="00680607" w:rsidRPr="00680607">
        <w:rPr>
          <w:i/>
          <w:iCs/>
          <w:lang w:val="fr-FR"/>
        </w:rPr>
        <w:t>.</w:t>
      </w:r>
      <w:r w:rsidRPr="009248EF">
        <w:rPr>
          <w:i/>
          <w:iCs/>
          <w:lang w:val="fr-FR"/>
        </w:rPr>
        <w:t>3</w:t>
      </w:r>
      <w:r w:rsidR="00680607" w:rsidRPr="00680607">
        <w:rPr>
          <w:i/>
          <w:iCs/>
          <w:lang w:val="fr-FR"/>
        </w:rPr>
        <w:t>.</w:t>
      </w:r>
      <w:r w:rsidRPr="009248EF">
        <w:rPr>
          <w:i/>
          <w:iCs/>
          <w:lang w:val="fr-FR"/>
        </w:rPr>
        <w:t>1)</w:t>
      </w:r>
      <w:r w:rsidRPr="00E21F69">
        <w:rPr>
          <w:lang w:val="fr-FR"/>
        </w:rPr>
        <w:t xml:space="preserve">) : </w:t>
      </w:r>
    </w:p>
    <w:p w14:paraId="2D15D291" w14:textId="6760572A" w:rsidR="00611B25" w:rsidRPr="00E21F69" w:rsidRDefault="00611B25" w:rsidP="00611B25">
      <w:pPr>
        <w:pStyle w:val="Bullet1G"/>
        <w:numPr>
          <w:ilvl w:val="0"/>
          <w:numId w:val="17"/>
        </w:numPr>
        <w:rPr>
          <w:noProof/>
          <w:lang w:val="fr-FR"/>
        </w:rPr>
      </w:pPr>
      <w:r w:rsidRPr="00E21F69">
        <w:rPr>
          <w:lang w:val="fr-FR"/>
        </w:rPr>
        <w:t>Après le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1, ajouter un nouveau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2 </w:t>
      </w:r>
      <w:proofErr w:type="gramStart"/>
      <w:r w:rsidRPr="00E21F69">
        <w:rPr>
          <w:lang w:val="fr-FR"/>
        </w:rPr>
        <w:t>libellé</w:t>
      </w:r>
      <w:proofErr w:type="gramEnd"/>
      <w:r w:rsidRPr="00E21F69">
        <w:rPr>
          <w:lang w:val="fr-FR"/>
        </w:rPr>
        <w:t xml:space="preserve"> comme suit :</w:t>
      </w:r>
    </w:p>
    <w:p w14:paraId="393BDEE4" w14:textId="1CC976E8" w:rsidR="00611B25" w:rsidRPr="00E21F69" w:rsidRDefault="00611B25" w:rsidP="00611B25">
      <w:pPr>
        <w:pStyle w:val="SingleTxtG"/>
        <w:ind w:left="1701"/>
        <w:rPr>
          <w:lang w:val="fr-FR"/>
        </w:rPr>
      </w:pPr>
      <w:bookmarkStart w:id="1" w:name="_Hlk113622132"/>
      <w:r>
        <w:rPr>
          <w:lang w:val="fr-FR"/>
        </w:rPr>
        <w:t>« 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Pr="00E21F69">
        <w:rPr>
          <w:lang w:val="fr-FR"/>
        </w:rPr>
        <w:tab/>
        <w:t xml:space="preserve">Les méthodes </w:t>
      </w:r>
      <w:r w:rsidRPr="00680607">
        <w:rPr>
          <w:i/>
          <w:iCs/>
          <w:lang w:val="fr-FR"/>
        </w:rPr>
        <w:t>in vitro/ex vivo</w:t>
      </w:r>
      <w:r w:rsidRPr="00E21F69">
        <w:rPr>
          <w:lang w:val="fr-FR"/>
        </w:rPr>
        <w:t xml:space="preserve"> mentionnées au point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1 et dont le résultat est </w:t>
      </w:r>
      <w:r w:rsidR="00680607" w:rsidRPr="00680607">
        <w:t>“</w:t>
      </w:r>
      <w:r w:rsidRPr="00E21F69">
        <w:rPr>
          <w:lang w:val="fr-FR"/>
        </w:rPr>
        <w:t>aucune prédiction ne peut être faite sur la base de ce seul essai</w:t>
      </w:r>
      <w:r w:rsidR="00680607" w:rsidRPr="00680607">
        <w:t>”</w:t>
      </w:r>
      <w:r w:rsidRPr="00E21F69">
        <w:rPr>
          <w:lang w:val="fr-FR"/>
        </w:rPr>
        <w:t xml:space="preserve"> ne doivent être utilisées à l</w:t>
      </w:r>
      <w:r>
        <w:rPr>
          <w:lang w:val="fr-FR"/>
        </w:rPr>
        <w:t>’</w:t>
      </w:r>
      <w:r w:rsidRPr="00E21F69">
        <w:rPr>
          <w:lang w:val="fr-FR"/>
        </w:rPr>
        <w:t>étape 2 qu</w:t>
      </w:r>
      <w:r>
        <w:rPr>
          <w:lang w:val="fr-FR"/>
        </w:rPr>
        <w:t>’</w:t>
      </w:r>
      <w:r w:rsidRPr="00E21F69">
        <w:rPr>
          <w:lang w:val="fr-FR"/>
        </w:rPr>
        <w:t>en combinaison avec d</w:t>
      </w:r>
      <w:r>
        <w:rPr>
          <w:lang w:val="fr-FR"/>
        </w:rPr>
        <w:t>’</w:t>
      </w:r>
      <w:r w:rsidRPr="00E21F69">
        <w:rPr>
          <w:lang w:val="fr-FR"/>
        </w:rPr>
        <w:t>autres types de données dans le cadre de méthodes définies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 xml:space="preserve"> Lorsqu</w:t>
      </w:r>
      <w:r>
        <w:rPr>
          <w:lang w:val="fr-FR"/>
        </w:rPr>
        <w:t>’</w:t>
      </w:r>
      <w:r w:rsidRPr="00E21F69">
        <w:rPr>
          <w:lang w:val="fr-FR"/>
        </w:rPr>
        <w:t>elles sont déjà prises en compte dans le cadre d</w:t>
      </w:r>
      <w:r>
        <w:rPr>
          <w:lang w:val="fr-FR"/>
        </w:rPr>
        <w:t>’</w:t>
      </w:r>
      <w:r w:rsidRPr="00E21F69">
        <w:rPr>
          <w:lang w:val="fr-FR"/>
        </w:rPr>
        <w:t xml:space="preserve">une approche définie, les méthodes </w:t>
      </w:r>
      <w:r w:rsidRPr="00680607">
        <w:rPr>
          <w:i/>
          <w:iCs/>
          <w:lang w:val="fr-FR"/>
        </w:rPr>
        <w:t>in vitro/ex vivo</w:t>
      </w:r>
      <w:r w:rsidRPr="00E21F69">
        <w:rPr>
          <w:lang w:val="fr-FR"/>
        </w:rPr>
        <w:t xml:space="preserve"> ne doivent pas être considérées comme une source de données supplémentaire</w:t>
      </w:r>
      <w:r w:rsidR="00680607" w:rsidRPr="00680607">
        <w:rPr>
          <w:lang w:val="fr-FR"/>
        </w:rPr>
        <w:t>.</w:t>
      </w:r>
      <w:bookmarkEnd w:id="1"/>
      <w:r>
        <w:rPr>
          <w:lang w:val="fr-FR"/>
        </w:rPr>
        <w:t> ».</w:t>
      </w:r>
    </w:p>
    <w:p w14:paraId="48E29EFA" w14:textId="05FD2290" w:rsidR="00611B25" w:rsidRPr="00E21F69" w:rsidRDefault="00611B25" w:rsidP="00611B25">
      <w:pPr>
        <w:pStyle w:val="Bullet1G"/>
        <w:numPr>
          <w:ilvl w:val="0"/>
          <w:numId w:val="17"/>
        </w:numPr>
        <w:rPr>
          <w:lang w:val="fr-FR"/>
        </w:rPr>
      </w:pPr>
      <w:r w:rsidRPr="00E21F69">
        <w:rPr>
          <w:lang w:val="fr-FR"/>
        </w:rPr>
        <w:t>Renuméroter les actuels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 et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de sorte qu</w:t>
      </w:r>
      <w:r>
        <w:rPr>
          <w:lang w:val="fr-FR"/>
        </w:rPr>
        <w:t>’</w:t>
      </w:r>
      <w:r w:rsidRPr="00E21F69">
        <w:rPr>
          <w:lang w:val="fr-FR"/>
        </w:rPr>
        <w:t>ils deviennent les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et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</w:t>
      </w:r>
      <w:r w:rsidR="00680607" w:rsidRPr="00680607">
        <w:rPr>
          <w:lang w:val="fr-FR"/>
        </w:rPr>
        <w:t>.</w:t>
      </w:r>
      <w:bookmarkStart w:id="2" w:name="_Hlk113545054"/>
      <w:bookmarkEnd w:id="2"/>
    </w:p>
    <w:p w14:paraId="38F9C7F8" w14:textId="5AEE978B" w:rsidR="00611B25" w:rsidRPr="00E21F69" w:rsidRDefault="00611B25" w:rsidP="00680607">
      <w:pPr>
        <w:pStyle w:val="SingleTxtG"/>
        <w:keepNext/>
        <w:rPr>
          <w:lang w:val="fr-FR"/>
        </w:rPr>
      </w:pPr>
      <w:r w:rsidRPr="00E21F69">
        <w:rPr>
          <w:lang w:val="fr-FR"/>
        </w:rPr>
        <w:t>6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Au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8 (</w:t>
      </w:r>
      <w:r w:rsidRPr="007B4B5E">
        <w:rPr>
          <w:i/>
          <w:iCs/>
          <w:lang w:val="fr-FR"/>
        </w:rPr>
        <w:t>Classification fondée sur des méthodes sans essais pour les lésions oculaires graves/l</w:t>
      </w:r>
      <w:r>
        <w:rPr>
          <w:i/>
          <w:iCs/>
          <w:lang w:val="fr-FR"/>
        </w:rPr>
        <w:t>’</w:t>
      </w:r>
      <w:r w:rsidRPr="007B4B5E">
        <w:rPr>
          <w:i/>
          <w:iCs/>
          <w:lang w:val="fr-FR"/>
        </w:rPr>
        <w:t>irritation oculaire ou pour la corrosion cutanée (étape</w:t>
      </w:r>
      <w:r w:rsidR="00680607">
        <w:rPr>
          <w:i/>
          <w:iCs/>
          <w:lang w:val="fr-FR"/>
        </w:rPr>
        <w:t> </w:t>
      </w:r>
      <w:r w:rsidRPr="007B4B5E">
        <w:rPr>
          <w:i/>
          <w:iCs/>
          <w:lang w:val="fr-FR"/>
        </w:rPr>
        <w:t>6 d</w:t>
      </w:r>
      <w:r>
        <w:rPr>
          <w:i/>
          <w:iCs/>
          <w:lang w:val="fr-FR"/>
        </w:rPr>
        <w:t>ans</w:t>
      </w:r>
      <w:r w:rsidRPr="007B4B5E">
        <w:rPr>
          <w:i/>
          <w:iCs/>
          <w:lang w:val="fr-FR"/>
        </w:rPr>
        <w:t xml:space="preserve"> la figure</w:t>
      </w:r>
      <w:r w:rsidR="00680607">
        <w:rPr>
          <w:i/>
          <w:iCs/>
          <w:lang w:val="fr-FR"/>
        </w:rPr>
        <w:t> </w:t>
      </w:r>
      <w:r w:rsidRPr="007B4B5E">
        <w:rPr>
          <w:i/>
          <w:iCs/>
          <w:lang w:val="fr-FR"/>
        </w:rPr>
        <w:t>3</w:t>
      </w:r>
      <w:r w:rsidR="00680607" w:rsidRPr="00680607">
        <w:rPr>
          <w:i/>
          <w:iCs/>
          <w:lang w:val="fr-FR"/>
        </w:rPr>
        <w:t>.</w:t>
      </w:r>
      <w:r w:rsidRPr="007B4B5E">
        <w:rPr>
          <w:i/>
          <w:iCs/>
          <w:lang w:val="fr-FR"/>
        </w:rPr>
        <w:t>3</w:t>
      </w:r>
      <w:r w:rsidR="00680607" w:rsidRPr="00680607">
        <w:rPr>
          <w:i/>
          <w:iCs/>
          <w:lang w:val="fr-FR"/>
        </w:rPr>
        <w:t>.</w:t>
      </w:r>
      <w:r w:rsidRPr="007B4B5E">
        <w:rPr>
          <w:i/>
          <w:iCs/>
          <w:lang w:val="fr-FR"/>
        </w:rPr>
        <w:t>1)</w:t>
      </w:r>
      <w:r>
        <w:rPr>
          <w:lang w:val="fr-FR"/>
        </w:rPr>
        <w:t>)</w:t>
      </w:r>
      <w:r w:rsidRPr="00E21F69">
        <w:rPr>
          <w:lang w:val="fr-FR"/>
        </w:rPr>
        <w:t xml:space="preserve"> :</w:t>
      </w:r>
    </w:p>
    <w:p w14:paraId="61794531" w14:textId="68C46270" w:rsidR="00611B25" w:rsidRPr="00E21F69" w:rsidRDefault="00611B25" w:rsidP="00611B25">
      <w:pPr>
        <w:pStyle w:val="Bullet1G"/>
        <w:numPr>
          <w:ilvl w:val="0"/>
          <w:numId w:val="17"/>
        </w:numPr>
        <w:rPr>
          <w:lang w:val="fr-FR"/>
        </w:rPr>
      </w:pPr>
      <w:r w:rsidRPr="00E21F69">
        <w:rPr>
          <w:lang w:val="fr-FR"/>
        </w:rPr>
        <w:t>Remplacer le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8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1 par le texte suivant :</w:t>
      </w:r>
    </w:p>
    <w:p w14:paraId="04604950" w14:textId="49A96ACC" w:rsidR="00611B25" w:rsidRPr="00E21F69" w:rsidRDefault="00680607" w:rsidP="00611B25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="00611B25" w:rsidRPr="00E21F69">
        <w:rPr>
          <w:lang w:val="fr-FR"/>
        </w:rPr>
        <w:t>3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3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2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8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1</w:t>
      </w:r>
      <w:r w:rsidR="00611B25" w:rsidRPr="00E21F69">
        <w:rPr>
          <w:lang w:val="fr-FR"/>
        </w:rPr>
        <w:tab/>
      </w:r>
      <w:r w:rsidR="00611B25" w:rsidRPr="00E21F69">
        <w:rPr>
          <w:lang w:val="fr-FR"/>
        </w:rPr>
        <w:tab/>
        <w:t>Le classement, y compris la conclusion de non-classement, peut reposer sur des méthodes sans essais appliquées au cas par cas, compte dûment tenu de la fiabilité et de l</w:t>
      </w:r>
      <w:r w:rsidR="00611B25">
        <w:rPr>
          <w:lang w:val="fr-FR"/>
        </w:rPr>
        <w:t>’</w:t>
      </w:r>
      <w:r w:rsidR="00611B25" w:rsidRPr="00E21F69">
        <w:rPr>
          <w:lang w:val="fr-FR"/>
        </w:rPr>
        <w:t>applicabilité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 xml:space="preserve"> Des méthodes spécifiques sans essais peuvent également être utilisées dans le cadre d</w:t>
      </w:r>
      <w:r w:rsidR="00611B25">
        <w:rPr>
          <w:lang w:val="fr-FR"/>
        </w:rPr>
        <w:t>’</w:t>
      </w:r>
      <w:r w:rsidR="00611B25" w:rsidRPr="00E21F69">
        <w:rPr>
          <w:lang w:val="fr-FR"/>
        </w:rPr>
        <w:t>une méthode définie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 xml:space="preserve"> Lorsqu</w:t>
      </w:r>
      <w:r w:rsidR="00611B25">
        <w:rPr>
          <w:lang w:val="fr-FR"/>
        </w:rPr>
        <w:t>’</w:t>
      </w:r>
      <w:r w:rsidR="00611B25" w:rsidRPr="00E21F69">
        <w:rPr>
          <w:lang w:val="fr-FR"/>
        </w:rPr>
        <w:t>elles sont déjà prises en compte dans le cadre d</w:t>
      </w:r>
      <w:r w:rsidR="00611B25">
        <w:rPr>
          <w:lang w:val="fr-FR"/>
        </w:rPr>
        <w:t>’</w:t>
      </w:r>
      <w:r w:rsidR="00611B25" w:rsidRPr="00E21F69">
        <w:rPr>
          <w:lang w:val="fr-FR"/>
        </w:rPr>
        <w:t>une approche définie, ces méthodes spécifiques sans essais ne doivent pas être considérées comme une source de données supplémentaire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 xml:space="preserve"> Les méthodes sans essais comprennent les modèles informatisés estimant les relations qualitatives structure-activité (alertes structurelles, SAR) ou les relations quantitatives structure-activité (QSAR), les systèmes informatiques experts et la lecture croisée par analogie ou par catégorie</w:t>
      </w:r>
      <w:r w:rsidRPr="00680607">
        <w:rPr>
          <w:lang w:val="fr-FR"/>
        </w:rPr>
        <w:t>.</w:t>
      </w:r>
      <w:r>
        <w:rPr>
          <w:lang w:val="fr-FR"/>
        </w:rPr>
        <w:t> ».</w:t>
      </w:r>
    </w:p>
    <w:p w14:paraId="7CE933BD" w14:textId="1C875B83" w:rsidR="00611B25" w:rsidRPr="00E21F69" w:rsidRDefault="00611B25" w:rsidP="00611B25">
      <w:pPr>
        <w:pStyle w:val="Bullet1G"/>
        <w:keepNext/>
        <w:keepLines/>
        <w:numPr>
          <w:ilvl w:val="0"/>
          <w:numId w:val="17"/>
        </w:numPr>
        <w:rPr>
          <w:lang w:val="fr-FR"/>
        </w:rPr>
      </w:pPr>
      <w:r w:rsidRPr="00E21F69">
        <w:rPr>
          <w:lang w:val="fr-FR"/>
        </w:rPr>
        <w:t>Ajouter le nouveau paragraphe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8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5, libellé comme suit :</w:t>
      </w:r>
    </w:p>
    <w:p w14:paraId="1972C3E9" w14:textId="7E35B6A4" w:rsidR="00611B25" w:rsidRPr="00E21F69" w:rsidRDefault="00680607" w:rsidP="00611B25">
      <w:pPr>
        <w:pStyle w:val="SingleTxtG"/>
        <w:ind w:left="1701"/>
        <w:rPr>
          <w:sz w:val="24"/>
          <w:szCs w:val="24"/>
          <w:lang w:val="fr-FR"/>
        </w:rPr>
      </w:pPr>
      <w:r>
        <w:rPr>
          <w:lang w:val="fr-FR"/>
        </w:rPr>
        <w:t>« </w:t>
      </w:r>
      <w:r w:rsidR="00611B25" w:rsidRPr="00E21F69">
        <w:rPr>
          <w:lang w:val="fr-FR"/>
        </w:rPr>
        <w:t>3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3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2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8</w:t>
      </w:r>
      <w:r w:rsidRPr="00680607">
        <w:rPr>
          <w:lang w:val="fr-FR"/>
        </w:rPr>
        <w:t>.</w:t>
      </w:r>
      <w:r w:rsidR="00611B25" w:rsidRPr="00E21F69">
        <w:rPr>
          <w:lang w:val="fr-FR"/>
        </w:rPr>
        <w:t>5</w:t>
      </w:r>
      <w:r w:rsidR="00611B25" w:rsidRPr="00E21F69">
        <w:rPr>
          <w:lang w:val="fr-FR"/>
        </w:rPr>
        <w:tab/>
        <w:t xml:space="preserve">Pour les conclusions de non classement reposant sur les méthodes de lecture croisée ou (Q)SAR, </w:t>
      </w:r>
      <w:r w:rsidR="00611B25">
        <w:rPr>
          <w:lang w:val="fr-FR"/>
        </w:rPr>
        <w:t>l’adéquation et la fiabilité</w:t>
      </w:r>
      <w:r w:rsidR="00611B25" w:rsidRPr="00E21F69">
        <w:rPr>
          <w:lang w:val="fr-FR"/>
        </w:rPr>
        <w:t xml:space="preserve"> du raisonnement scientifique et des </w:t>
      </w:r>
      <w:r w:rsidR="00611B25">
        <w:rPr>
          <w:lang w:val="fr-FR"/>
        </w:rPr>
        <w:t>éléments de preuve</w:t>
      </w:r>
      <w:r w:rsidR="00611B25" w:rsidRPr="00E21F69">
        <w:rPr>
          <w:lang w:val="fr-FR"/>
        </w:rPr>
        <w:t xml:space="preserve"> doivent être bien étayés, ce qui nécessite </w:t>
      </w:r>
      <w:r w:rsidR="00611B25">
        <w:rPr>
          <w:lang w:val="fr-FR"/>
        </w:rPr>
        <w:t xml:space="preserve">habituellement </w:t>
      </w:r>
      <w:r w:rsidR="00611B25" w:rsidRPr="00E21F69">
        <w:rPr>
          <w:lang w:val="fr-FR"/>
        </w:rPr>
        <w:t>l</w:t>
      </w:r>
      <w:r w:rsidR="00611B25">
        <w:rPr>
          <w:lang w:val="fr-FR"/>
        </w:rPr>
        <w:t>’</w:t>
      </w:r>
      <w:r w:rsidR="00611B25" w:rsidRPr="00E21F69">
        <w:rPr>
          <w:lang w:val="fr-FR"/>
        </w:rPr>
        <w:t>existence de plusieurs substances négatives présentant une bonne similarité structurelle et physique (en termes de toxicocinétique) avec la substance à classer, ainsi qu</w:t>
      </w:r>
      <w:r w:rsidR="00611B25">
        <w:rPr>
          <w:lang w:val="fr-FR"/>
        </w:rPr>
        <w:t>’</w:t>
      </w:r>
      <w:r w:rsidR="00611B25" w:rsidRPr="00E21F69">
        <w:rPr>
          <w:lang w:val="fr-FR"/>
        </w:rPr>
        <w:t>une absence manifeste de substances positives présentant une bonne similarité structurelle et physique avec la</w:t>
      </w:r>
      <w:r w:rsidR="00611B25">
        <w:rPr>
          <w:lang w:val="fr-FR"/>
        </w:rPr>
        <w:t>dite</w:t>
      </w:r>
      <w:r w:rsidR="00611B25" w:rsidRPr="00E21F69">
        <w:rPr>
          <w:lang w:val="fr-FR"/>
        </w:rPr>
        <w:t xml:space="preserve"> substance à classer</w:t>
      </w:r>
      <w:r w:rsidRPr="00680607">
        <w:rPr>
          <w:lang w:val="fr-FR"/>
        </w:rPr>
        <w:t>.</w:t>
      </w:r>
      <w:r>
        <w:rPr>
          <w:lang w:val="fr-FR"/>
        </w:rPr>
        <w:t> ».</w:t>
      </w:r>
    </w:p>
    <w:p w14:paraId="62D28AFF" w14:textId="77777777" w:rsidR="00611B25" w:rsidRPr="00E21F69" w:rsidRDefault="00611B25" w:rsidP="00611B25">
      <w:pPr>
        <w:pStyle w:val="H1G"/>
        <w:ind w:right="567"/>
        <w:rPr>
          <w:sz w:val="28"/>
          <w:szCs w:val="28"/>
          <w:lang w:val="fr-FR"/>
        </w:rPr>
      </w:pPr>
      <w:r w:rsidRPr="00E21F69">
        <w:rPr>
          <w:lang w:val="fr-FR"/>
        </w:rPr>
        <w:tab/>
      </w:r>
      <w:r w:rsidRPr="00E21F69">
        <w:rPr>
          <w:lang w:val="fr-FR"/>
        </w:rPr>
        <w:tab/>
      </w:r>
      <w:r w:rsidRPr="00E21F69">
        <w:rPr>
          <w:bCs/>
          <w:lang w:val="fr-FR"/>
        </w:rPr>
        <w:t>Mesures à prendre et étapes suivantes</w:t>
      </w:r>
    </w:p>
    <w:p w14:paraId="316F410D" w14:textId="164C8A79" w:rsidR="00611B25" w:rsidRDefault="00611B25" w:rsidP="00611B25">
      <w:pPr>
        <w:pStyle w:val="SingleTxtG"/>
      </w:pPr>
      <w:r w:rsidRPr="00E21F69">
        <w:rPr>
          <w:lang w:val="fr-FR"/>
        </w:rPr>
        <w:t>7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ab/>
        <w:t>Le Sous-Comité est invité à approuver les modifications connexes qu</w:t>
      </w:r>
      <w:r>
        <w:rPr>
          <w:lang w:val="fr-FR"/>
        </w:rPr>
        <w:t>’</w:t>
      </w:r>
      <w:r w:rsidRPr="00E21F69">
        <w:rPr>
          <w:lang w:val="fr-FR"/>
        </w:rPr>
        <w:t>il est proposé d</w:t>
      </w:r>
      <w:r>
        <w:rPr>
          <w:lang w:val="fr-FR"/>
        </w:rPr>
        <w:t>’</w:t>
      </w:r>
      <w:r w:rsidRPr="00E21F69">
        <w:rPr>
          <w:lang w:val="fr-FR"/>
        </w:rPr>
        <w:t>apporter aux chapitres</w:t>
      </w:r>
      <w:r w:rsidR="00680607">
        <w:rPr>
          <w:lang w:val="fr-FR"/>
        </w:rPr>
        <w:t> </w:t>
      </w:r>
      <w:r w:rsidRPr="00E21F69">
        <w:rPr>
          <w:lang w:val="fr-FR"/>
        </w:rPr>
        <w:t>1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2, 3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2 et 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3 en raison des modifications qu</w:t>
      </w:r>
      <w:r>
        <w:rPr>
          <w:lang w:val="fr-FR"/>
        </w:rPr>
        <w:t>’</w:t>
      </w:r>
      <w:r w:rsidRPr="00E21F69">
        <w:rPr>
          <w:lang w:val="fr-FR"/>
        </w:rPr>
        <w:t>il est proposé d</w:t>
      </w:r>
      <w:r>
        <w:rPr>
          <w:lang w:val="fr-FR"/>
        </w:rPr>
        <w:t>’</w:t>
      </w:r>
      <w:r w:rsidRPr="00E21F69">
        <w:rPr>
          <w:lang w:val="fr-FR"/>
        </w:rPr>
        <w:t>apporter au chapitre</w:t>
      </w:r>
      <w:r w:rsidR="00680607">
        <w:rPr>
          <w:lang w:val="fr-FR"/>
        </w:rPr>
        <w:t> </w:t>
      </w:r>
      <w:r w:rsidRPr="00E21F69">
        <w:rPr>
          <w:lang w:val="fr-FR"/>
        </w:rPr>
        <w:t>3</w:t>
      </w:r>
      <w:r w:rsidR="00680607" w:rsidRPr="00680607">
        <w:rPr>
          <w:lang w:val="fr-FR"/>
        </w:rPr>
        <w:t>.</w:t>
      </w:r>
      <w:r w:rsidRPr="00E21F69">
        <w:rPr>
          <w:lang w:val="fr-FR"/>
        </w:rPr>
        <w:t>4 concernant la sensibilisation cutanée, comme indiqué aux paragraphes 2 à 6 du présent document</w:t>
      </w:r>
      <w:r w:rsidR="00680607" w:rsidRPr="00680607">
        <w:rPr>
          <w:lang w:val="fr-FR"/>
        </w:rPr>
        <w:t>.</w:t>
      </w:r>
    </w:p>
    <w:p w14:paraId="26514F8D" w14:textId="41D6A12A" w:rsidR="00446FE5" w:rsidRPr="00611B25" w:rsidRDefault="00611B25" w:rsidP="00611B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11B25" w:rsidSect="00611B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C7E2" w14:textId="77777777" w:rsidR="00C6571E" w:rsidRDefault="00C6571E" w:rsidP="00F95C08">
      <w:pPr>
        <w:spacing w:line="240" w:lineRule="auto"/>
      </w:pPr>
    </w:p>
  </w:endnote>
  <w:endnote w:type="continuationSeparator" w:id="0">
    <w:p w14:paraId="6FC9AC61" w14:textId="77777777" w:rsidR="00C6571E" w:rsidRPr="00AC3823" w:rsidRDefault="00C6571E" w:rsidP="00AC3823">
      <w:pPr>
        <w:pStyle w:val="Footer"/>
      </w:pPr>
    </w:p>
  </w:endnote>
  <w:endnote w:type="continuationNotice" w:id="1">
    <w:p w14:paraId="07F96F87" w14:textId="77777777" w:rsidR="00C6571E" w:rsidRDefault="00C657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EAA6" w14:textId="16A47F31" w:rsidR="00611B25" w:rsidRPr="00611B25" w:rsidRDefault="00611B25" w:rsidP="00611B25">
    <w:pPr>
      <w:pStyle w:val="Footer"/>
      <w:tabs>
        <w:tab w:val="right" w:pos="9638"/>
      </w:tabs>
    </w:pPr>
    <w:r w:rsidRPr="00611B25">
      <w:rPr>
        <w:b/>
        <w:sz w:val="18"/>
      </w:rPr>
      <w:fldChar w:fldCharType="begin"/>
    </w:r>
    <w:r w:rsidRPr="00611B25">
      <w:rPr>
        <w:b/>
        <w:sz w:val="18"/>
      </w:rPr>
      <w:instrText xml:space="preserve"> PAGE  \* MERGEFORMAT </w:instrText>
    </w:r>
    <w:r w:rsidRPr="00611B25">
      <w:rPr>
        <w:b/>
        <w:sz w:val="18"/>
      </w:rPr>
      <w:fldChar w:fldCharType="separate"/>
    </w:r>
    <w:r w:rsidRPr="00611B25">
      <w:rPr>
        <w:b/>
        <w:noProof/>
        <w:sz w:val="18"/>
      </w:rPr>
      <w:t>2</w:t>
    </w:r>
    <w:r w:rsidRPr="00611B25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680607" w:rsidRPr="00680607">
      <w:t>.</w:t>
    </w:r>
    <w:r>
      <w:t>22-14606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B8D6" w14:textId="6830A5D4" w:rsidR="00611B25" w:rsidRPr="00611B25" w:rsidRDefault="00611B25" w:rsidP="00611B25">
    <w:pPr>
      <w:pStyle w:val="Footer"/>
      <w:tabs>
        <w:tab w:val="right" w:pos="9638"/>
      </w:tabs>
      <w:rPr>
        <w:b/>
        <w:sz w:val="18"/>
      </w:rPr>
    </w:pPr>
    <w:r>
      <w:t>GE</w:t>
    </w:r>
    <w:r w:rsidR="00680607" w:rsidRPr="00680607">
      <w:t>.</w:t>
    </w:r>
    <w:r>
      <w:t>22-14606</w:t>
    </w:r>
    <w:r>
      <w:tab/>
    </w:r>
    <w:r w:rsidRPr="00611B25">
      <w:rPr>
        <w:b/>
        <w:sz w:val="18"/>
      </w:rPr>
      <w:fldChar w:fldCharType="begin"/>
    </w:r>
    <w:r w:rsidRPr="00611B25">
      <w:rPr>
        <w:b/>
        <w:sz w:val="18"/>
      </w:rPr>
      <w:instrText xml:space="preserve"> PAGE  \* MERGEFORMAT </w:instrText>
    </w:r>
    <w:r w:rsidRPr="00611B25">
      <w:rPr>
        <w:b/>
        <w:sz w:val="18"/>
      </w:rPr>
      <w:fldChar w:fldCharType="separate"/>
    </w:r>
    <w:r w:rsidRPr="00611B25">
      <w:rPr>
        <w:b/>
        <w:noProof/>
        <w:sz w:val="18"/>
      </w:rPr>
      <w:t>3</w:t>
    </w:r>
    <w:r w:rsidRPr="00611B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AA70" w14:textId="7109C5FD" w:rsidR="0068456F" w:rsidRPr="00611B25" w:rsidRDefault="00611B25" w:rsidP="00611B25">
    <w:pPr>
      <w:pStyle w:val="Footer"/>
      <w:spacing w:before="120"/>
      <w:rPr>
        <w:sz w:val="20"/>
      </w:rPr>
    </w:pPr>
    <w:r>
      <w:rPr>
        <w:sz w:val="20"/>
      </w:rPr>
      <w:t>GE</w:t>
    </w:r>
    <w:r w:rsidR="00680607" w:rsidRPr="00680607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E2F2CA" wp14:editId="0959134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14606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B31BF1" wp14:editId="4C038C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241022    241022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3C95" w14:textId="77777777" w:rsidR="00C6571E" w:rsidRPr="00AC3823" w:rsidRDefault="00C657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7873EE" w14:textId="77777777" w:rsidR="00C6571E" w:rsidRPr="00AC3823" w:rsidRDefault="00C657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3ABAA8" w14:textId="77777777" w:rsidR="00C6571E" w:rsidRPr="00AC3823" w:rsidRDefault="00C6571E">
      <w:pPr>
        <w:spacing w:line="240" w:lineRule="auto"/>
        <w:rPr>
          <w:sz w:val="2"/>
          <w:szCs w:val="2"/>
        </w:rPr>
      </w:pPr>
    </w:p>
  </w:footnote>
  <w:footnote w:id="2">
    <w:p w14:paraId="12FC2D4A" w14:textId="2BE05598" w:rsidR="00611B25" w:rsidRPr="00441D90" w:rsidRDefault="00611B25" w:rsidP="00611B25">
      <w:pPr>
        <w:pStyle w:val="FootnoteText"/>
      </w:pPr>
      <w:r w:rsidRPr="00680607">
        <w:rPr>
          <w:sz w:val="20"/>
          <w:lang w:val="fr-FR"/>
        </w:rPr>
        <w:tab/>
        <w:t>*</w:t>
      </w:r>
      <w:r w:rsidRPr="00680607">
        <w:rPr>
          <w:sz w:val="20"/>
          <w:lang w:val="fr-FR"/>
        </w:rPr>
        <w:tab/>
      </w:r>
      <w:r>
        <w:rPr>
          <w:lang w:val="fr-FR"/>
        </w:rPr>
        <w:t>A/75/6 (Sect</w:t>
      </w:r>
      <w:r w:rsidR="00680607" w:rsidRPr="00680607">
        <w:rPr>
          <w:lang w:val="fr-FR"/>
        </w:rPr>
        <w:t>.</w:t>
      </w:r>
      <w:r>
        <w:rPr>
          <w:lang w:val="fr-FR"/>
        </w:rPr>
        <w:t xml:space="preserve"> 20), par</w:t>
      </w:r>
      <w:r w:rsidR="00680607" w:rsidRPr="00680607">
        <w:rPr>
          <w:lang w:val="fr-FR"/>
        </w:rPr>
        <w:t>.</w:t>
      </w:r>
      <w:r>
        <w:rPr>
          <w:lang w:val="fr-FR"/>
        </w:rPr>
        <w:t xml:space="preserve"> 20</w:t>
      </w:r>
      <w:r w:rsidR="00680607" w:rsidRPr="00680607">
        <w:rPr>
          <w:lang w:val="fr-FR"/>
        </w:rPr>
        <w:t>.</w:t>
      </w:r>
      <w:r>
        <w:rPr>
          <w:lang w:val="fr-FR"/>
        </w:rPr>
        <w:t>51</w:t>
      </w:r>
      <w:r w:rsidR="00680607" w:rsidRPr="0068060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23E7" w14:textId="0AB89F75" w:rsidR="00611B25" w:rsidRPr="00611B25" w:rsidRDefault="00C6571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71DCA">
      <w:t>ST/SG/AC.10/C.4/2022/15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26E9" w14:textId="49B546F6" w:rsidR="00611B25" w:rsidRPr="00611B25" w:rsidRDefault="00C6571E" w:rsidP="00611B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1DCA">
      <w:t>ST/SG/AC.10/C.4/2022/15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14126C7"/>
    <w:multiLevelType w:val="hybridMultilevel"/>
    <w:tmpl w:val="C48263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B7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60BE2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11B25"/>
    <w:rsid w:val="00680607"/>
    <w:rsid w:val="0068456F"/>
    <w:rsid w:val="0071601D"/>
    <w:rsid w:val="00754EAA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6571E"/>
    <w:rsid w:val="00D3439C"/>
    <w:rsid w:val="00DB1831"/>
    <w:rsid w:val="00DD3BFD"/>
    <w:rsid w:val="00DF6678"/>
    <w:rsid w:val="00E71DCA"/>
    <w:rsid w:val="00EF2E22"/>
    <w:rsid w:val="00F01738"/>
    <w:rsid w:val="00F660DF"/>
    <w:rsid w:val="00F730C8"/>
    <w:rsid w:val="00F95C08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AB45"/>
  <w15:docId w15:val="{4FAE1817-2B92-49C6-B1FF-53A67B2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11B2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11B2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611B2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ST/SG/AC.10/C.4/2022/15</vt:lpstr>
    </vt:vector>
  </TitlesOfParts>
  <Company>DCM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ST/SG/AC.10/C.4/2022/15</dc:title>
  <dc:subject/>
  <dc:creator>Maud DARICHE</dc:creator>
  <cp:keywords/>
  <cp:lastModifiedBy>Laurence Berthet</cp:lastModifiedBy>
  <cp:revision>3</cp:revision>
  <cp:lastPrinted>2022-10-24T08:17:00Z</cp:lastPrinted>
  <dcterms:created xsi:type="dcterms:W3CDTF">2022-10-24T08:16:00Z</dcterms:created>
  <dcterms:modified xsi:type="dcterms:W3CDTF">2022-10-24T08:17:00Z</dcterms:modified>
</cp:coreProperties>
</file>