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3DB5" w14:textId="7F32B885" w:rsidR="00062404" w:rsidRPr="00CB06A0" w:rsidRDefault="00062404" w:rsidP="007A19E1">
      <w:pPr>
        <w:spacing w:line="240" w:lineRule="auto"/>
        <w:jc w:val="right"/>
        <w:rPr>
          <w:b/>
          <w:sz w:val="12"/>
          <w:szCs w:val="12"/>
        </w:rPr>
      </w:pPr>
      <w:r w:rsidRPr="00CB06A0">
        <w:rPr>
          <w:b/>
          <w:sz w:val="24"/>
          <w:szCs w:val="24"/>
        </w:rPr>
        <w:t>Corrigendum</w:t>
      </w:r>
      <w:r w:rsidRPr="00CB06A0">
        <w:rPr>
          <w:b/>
          <w:sz w:val="24"/>
          <w:szCs w:val="24"/>
        </w:rPr>
        <w:br/>
      </w:r>
      <w:r w:rsidRPr="00CB06A0">
        <w:rPr>
          <w:b/>
          <w:sz w:val="24"/>
          <w:szCs w:val="24"/>
        </w:rPr>
        <w:br/>
        <w:t xml:space="preserve">Ref. Sales No.: </w:t>
      </w:r>
      <w:r w:rsidR="00F2619B" w:rsidRPr="00CB06A0">
        <w:rPr>
          <w:b/>
          <w:sz w:val="24"/>
          <w:szCs w:val="24"/>
        </w:rPr>
        <w:t>E.</w:t>
      </w:r>
      <w:r w:rsidR="00C33622">
        <w:rPr>
          <w:b/>
          <w:sz w:val="24"/>
          <w:szCs w:val="24"/>
        </w:rPr>
        <w:t>20</w:t>
      </w:r>
      <w:r w:rsidRPr="00CB06A0">
        <w:rPr>
          <w:b/>
          <w:sz w:val="24"/>
          <w:szCs w:val="24"/>
        </w:rPr>
        <w:t>.VIII.1</w:t>
      </w:r>
      <w:r w:rsidRPr="00CB06A0">
        <w:rPr>
          <w:b/>
          <w:sz w:val="24"/>
          <w:szCs w:val="24"/>
        </w:rPr>
        <w:br/>
        <w:t>(</w:t>
      </w:r>
      <w:r w:rsidR="000A5A90" w:rsidRPr="000A5A90">
        <w:rPr>
          <w:b/>
          <w:sz w:val="24"/>
          <w:szCs w:val="24"/>
        </w:rPr>
        <w:t>ST/SG/AC.10/11/Rev.</w:t>
      </w:r>
      <w:r w:rsidR="000A5A90">
        <w:rPr>
          <w:b/>
          <w:sz w:val="24"/>
          <w:szCs w:val="24"/>
        </w:rPr>
        <w:t>7</w:t>
      </w:r>
      <w:r w:rsidRPr="00CB06A0">
        <w:rPr>
          <w:b/>
          <w:sz w:val="24"/>
          <w:szCs w:val="24"/>
        </w:rPr>
        <w:t>)</w:t>
      </w:r>
      <w:r w:rsidRPr="00CB06A0">
        <w:rPr>
          <w:b/>
          <w:sz w:val="24"/>
          <w:szCs w:val="24"/>
        </w:rPr>
        <w:br/>
      </w:r>
      <w:r w:rsidRPr="00CB06A0">
        <w:rPr>
          <w:b/>
          <w:sz w:val="24"/>
          <w:szCs w:val="24"/>
        </w:rPr>
        <w:br/>
      </w:r>
      <w:r w:rsidR="00076FC2">
        <w:rPr>
          <w:b/>
          <w:sz w:val="24"/>
          <w:szCs w:val="24"/>
        </w:rPr>
        <w:t>October</w:t>
      </w:r>
      <w:r w:rsidRPr="006F7727">
        <w:rPr>
          <w:b/>
          <w:sz w:val="24"/>
          <w:szCs w:val="24"/>
        </w:rPr>
        <w:t xml:space="preserve"> 20</w:t>
      </w:r>
      <w:r w:rsidR="006C78DF" w:rsidRPr="006F7727">
        <w:rPr>
          <w:b/>
          <w:sz w:val="24"/>
          <w:szCs w:val="24"/>
        </w:rPr>
        <w:t>2</w:t>
      </w:r>
      <w:r w:rsidR="005C2E1F" w:rsidRPr="006F7727">
        <w:rPr>
          <w:b/>
          <w:sz w:val="24"/>
          <w:szCs w:val="24"/>
        </w:rPr>
        <w:t>2</w:t>
      </w:r>
      <w:r w:rsidRPr="00CB06A0">
        <w:rPr>
          <w:b/>
          <w:sz w:val="24"/>
          <w:szCs w:val="24"/>
        </w:rPr>
        <w:br/>
        <w:t>New York and Geneva</w:t>
      </w:r>
      <w:r w:rsidRPr="00CB06A0">
        <w:rPr>
          <w:b/>
          <w:sz w:val="24"/>
          <w:szCs w:val="24"/>
        </w:rPr>
        <w:br/>
      </w:r>
    </w:p>
    <w:p w14:paraId="647E0897" w14:textId="77777777" w:rsidR="00062404" w:rsidRPr="00CB06A0" w:rsidRDefault="00062404" w:rsidP="00062404">
      <w:pPr>
        <w:pBdr>
          <w:top w:val="single" w:sz="18" w:space="1" w:color="auto"/>
        </w:pBdr>
        <w:tabs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</w:tabs>
        <w:spacing w:line="240" w:lineRule="auto"/>
        <w:jc w:val="both"/>
        <w:rPr>
          <w:b/>
          <w:sz w:val="12"/>
          <w:szCs w:val="12"/>
        </w:rPr>
      </w:pPr>
    </w:p>
    <w:p w14:paraId="521C7FC4" w14:textId="009114A2" w:rsidR="00062404" w:rsidRPr="00CB06A0" w:rsidRDefault="009E2D84" w:rsidP="00062404">
      <w:pPr>
        <w:rPr>
          <w:b/>
          <w:sz w:val="24"/>
          <w:szCs w:val="24"/>
        </w:rPr>
      </w:pPr>
      <w:r w:rsidRPr="009E2D84">
        <w:rPr>
          <w:b/>
          <w:sz w:val="24"/>
          <w:szCs w:val="24"/>
        </w:rPr>
        <w:t>Manual of Tests and Criteria</w:t>
      </w:r>
      <w:r w:rsidR="00062404" w:rsidRPr="00AF160B">
        <w:rPr>
          <w:b/>
          <w:sz w:val="24"/>
          <w:szCs w:val="24"/>
        </w:rPr>
        <w:t xml:space="preserve"> </w:t>
      </w:r>
      <w:r w:rsidR="00062404" w:rsidRPr="00AF160B">
        <w:rPr>
          <w:b/>
          <w:sz w:val="24"/>
          <w:szCs w:val="24"/>
        </w:rPr>
        <w:br/>
        <w:t>(</w:t>
      </w:r>
      <w:r>
        <w:rPr>
          <w:b/>
          <w:sz w:val="24"/>
          <w:szCs w:val="24"/>
        </w:rPr>
        <w:t>Seventh</w:t>
      </w:r>
      <w:r w:rsidR="00062404" w:rsidRPr="00AF160B">
        <w:rPr>
          <w:b/>
          <w:sz w:val="24"/>
          <w:szCs w:val="24"/>
        </w:rPr>
        <w:t xml:space="preserve"> rev</w:t>
      </w:r>
      <w:r w:rsidR="00062404" w:rsidRPr="00CB06A0">
        <w:rPr>
          <w:b/>
          <w:sz w:val="24"/>
          <w:szCs w:val="24"/>
        </w:rPr>
        <w:t>ised edition)</w:t>
      </w:r>
    </w:p>
    <w:p w14:paraId="2A5E6629" w14:textId="77777777" w:rsidR="00062404" w:rsidRPr="00CB06A0" w:rsidRDefault="00062404" w:rsidP="00062404">
      <w:pPr>
        <w:pStyle w:val="HChG"/>
      </w:pPr>
      <w:r w:rsidRPr="00CB06A0">
        <w:tab/>
      </w:r>
      <w:r w:rsidRPr="00CB06A0">
        <w:tab/>
        <w:t>Corrigendum</w:t>
      </w:r>
    </w:p>
    <w:tbl>
      <w:tblPr>
        <w:tblW w:w="7371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0" w:type="dxa"/>
          <w:bottom w:w="57" w:type="dxa"/>
          <w:right w:w="60" w:type="dxa"/>
        </w:tblCellMar>
        <w:tblLook w:val="0000" w:firstRow="0" w:lastRow="0" w:firstColumn="0" w:lastColumn="0" w:noHBand="0" w:noVBand="0"/>
      </w:tblPr>
      <w:tblGrid>
        <w:gridCol w:w="7371"/>
      </w:tblGrid>
      <w:tr w:rsidR="00062404" w:rsidRPr="00CB06A0" w14:paraId="4E35C7C0" w14:textId="77777777" w:rsidTr="007A7C40">
        <w:trPr>
          <w:trHeight w:val="402"/>
        </w:trPr>
        <w:tc>
          <w:tcPr>
            <w:tcW w:w="7371" w:type="dxa"/>
          </w:tcPr>
          <w:p w14:paraId="0281F237" w14:textId="00489EA8" w:rsidR="00FA3878" w:rsidRPr="00FA3878" w:rsidRDefault="00FD5F4D" w:rsidP="00FA3878">
            <w:pPr>
              <w:spacing w:after="4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="00AB663D">
              <w:rPr>
                <w:b/>
                <w:bCs/>
                <w:i/>
                <w:iCs/>
              </w:rPr>
              <w:t>ote</w:t>
            </w:r>
            <w:r>
              <w:rPr>
                <w:i/>
                <w:iCs/>
              </w:rPr>
              <w:t xml:space="preserve">: Corrigenda </w:t>
            </w:r>
            <w:r w:rsidRPr="00D6597A">
              <w:rPr>
                <w:i/>
                <w:iCs/>
              </w:rPr>
              <w:t>to the</w:t>
            </w:r>
            <w:r w:rsidR="00202DFA" w:rsidRPr="00D6597A">
              <w:rPr>
                <w:i/>
                <w:iCs/>
              </w:rPr>
              <w:t xml:space="preserve"> </w:t>
            </w:r>
            <w:r w:rsidR="00D6597A" w:rsidRPr="00D6597A">
              <w:rPr>
                <w:i/>
                <w:iCs/>
              </w:rPr>
              <w:t>seventh</w:t>
            </w:r>
            <w:r w:rsidR="00202DFA" w:rsidRPr="00D6597A">
              <w:rPr>
                <w:i/>
                <w:iCs/>
              </w:rPr>
              <w:t xml:space="preserve"> revised edition of the</w:t>
            </w:r>
            <w:r w:rsidRPr="00D6597A">
              <w:rPr>
                <w:i/>
                <w:iCs/>
                <w:color w:val="FF0000"/>
              </w:rPr>
              <w:t xml:space="preserve"> </w:t>
            </w:r>
            <w:r w:rsidR="00D6597A" w:rsidRPr="00D6597A">
              <w:rPr>
                <w:i/>
                <w:iCs/>
              </w:rPr>
              <w:t>Manual of Tests and Criteria</w:t>
            </w:r>
            <w:r w:rsidRPr="00D6597A">
              <w:rPr>
                <w:i/>
                <w:iCs/>
              </w:rPr>
              <w:t xml:space="preserve"> are also made available on the w</w:t>
            </w:r>
            <w:r>
              <w:rPr>
                <w:i/>
                <w:iCs/>
              </w:rPr>
              <w:t xml:space="preserve">ebsite of the United Nations Economic Commission for Europe at the following address: </w:t>
            </w:r>
            <w:hyperlink r:id="rId11" w:history="1">
              <w:r w:rsidR="00FA3878" w:rsidRPr="00FA3878">
                <w:rPr>
                  <w:rStyle w:val="Hyperlink"/>
                </w:rPr>
                <w:t>https://unece.org/transport/dangerous-goods/rev7-files</w:t>
              </w:r>
            </w:hyperlink>
          </w:p>
        </w:tc>
      </w:tr>
    </w:tbl>
    <w:p w14:paraId="548278DE" w14:textId="777C702C" w:rsidR="00A80794" w:rsidRPr="00CE5EDB" w:rsidRDefault="00A80794" w:rsidP="00A80794">
      <w:pPr>
        <w:pStyle w:val="H23G"/>
      </w:pPr>
      <w:r w:rsidRPr="00CE5EDB">
        <w:tab/>
      </w:r>
      <w:r w:rsidR="002C0853">
        <w:t>1.</w:t>
      </w:r>
      <w:r w:rsidRPr="00CE5EDB">
        <w:tab/>
        <w:t>Section 1, table 1.1, first row, column “Hazard classes in the GHS”</w:t>
      </w:r>
    </w:p>
    <w:p w14:paraId="2C63C5ED" w14:textId="77777777" w:rsidR="00A80794" w:rsidRPr="00CE5EDB" w:rsidRDefault="00A80794" w:rsidP="00A80794">
      <w:pPr>
        <w:pStyle w:val="SingleTxtG"/>
      </w:pPr>
      <w:r w:rsidRPr="00CE5EDB">
        <w:rPr>
          <w:i/>
          <w:iCs/>
        </w:rPr>
        <w:t>For</w:t>
      </w:r>
      <w:r w:rsidRPr="00CE5EDB">
        <w:t xml:space="preserve"> Explosives, Divisions 1.1 to 1.6 </w:t>
      </w:r>
      <w:r w:rsidRPr="00CE5EDB">
        <w:rPr>
          <w:i/>
          <w:iCs/>
        </w:rPr>
        <w:t xml:space="preserve">read </w:t>
      </w:r>
      <w:r w:rsidRPr="00CE5EDB">
        <w:t>Explosives, Category 2</w:t>
      </w:r>
    </w:p>
    <w:p w14:paraId="22C5537F" w14:textId="1A3A1EC6" w:rsidR="00A80794" w:rsidRPr="00CE5EDB" w:rsidRDefault="00A80794" w:rsidP="00A80794">
      <w:pPr>
        <w:pStyle w:val="H23G"/>
      </w:pPr>
      <w:r w:rsidRPr="00CE5EDB">
        <w:tab/>
      </w:r>
      <w:r w:rsidR="002C0853">
        <w:t>2.</w:t>
      </w:r>
      <w:r w:rsidRPr="00CE5EDB">
        <w:tab/>
        <w:t>Section 11, 11.5.1.2.2, fourth sentence</w:t>
      </w:r>
    </w:p>
    <w:p w14:paraId="0720FDD1" w14:textId="77777777" w:rsidR="00A80794" w:rsidRPr="00CE5EDB" w:rsidRDefault="00A80794" w:rsidP="00A80794">
      <w:pPr>
        <w:pStyle w:val="SingleTxtG"/>
      </w:pPr>
      <w:r w:rsidRPr="00CE5EDB">
        <w:rPr>
          <w:i/>
          <w:iCs/>
        </w:rPr>
        <w:t>For</w:t>
      </w:r>
      <w:r w:rsidRPr="00CE5EDB">
        <w:t xml:space="preserve"> </w:t>
      </w:r>
      <w:r w:rsidRPr="00CE5EDB">
        <w:rPr>
          <w:rFonts w:asciiTheme="majorBidi" w:hAnsiTheme="majorBidi" w:cstheme="majorBidi"/>
        </w:rPr>
        <w:t xml:space="preserve">apparent density 0.96 ± 0.02 </w:t>
      </w:r>
      <w:r w:rsidRPr="00CE5EDB">
        <w:rPr>
          <w:rFonts w:asciiTheme="majorBidi" w:hAnsiTheme="majorBidi" w:cstheme="majorBidi"/>
          <w:i/>
          <w:iCs/>
        </w:rPr>
        <w:t xml:space="preserve">read </w:t>
      </w:r>
      <w:r w:rsidRPr="00CE5EDB">
        <w:rPr>
          <w:rFonts w:asciiTheme="majorBidi" w:hAnsiTheme="majorBidi" w:cstheme="majorBidi"/>
        </w:rPr>
        <w:t>density 0.96 ± 0.02 g/cm³</w:t>
      </w:r>
    </w:p>
    <w:p w14:paraId="37EF8974" w14:textId="249381C4" w:rsidR="00A80794" w:rsidRPr="00CE5EDB" w:rsidRDefault="00A80794" w:rsidP="00A80794">
      <w:pPr>
        <w:pStyle w:val="H23G"/>
      </w:pPr>
      <w:r w:rsidRPr="00CE5EDB">
        <w:tab/>
      </w:r>
      <w:r w:rsidR="002C0853">
        <w:t>3.</w:t>
      </w:r>
      <w:r w:rsidRPr="00CE5EDB">
        <w:tab/>
        <w:t>Section 12, 12.5.1.2.2, fourth sentence</w:t>
      </w:r>
    </w:p>
    <w:p w14:paraId="7B790A44" w14:textId="77777777" w:rsidR="00A80794" w:rsidRPr="00CE5EDB" w:rsidRDefault="00A80794" w:rsidP="00A80794">
      <w:pPr>
        <w:pStyle w:val="SingleTxtG"/>
      </w:pPr>
      <w:r w:rsidRPr="00CE5EDB">
        <w:rPr>
          <w:i/>
          <w:iCs/>
        </w:rPr>
        <w:t>For</w:t>
      </w:r>
      <w:r w:rsidRPr="00CE5EDB">
        <w:t xml:space="preserve"> </w:t>
      </w:r>
      <w:r w:rsidRPr="00CE5EDB">
        <w:rPr>
          <w:rFonts w:asciiTheme="majorBidi" w:hAnsiTheme="majorBidi" w:cstheme="majorBidi"/>
        </w:rPr>
        <w:t xml:space="preserve">apparent density 0.96 ± 0.02 </w:t>
      </w:r>
      <w:r w:rsidRPr="00CE5EDB">
        <w:rPr>
          <w:rFonts w:asciiTheme="majorBidi" w:hAnsiTheme="majorBidi" w:cstheme="majorBidi"/>
          <w:i/>
          <w:iCs/>
        </w:rPr>
        <w:t xml:space="preserve">read </w:t>
      </w:r>
      <w:r w:rsidRPr="00CE5EDB">
        <w:rPr>
          <w:rFonts w:asciiTheme="majorBidi" w:hAnsiTheme="majorBidi" w:cstheme="majorBidi"/>
        </w:rPr>
        <w:t>density 0.96 ± 0.02 g/cm³</w:t>
      </w:r>
    </w:p>
    <w:p w14:paraId="6DB6AB9C" w14:textId="19504809" w:rsidR="00AA0103" w:rsidRPr="00C54F00" w:rsidRDefault="00AA0103" w:rsidP="00AA0103">
      <w:pPr>
        <w:pStyle w:val="H23G"/>
      </w:pPr>
      <w:r w:rsidRPr="00C54F00">
        <w:tab/>
      </w:r>
      <w:r w:rsidR="002C0853">
        <w:t>4.</w:t>
      </w:r>
      <w:r>
        <w:tab/>
        <w:t xml:space="preserve">Section 16, </w:t>
      </w:r>
      <w:r w:rsidRPr="0095395A">
        <w:t>16.6.1.4.8</w:t>
      </w:r>
      <w:r>
        <w:t>, definition of term E under the equation</w:t>
      </w:r>
    </w:p>
    <w:p w14:paraId="13E26414" w14:textId="77777777" w:rsidR="00AA0103" w:rsidRPr="00D5645B" w:rsidRDefault="00AA0103" w:rsidP="00AA0103">
      <w:pPr>
        <w:pStyle w:val="SingleTxtG"/>
      </w:pPr>
      <w:r>
        <w:rPr>
          <w:i/>
          <w:iCs/>
        </w:rPr>
        <w:t xml:space="preserve">For </w:t>
      </w:r>
      <w:r w:rsidRPr="008B6ED4">
        <w:t>joules</w:t>
      </w:r>
      <w:r>
        <w:rPr>
          <w:i/>
          <w:iCs/>
        </w:rPr>
        <w:t xml:space="preserve"> read </w:t>
      </w:r>
      <w:r w:rsidRPr="008B6ED4">
        <w:t>kJ</w:t>
      </w:r>
    </w:p>
    <w:p w14:paraId="2327DE51" w14:textId="63A0C505" w:rsidR="00AA0103" w:rsidRPr="00C54F00" w:rsidRDefault="00AA0103" w:rsidP="00AA0103">
      <w:pPr>
        <w:pStyle w:val="H23G"/>
      </w:pPr>
      <w:r w:rsidRPr="00C54F00">
        <w:tab/>
      </w:r>
      <w:r w:rsidR="002C0853">
        <w:t>5.</w:t>
      </w:r>
      <w:r>
        <w:tab/>
        <w:t xml:space="preserve">Section 16, </w:t>
      </w:r>
      <w:r w:rsidRPr="0095395A">
        <w:t>16.6.1.4.8</w:t>
      </w:r>
      <w:r>
        <w:t>, definition of term T under the equation</w:t>
      </w:r>
    </w:p>
    <w:p w14:paraId="4B887FE6" w14:textId="77777777" w:rsidR="00AA0103" w:rsidRPr="00D5645B" w:rsidRDefault="00AA0103" w:rsidP="00AA0103">
      <w:pPr>
        <w:pStyle w:val="SingleTxtG"/>
        <w:keepNext/>
      </w:pPr>
      <w:r>
        <w:rPr>
          <w:i/>
          <w:iCs/>
        </w:rPr>
        <w:t xml:space="preserve">For </w:t>
      </w:r>
      <w:r>
        <w:t>T =</w:t>
      </w:r>
      <w:r>
        <w:rPr>
          <w:i/>
          <w:iCs/>
        </w:rPr>
        <w:t xml:space="preserve"> read </w:t>
      </w:r>
      <w:r>
        <w:t>t =</w:t>
      </w:r>
    </w:p>
    <w:p w14:paraId="2EF97349" w14:textId="5D4F5479" w:rsidR="002442F7" w:rsidRPr="00CE5EDB" w:rsidRDefault="002442F7" w:rsidP="002442F7">
      <w:pPr>
        <w:pStyle w:val="H23G"/>
      </w:pPr>
      <w:r w:rsidRPr="00CE5EDB">
        <w:tab/>
      </w:r>
      <w:r w:rsidR="002C0853">
        <w:t>6.</w:t>
      </w:r>
      <w:r w:rsidRPr="00CE5EDB">
        <w:tab/>
        <w:t>Section 18, 18.6.1.2.2, third sentence</w:t>
      </w:r>
    </w:p>
    <w:p w14:paraId="32C894A8" w14:textId="77777777" w:rsidR="002442F7" w:rsidRPr="00CE5EDB" w:rsidRDefault="002442F7" w:rsidP="002442F7">
      <w:pPr>
        <w:pStyle w:val="SingleTxtG"/>
      </w:pPr>
      <w:r w:rsidRPr="00CE5EDB">
        <w:rPr>
          <w:i/>
          <w:iCs/>
        </w:rPr>
        <w:t>For</w:t>
      </w:r>
      <w:r w:rsidRPr="00CE5EDB">
        <w:t xml:space="preserve"> </w:t>
      </w:r>
      <w:r w:rsidRPr="00CE5EDB">
        <w:rPr>
          <w:rFonts w:asciiTheme="majorBidi" w:hAnsiTheme="majorBidi" w:cstheme="majorBidi"/>
        </w:rPr>
        <w:t xml:space="preserve">apparent density 0.96 ± 0.02 </w:t>
      </w:r>
      <w:r w:rsidRPr="00CE5EDB">
        <w:rPr>
          <w:rFonts w:asciiTheme="majorBidi" w:hAnsiTheme="majorBidi" w:cstheme="majorBidi"/>
          <w:i/>
          <w:iCs/>
        </w:rPr>
        <w:t xml:space="preserve">read </w:t>
      </w:r>
      <w:r w:rsidRPr="00CE5EDB">
        <w:rPr>
          <w:rFonts w:asciiTheme="majorBidi" w:hAnsiTheme="majorBidi" w:cstheme="majorBidi"/>
        </w:rPr>
        <w:t>density 0.96 ± 0.02 g/cm³</w:t>
      </w:r>
    </w:p>
    <w:p w14:paraId="7C5DCD4B" w14:textId="106B763B" w:rsidR="002442F7" w:rsidRPr="00CE5EDB" w:rsidRDefault="002442F7" w:rsidP="002442F7">
      <w:pPr>
        <w:pStyle w:val="H23G"/>
      </w:pPr>
      <w:r w:rsidRPr="00CE5EDB">
        <w:tab/>
      </w:r>
      <w:r w:rsidR="002C0853">
        <w:t>7.</w:t>
      </w:r>
      <w:r w:rsidRPr="00CE5EDB">
        <w:tab/>
        <w:t>Section 25, 25.4.1.2.2, fourth sentence</w:t>
      </w:r>
    </w:p>
    <w:p w14:paraId="3599BB52" w14:textId="77777777" w:rsidR="002442F7" w:rsidRPr="00CE5EDB" w:rsidRDefault="002442F7" w:rsidP="002442F7">
      <w:pPr>
        <w:pStyle w:val="SingleTxtG"/>
      </w:pPr>
      <w:r w:rsidRPr="00CE5EDB">
        <w:rPr>
          <w:i/>
          <w:iCs/>
        </w:rPr>
        <w:t>For</w:t>
      </w:r>
      <w:r w:rsidRPr="00CE5EDB">
        <w:t xml:space="preserve"> </w:t>
      </w:r>
      <w:r w:rsidRPr="00CE5EDB">
        <w:rPr>
          <w:rFonts w:asciiTheme="majorBidi" w:hAnsiTheme="majorBidi" w:cstheme="majorBidi"/>
        </w:rPr>
        <w:t xml:space="preserve">apparent density 0.96 ± 0.02 </w:t>
      </w:r>
      <w:r w:rsidRPr="00CE5EDB">
        <w:rPr>
          <w:rFonts w:asciiTheme="majorBidi" w:hAnsiTheme="majorBidi" w:cstheme="majorBidi"/>
          <w:i/>
          <w:iCs/>
        </w:rPr>
        <w:t xml:space="preserve">read </w:t>
      </w:r>
      <w:r w:rsidRPr="00CE5EDB">
        <w:rPr>
          <w:rFonts w:asciiTheme="majorBidi" w:hAnsiTheme="majorBidi" w:cstheme="majorBidi"/>
        </w:rPr>
        <w:t>density 0.96 ± 0.02 g/cm³</w:t>
      </w:r>
    </w:p>
    <w:p w14:paraId="45E5970F" w14:textId="6A5B3489" w:rsidR="002442F7" w:rsidRPr="00CE5EDB" w:rsidRDefault="002442F7" w:rsidP="002442F7">
      <w:pPr>
        <w:pStyle w:val="H23G"/>
      </w:pPr>
      <w:r w:rsidRPr="00CE5EDB">
        <w:tab/>
      </w:r>
      <w:r w:rsidR="002C0853">
        <w:t>8.</w:t>
      </w:r>
      <w:r w:rsidRPr="00CE5EDB">
        <w:tab/>
        <w:t>Section 25, 25.4.2.2.2, fourth sentence</w:t>
      </w:r>
    </w:p>
    <w:p w14:paraId="13E10107" w14:textId="77777777" w:rsidR="002442F7" w:rsidRPr="00CE5EDB" w:rsidRDefault="002442F7" w:rsidP="002442F7">
      <w:pPr>
        <w:pStyle w:val="SingleTxtG"/>
      </w:pPr>
      <w:r w:rsidRPr="00CE5EDB">
        <w:rPr>
          <w:i/>
          <w:iCs/>
        </w:rPr>
        <w:t>For</w:t>
      </w:r>
      <w:r w:rsidRPr="00CE5EDB">
        <w:t xml:space="preserve"> </w:t>
      </w:r>
      <w:r w:rsidRPr="00CE5EDB">
        <w:rPr>
          <w:rFonts w:asciiTheme="majorBidi" w:hAnsiTheme="majorBidi" w:cstheme="majorBidi"/>
        </w:rPr>
        <w:t xml:space="preserve">apparent density 0.96 ± 0.02 </w:t>
      </w:r>
      <w:r w:rsidRPr="00CE5EDB">
        <w:rPr>
          <w:rFonts w:asciiTheme="majorBidi" w:hAnsiTheme="majorBidi" w:cstheme="majorBidi"/>
          <w:i/>
          <w:iCs/>
        </w:rPr>
        <w:t xml:space="preserve">read </w:t>
      </w:r>
      <w:r w:rsidRPr="00CE5EDB">
        <w:rPr>
          <w:rFonts w:asciiTheme="majorBidi" w:hAnsiTheme="majorBidi" w:cstheme="majorBidi"/>
        </w:rPr>
        <w:t>density 0.96 ± 0.02 g/cm³</w:t>
      </w:r>
    </w:p>
    <w:p w14:paraId="75C74E63" w14:textId="12BD88E4" w:rsidR="002442F7" w:rsidRPr="00CE5EDB" w:rsidRDefault="002442F7" w:rsidP="002442F7">
      <w:pPr>
        <w:pStyle w:val="H23G"/>
      </w:pPr>
      <w:r w:rsidRPr="00CE5EDB">
        <w:tab/>
      </w:r>
      <w:r w:rsidR="002C0853">
        <w:t>9.</w:t>
      </w:r>
      <w:r w:rsidRPr="00CE5EDB">
        <w:tab/>
        <w:t>Section 25, 25.4.3.3.1, second sentence</w:t>
      </w:r>
    </w:p>
    <w:p w14:paraId="7A171383" w14:textId="77777777" w:rsidR="002442F7" w:rsidRPr="00CE5EDB" w:rsidRDefault="002442F7" w:rsidP="002442F7">
      <w:pPr>
        <w:pStyle w:val="SingleTxtG"/>
      </w:pPr>
      <w:r w:rsidRPr="00CE5EDB">
        <w:rPr>
          <w:i/>
          <w:iCs/>
        </w:rPr>
        <w:t>For</w:t>
      </w:r>
      <w:r w:rsidRPr="00CE5EDB">
        <w:t xml:space="preserve"> </w:t>
      </w:r>
      <w:r w:rsidRPr="00CE5EDB">
        <w:rPr>
          <w:rFonts w:asciiTheme="majorBidi" w:hAnsiTheme="majorBidi" w:cstheme="majorBidi"/>
        </w:rPr>
        <w:t xml:space="preserve">apparent density 0.96 ± 0.02 </w:t>
      </w:r>
      <w:r w:rsidRPr="00CE5EDB">
        <w:rPr>
          <w:rFonts w:asciiTheme="majorBidi" w:hAnsiTheme="majorBidi" w:cstheme="majorBidi"/>
          <w:i/>
          <w:iCs/>
        </w:rPr>
        <w:t xml:space="preserve">read </w:t>
      </w:r>
      <w:r w:rsidRPr="00CE5EDB">
        <w:rPr>
          <w:rFonts w:asciiTheme="majorBidi" w:hAnsiTheme="majorBidi" w:cstheme="majorBidi"/>
        </w:rPr>
        <w:t>density 0.96 ± 0.02 g/cm³</w:t>
      </w:r>
    </w:p>
    <w:p w14:paraId="15A599FC" w14:textId="52F629D8" w:rsidR="002442F7" w:rsidRPr="00CE5EDB" w:rsidRDefault="002442F7" w:rsidP="002442F7">
      <w:pPr>
        <w:pStyle w:val="H23G"/>
      </w:pPr>
      <w:r w:rsidRPr="00CE5EDB">
        <w:lastRenderedPageBreak/>
        <w:tab/>
      </w:r>
      <w:r w:rsidR="002C0853">
        <w:t>10.</w:t>
      </w:r>
      <w:r w:rsidRPr="00CE5EDB">
        <w:tab/>
        <w:t>Appendix 10, A10.2.3.8, second formula</w:t>
      </w:r>
    </w:p>
    <w:p w14:paraId="0D111DC9" w14:textId="77777777" w:rsidR="002442F7" w:rsidRPr="00CE5EDB" w:rsidRDefault="002442F7" w:rsidP="002442F7">
      <w:pPr>
        <w:pStyle w:val="SingleTxtG"/>
      </w:pPr>
      <w:r w:rsidRPr="00CE5EDB">
        <w:rPr>
          <w:i/>
          <w:iCs/>
        </w:rPr>
        <w:t>Delete</w:t>
      </w:r>
      <w:r w:rsidRPr="00CE5EDB">
        <w:t xml:space="preserve"> </w:t>
      </w:r>
      <m:oMath>
        <m:r>
          <w:rPr>
            <w:rFonts w:ascii="Cambria Math" w:hAnsi="Cambria Math" w:cstheme="majorBidi"/>
          </w:rPr>
          <m:t>=</m:t>
        </m:r>
        <m:sSub>
          <m:sSubPr>
            <m:ctrlPr>
              <w:rPr>
                <w:rFonts w:ascii="Cambria Math" w:hAnsi="Cambria Math" w:cstheme="majorBid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NaOH </m:t>
            </m:r>
          </m:sub>
        </m:sSub>
        <m:r>
          <w:rPr>
            <w:rFonts w:ascii="Cambria Math" w:hAnsi="Cambria Math" w:cstheme="majorBidi"/>
          </w:rPr>
          <m:t>×0.224</m:t>
        </m:r>
      </m:oMath>
    </w:p>
    <w:p w14:paraId="277F67C6" w14:textId="1DB55873" w:rsidR="002442F7" w:rsidRPr="00CE5EDB" w:rsidRDefault="002442F7" w:rsidP="002442F7">
      <w:pPr>
        <w:pStyle w:val="H23G"/>
      </w:pPr>
      <w:r w:rsidRPr="00CE5EDB">
        <w:tab/>
      </w:r>
      <w:r w:rsidR="002C0853">
        <w:t>11.</w:t>
      </w:r>
      <w:r w:rsidRPr="00CE5EDB">
        <w:tab/>
        <w:t>Appendix 10, A10.2.3.8, third formula</w:t>
      </w:r>
    </w:p>
    <w:p w14:paraId="5DBCEC0C" w14:textId="77777777" w:rsidR="002442F7" w:rsidRPr="00CE5EDB" w:rsidRDefault="002442F7" w:rsidP="002442F7">
      <w:pPr>
        <w:pStyle w:val="SingleTxtG"/>
        <w:rPr>
          <w:i/>
          <w:iCs/>
        </w:rPr>
      </w:pPr>
      <w:r w:rsidRPr="00CE5EDB">
        <w:t xml:space="preserve">For the existing formula </w:t>
      </w:r>
      <w:r w:rsidRPr="00CE5EDB">
        <w:rPr>
          <w:i/>
          <w:iCs/>
        </w:rPr>
        <w:t>substitute</w:t>
      </w:r>
    </w:p>
    <w:p w14:paraId="33B86F63" w14:textId="77777777" w:rsidR="002442F7" w:rsidRPr="00CE5EDB" w:rsidRDefault="004E5B7D" w:rsidP="002442F7">
      <w:pPr>
        <w:pStyle w:val="SingleTxtG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V</m:t>
              </m:r>
            </m:e>
            <m:sub>
              <m:r>
                <w:rPr>
                  <w:rFonts w:ascii="Cambria Math" w:hAnsi="Cambria Math" w:cstheme="majorBidi"/>
                </w:rPr>
                <m:t>NO</m:t>
              </m:r>
            </m:sub>
          </m:sSub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 xml:space="preserve">NaOH </m:t>
                  </m:r>
                </m:sub>
              </m:sSub>
              <m:r>
                <w:rPr>
                  <w:rFonts w:ascii="Cambria Math" w:hAnsi="Cambria Math" w:cstheme="majorBidi"/>
                </w:rPr>
                <m:t>×2.24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NC</m:t>
                  </m:r>
                </m:sub>
              </m:sSub>
            </m:den>
          </m:f>
        </m:oMath>
      </m:oMathPara>
    </w:p>
    <w:p w14:paraId="7E37B761" w14:textId="32151245" w:rsidR="00DD396E" w:rsidRPr="009B1182" w:rsidRDefault="00062404" w:rsidP="009B1182">
      <w:pPr>
        <w:pStyle w:val="SingleTxtG"/>
        <w:spacing w:before="240" w:after="0"/>
        <w:jc w:val="center"/>
        <w:rPr>
          <w:u w:val="single"/>
        </w:rPr>
      </w:pPr>
      <w:r w:rsidRPr="00EC132E">
        <w:rPr>
          <w:u w:val="single"/>
        </w:rPr>
        <w:tab/>
      </w:r>
      <w:r w:rsidRPr="00EC132E">
        <w:rPr>
          <w:u w:val="single"/>
        </w:rPr>
        <w:tab/>
      </w:r>
      <w:r w:rsidRPr="00EC132E">
        <w:rPr>
          <w:u w:val="single"/>
        </w:rPr>
        <w:tab/>
      </w:r>
    </w:p>
    <w:sectPr w:rsidR="00DD396E" w:rsidRPr="009B1182" w:rsidSect="000C56DC">
      <w:headerReference w:type="default" r:id="rId12"/>
      <w:footerReference w:type="default" r:id="rId13"/>
      <w:footerReference w:type="first" r:id="rId14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559E" w14:textId="77777777" w:rsidR="004E5B7D" w:rsidRDefault="004E5B7D" w:rsidP="007A19E1">
      <w:pPr>
        <w:spacing w:line="240" w:lineRule="auto"/>
      </w:pPr>
      <w:r>
        <w:separator/>
      </w:r>
    </w:p>
  </w:endnote>
  <w:endnote w:type="continuationSeparator" w:id="0">
    <w:p w14:paraId="1BCF1E47" w14:textId="77777777" w:rsidR="004E5B7D" w:rsidRDefault="004E5B7D" w:rsidP="007A19E1">
      <w:pPr>
        <w:spacing w:line="240" w:lineRule="auto"/>
      </w:pPr>
      <w:r>
        <w:continuationSeparator/>
      </w:r>
    </w:p>
  </w:endnote>
  <w:endnote w:type="continuationNotice" w:id="1">
    <w:p w14:paraId="0EB85E45" w14:textId="77777777" w:rsidR="004E5B7D" w:rsidRDefault="004E5B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260563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3F5E0" w14:textId="77777777" w:rsidR="006E4ABC" w:rsidRPr="00BE3334" w:rsidRDefault="006E4ABC" w:rsidP="00BE3334">
        <w:pPr>
          <w:pStyle w:val="Footer"/>
          <w:jc w:val="right"/>
          <w:rPr>
            <w:b/>
            <w:bCs/>
          </w:rPr>
        </w:pPr>
        <w:r w:rsidRPr="00BE3334">
          <w:rPr>
            <w:b/>
            <w:bCs/>
          </w:rPr>
          <w:fldChar w:fldCharType="begin"/>
        </w:r>
        <w:r w:rsidRPr="00BE3334">
          <w:rPr>
            <w:b/>
            <w:bCs/>
          </w:rPr>
          <w:instrText xml:space="preserve"> PAGE   \* MERGEFORMAT </w:instrText>
        </w:r>
        <w:r w:rsidRPr="00BE3334">
          <w:rPr>
            <w:b/>
            <w:bCs/>
          </w:rPr>
          <w:fldChar w:fldCharType="separate"/>
        </w:r>
        <w:r w:rsidRPr="00BE3334">
          <w:rPr>
            <w:b/>
            <w:bCs/>
            <w:noProof/>
          </w:rPr>
          <w:t>2</w:t>
        </w:r>
        <w:r w:rsidRPr="00BE3334">
          <w:rPr>
            <w:b/>
            <w:bCs/>
            <w:noProof/>
          </w:rPr>
          <w:fldChar w:fldCharType="end"/>
        </w:r>
      </w:p>
    </w:sdtContent>
  </w:sdt>
  <w:p w14:paraId="183C57C3" w14:textId="77777777" w:rsidR="006E4ABC" w:rsidRDefault="006E4ABC" w:rsidP="00BE3334">
    <w:pPr>
      <w:pStyle w:val="Footer"/>
      <w:ind w:right="240"/>
      <w:jc w:val="right"/>
    </w:pPr>
  </w:p>
  <w:p w14:paraId="5DFF8EF5" w14:textId="77777777" w:rsidR="006E4ABC" w:rsidRDefault="006E4A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D784" w14:textId="32A8BB8C" w:rsidR="007404C6" w:rsidRDefault="007404C6" w:rsidP="00915965">
    <w:pPr>
      <w:pBdr>
        <w:top w:val="single" w:sz="18" w:space="0" w:color="auto"/>
      </w:pBdr>
      <w:tabs>
        <w:tab w:val="center" w:pos="4153"/>
        <w:tab w:val="right" w:pos="8306"/>
      </w:tabs>
      <w:spacing w:after="240"/>
      <w:jc w:val="right"/>
      <w:rPr>
        <w:b/>
        <w:bCs/>
        <w:sz w:val="24"/>
        <w:szCs w:val="24"/>
        <w:lang w:val="en-US"/>
      </w:rPr>
    </w:pPr>
    <w:r w:rsidRPr="00C97CDF">
      <w:rPr>
        <w:b/>
        <w:bCs/>
        <w:sz w:val="24"/>
        <w:szCs w:val="24"/>
      </w:rPr>
      <w:t>ST/SG/AC.10/1</w:t>
    </w:r>
    <w:r w:rsidR="0040361B">
      <w:rPr>
        <w:b/>
        <w:bCs/>
        <w:sz w:val="24"/>
        <w:szCs w:val="24"/>
      </w:rPr>
      <w:t>1</w:t>
    </w:r>
    <w:r w:rsidRPr="00C97CDF">
      <w:rPr>
        <w:b/>
        <w:bCs/>
        <w:sz w:val="24"/>
        <w:szCs w:val="24"/>
      </w:rPr>
      <w:t>/Rev.</w:t>
    </w:r>
    <w:r w:rsidR="0040361B">
      <w:rPr>
        <w:b/>
        <w:bCs/>
        <w:sz w:val="24"/>
        <w:szCs w:val="24"/>
      </w:rPr>
      <w:t>7</w:t>
    </w:r>
    <w:r w:rsidRPr="00C97CDF">
      <w:rPr>
        <w:b/>
        <w:bCs/>
        <w:sz w:val="24"/>
        <w:szCs w:val="24"/>
      </w:rPr>
      <w:t>/Corr.</w:t>
    </w:r>
    <w:r w:rsidR="00076FC2">
      <w:rPr>
        <w:b/>
        <w:bCs/>
        <w:sz w:val="24"/>
        <w:szCs w:val="24"/>
      </w:rPr>
      <w:t>3</w:t>
    </w:r>
    <w:r w:rsidRPr="00C97CDF">
      <w:rPr>
        <w:b/>
        <w:bCs/>
        <w:sz w:val="24"/>
        <w:szCs w:val="24"/>
      </w:rPr>
      <w:br/>
    </w:r>
    <w:r w:rsidRPr="00C97CDF">
      <w:rPr>
        <w:b/>
        <w:bCs/>
        <w:sz w:val="24"/>
        <w:szCs w:val="24"/>
        <w:lang w:val="en-US"/>
      </w:rPr>
      <w:t>English</w:t>
    </w:r>
    <w:r w:rsidRPr="00C97CDF">
      <w:rPr>
        <w:b/>
        <w:bCs/>
        <w:sz w:val="24"/>
        <w:szCs w:val="24"/>
        <w:lang w:val="en-US"/>
      </w:rPr>
      <w:br/>
      <w:t>Original: English</w:t>
    </w:r>
    <w:r w:rsidR="00076FC2">
      <w:rPr>
        <w:b/>
        <w:bCs/>
        <w:sz w:val="24"/>
        <w:szCs w:val="24"/>
        <w:lang w:val="en-US"/>
      </w:rPr>
      <w:t xml:space="preserve"> and</w:t>
    </w:r>
    <w:r>
      <w:rPr>
        <w:b/>
        <w:bCs/>
        <w:sz w:val="24"/>
        <w:szCs w:val="24"/>
        <w:lang w:val="en-US"/>
      </w:rPr>
      <w:t xml:space="preserve"> French</w:t>
    </w:r>
    <w:r w:rsidRPr="00C97CDF">
      <w:rPr>
        <w:b/>
        <w:bCs/>
        <w:sz w:val="24"/>
        <w:szCs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32CA" w14:textId="77777777" w:rsidR="004E5B7D" w:rsidRDefault="004E5B7D" w:rsidP="007A19E1">
      <w:pPr>
        <w:spacing w:line="240" w:lineRule="auto"/>
      </w:pPr>
      <w:r>
        <w:separator/>
      </w:r>
    </w:p>
  </w:footnote>
  <w:footnote w:type="continuationSeparator" w:id="0">
    <w:p w14:paraId="42E5680C" w14:textId="77777777" w:rsidR="004E5B7D" w:rsidRDefault="004E5B7D" w:rsidP="007A19E1">
      <w:pPr>
        <w:spacing w:line="240" w:lineRule="auto"/>
      </w:pPr>
      <w:r>
        <w:continuationSeparator/>
      </w:r>
    </w:p>
  </w:footnote>
  <w:footnote w:type="continuationNotice" w:id="1">
    <w:p w14:paraId="188F8517" w14:textId="77777777" w:rsidR="004E5B7D" w:rsidRDefault="004E5B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FD19" w14:textId="54F5AF6E" w:rsidR="00BC4585" w:rsidRDefault="00BC4585" w:rsidP="00BC4585">
    <w:pPr>
      <w:pStyle w:val="Header"/>
      <w:jc w:val="right"/>
    </w:pPr>
    <w:r>
      <w:t>ST/SG/AC.10/</w:t>
    </w:r>
    <w:r w:rsidR="001C5E2C">
      <w:t>11</w:t>
    </w:r>
    <w:r>
      <w:t>/Rev.</w:t>
    </w:r>
    <w:r w:rsidR="001C5E2C">
      <w:t>7</w:t>
    </w:r>
    <w:r>
      <w:t>/Corr.</w:t>
    </w:r>
    <w:r w:rsidR="00076FC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7064"/>
    <w:multiLevelType w:val="hybridMultilevel"/>
    <w:tmpl w:val="FFE0CFD2"/>
    <w:lvl w:ilvl="0" w:tplc="A5FC5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4"/>
    <w:rsid w:val="00003433"/>
    <w:rsid w:val="00006F1A"/>
    <w:rsid w:val="000079D9"/>
    <w:rsid w:val="000123F2"/>
    <w:rsid w:val="0002513E"/>
    <w:rsid w:val="00026035"/>
    <w:rsid w:val="00031C4E"/>
    <w:rsid w:val="00036F91"/>
    <w:rsid w:val="00037D33"/>
    <w:rsid w:val="00043EAB"/>
    <w:rsid w:val="00062404"/>
    <w:rsid w:val="000661E7"/>
    <w:rsid w:val="00071E87"/>
    <w:rsid w:val="00076FC2"/>
    <w:rsid w:val="00094DD0"/>
    <w:rsid w:val="000A560C"/>
    <w:rsid w:val="000A5A90"/>
    <w:rsid w:val="000A7758"/>
    <w:rsid w:val="000B1D0C"/>
    <w:rsid w:val="000B2A0F"/>
    <w:rsid w:val="000B7B2C"/>
    <w:rsid w:val="000C56DC"/>
    <w:rsid w:val="000D59BC"/>
    <w:rsid w:val="000E1771"/>
    <w:rsid w:val="000E6DBF"/>
    <w:rsid w:val="000E7F2E"/>
    <w:rsid w:val="00102FE9"/>
    <w:rsid w:val="001074D9"/>
    <w:rsid w:val="001114AB"/>
    <w:rsid w:val="001153C0"/>
    <w:rsid w:val="00121E33"/>
    <w:rsid w:val="00122FDC"/>
    <w:rsid w:val="001276DC"/>
    <w:rsid w:val="00140D9E"/>
    <w:rsid w:val="00142BEE"/>
    <w:rsid w:val="00147BF6"/>
    <w:rsid w:val="001742A3"/>
    <w:rsid w:val="00186D17"/>
    <w:rsid w:val="00190AAA"/>
    <w:rsid w:val="00190F20"/>
    <w:rsid w:val="0019258A"/>
    <w:rsid w:val="001931D8"/>
    <w:rsid w:val="001A4467"/>
    <w:rsid w:val="001B2865"/>
    <w:rsid w:val="001B6A23"/>
    <w:rsid w:val="001B6B1A"/>
    <w:rsid w:val="001C0492"/>
    <w:rsid w:val="001C0724"/>
    <w:rsid w:val="001C56F6"/>
    <w:rsid w:val="001C5E2C"/>
    <w:rsid w:val="001C74BB"/>
    <w:rsid w:val="001C7E94"/>
    <w:rsid w:val="001D2831"/>
    <w:rsid w:val="001E0DF3"/>
    <w:rsid w:val="001E2FFB"/>
    <w:rsid w:val="001F3F1A"/>
    <w:rsid w:val="001F59D3"/>
    <w:rsid w:val="00202DFA"/>
    <w:rsid w:val="002126D8"/>
    <w:rsid w:val="00214B85"/>
    <w:rsid w:val="00216C2F"/>
    <w:rsid w:val="00222018"/>
    <w:rsid w:val="002442F7"/>
    <w:rsid w:val="0024622B"/>
    <w:rsid w:val="00246E73"/>
    <w:rsid w:val="00250D79"/>
    <w:rsid w:val="002630CD"/>
    <w:rsid w:val="00272F40"/>
    <w:rsid w:val="0027775C"/>
    <w:rsid w:val="002C0853"/>
    <w:rsid w:val="002D5A0D"/>
    <w:rsid w:val="002E5897"/>
    <w:rsid w:val="002F37E7"/>
    <w:rsid w:val="00302041"/>
    <w:rsid w:val="0030458C"/>
    <w:rsid w:val="003429DC"/>
    <w:rsid w:val="00371E08"/>
    <w:rsid w:val="003736C5"/>
    <w:rsid w:val="00376D9B"/>
    <w:rsid w:val="003832E7"/>
    <w:rsid w:val="00396489"/>
    <w:rsid w:val="003A0DEF"/>
    <w:rsid w:val="003A7869"/>
    <w:rsid w:val="003B0440"/>
    <w:rsid w:val="003C10B9"/>
    <w:rsid w:val="003C2AA5"/>
    <w:rsid w:val="003C3F5D"/>
    <w:rsid w:val="003C5D69"/>
    <w:rsid w:val="003C629B"/>
    <w:rsid w:val="003D1E3F"/>
    <w:rsid w:val="003E4A71"/>
    <w:rsid w:val="003F713E"/>
    <w:rsid w:val="0040361B"/>
    <w:rsid w:val="004121A0"/>
    <w:rsid w:val="00417EEA"/>
    <w:rsid w:val="00432EBA"/>
    <w:rsid w:val="00434A4D"/>
    <w:rsid w:val="00447192"/>
    <w:rsid w:val="0045222C"/>
    <w:rsid w:val="00453B5C"/>
    <w:rsid w:val="00454460"/>
    <w:rsid w:val="00464894"/>
    <w:rsid w:val="00465785"/>
    <w:rsid w:val="0047493E"/>
    <w:rsid w:val="0047787C"/>
    <w:rsid w:val="00483023"/>
    <w:rsid w:val="00484747"/>
    <w:rsid w:val="004869D9"/>
    <w:rsid w:val="004873EE"/>
    <w:rsid w:val="00493382"/>
    <w:rsid w:val="00493E50"/>
    <w:rsid w:val="004B4E15"/>
    <w:rsid w:val="004B5A77"/>
    <w:rsid w:val="004C3222"/>
    <w:rsid w:val="004D7E1A"/>
    <w:rsid w:val="004E5B7D"/>
    <w:rsid w:val="004F10CF"/>
    <w:rsid w:val="004F3DF5"/>
    <w:rsid w:val="005018F6"/>
    <w:rsid w:val="00516264"/>
    <w:rsid w:val="00517A78"/>
    <w:rsid w:val="00520BF9"/>
    <w:rsid w:val="00522774"/>
    <w:rsid w:val="00534FBC"/>
    <w:rsid w:val="00550447"/>
    <w:rsid w:val="00563A4D"/>
    <w:rsid w:val="0056617B"/>
    <w:rsid w:val="00573214"/>
    <w:rsid w:val="00575CFA"/>
    <w:rsid w:val="005861C8"/>
    <w:rsid w:val="00590343"/>
    <w:rsid w:val="005A21D4"/>
    <w:rsid w:val="005A5BC6"/>
    <w:rsid w:val="005C0A3A"/>
    <w:rsid w:val="005C21FD"/>
    <w:rsid w:val="005C2E1F"/>
    <w:rsid w:val="005D3666"/>
    <w:rsid w:val="005F7983"/>
    <w:rsid w:val="00602F94"/>
    <w:rsid w:val="006159BC"/>
    <w:rsid w:val="006224A4"/>
    <w:rsid w:val="00627980"/>
    <w:rsid w:val="006346FD"/>
    <w:rsid w:val="00655F53"/>
    <w:rsid w:val="00663B36"/>
    <w:rsid w:val="00676A54"/>
    <w:rsid w:val="006801D3"/>
    <w:rsid w:val="00683ED1"/>
    <w:rsid w:val="0069356D"/>
    <w:rsid w:val="006B2262"/>
    <w:rsid w:val="006C0ACB"/>
    <w:rsid w:val="006C78DF"/>
    <w:rsid w:val="006D1AB5"/>
    <w:rsid w:val="006E1364"/>
    <w:rsid w:val="006E22FB"/>
    <w:rsid w:val="006E4ABC"/>
    <w:rsid w:val="006E4ACE"/>
    <w:rsid w:val="006E6241"/>
    <w:rsid w:val="006F7486"/>
    <w:rsid w:val="006F7727"/>
    <w:rsid w:val="00703013"/>
    <w:rsid w:val="00705955"/>
    <w:rsid w:val="00711089"/>
    <w:rsid w:val="00715CCA"/>
    <w:rsid w:val="0072511A"/>
    <w:rsid w:val="007275BB"/>
    <w:rsid w:val="007404C6"/>
    <w:rsid w:val="0075512D"/>
    <w:rsid w:val="00761FD1"/>
    <w:rsid w:val="00766CFC"/>
    <w:rsid w:val="00767DD7"/>
    <w:rsid w:val="0077307E"/>
    <w:rsid w:val="00776DAB"/>
    <w:rsid w:val="0078626F"/>
    <w:rsid w:val="007915E9"/>
    <w:rsid w:val="007A091F"/>
    <w:rsid w:val="007A19E1"/>
    <w:rsid w:val="007A2B60"/>
    <w:rsid w:val="007A6BE6"/>
    <w:rsid w:val="007A73A8"/>
    <w:rsid w:val="007A7E6C"/>
    <w:rsid w:val="007B2382"/>
    <w:rsid w:val="007C44AE"/>
    <w:rsid w:val="007C4BE7"/>
    <w:rsid w:val="007C5F5F"/>
    <w:rsid w:val="007F15E0"/>
    <w:rsid w:val="007F5BEB"/>
    <w:rsid w:val="007F6B1F"/>
    <w:rsid w:val="00805F19"/>
    <w:rsid w:val="0080692C"/>
    <w:rsid w:val="00815EE3"/>
    <w:rsid w:val="008201CF"/>
    <w:rsid w:val="0082319E"/>
    <w:rsid w:val="00825B38"/>
    <w:rsid w:val="00832789"/>
    <w:rsid w:val="00843033"/>
    <w:rsid w:val="00847351"/>
    <w:rsid w:val="00856301"/>
    <w:rsid w:val="00861602"/>
    <w:rsid w:val="0087074C"/>
    <w:rsid w:val="00886EEE"/>
    <w:rsid w:val="008948C5"/>
    <w:rsid w:val="008C4C5A"/>
    <w:rsid w:val="008D3281"/>
    <w:rsid w:val="008E3509"/>
    <w:rsid w:val="00905854"/>
    <w:rsid w:val="00905DCD"/>
    <w:rsid w:val="009108AA"/>
    <w:rsid w:val="00915965"/>
    <w:rsid w:val="00930F93"/>
    <w:rsid w:val="009411D8"/>
    <w:rsid w:val="00942F58"/>
    <w:rsid w:val="00946BFE"/>
    <w:rsid w:val="00954CF1"/>
    <w:rsid w:val="009564FC"/>
    <w:rsid w:val="009577E0"/>
    <w:rsid w:val="00963445"/>
    <w:rsid w:val="0096606C"/>
    <w:rsid w:val="00971889"/>
    <w:rsid w:val="00974E94"/>
    <w:rsid w:val="009A3DAB"/>
    <w:rsid w:val="009A6EA2"/>
    <w:rsid w:val="009B1182"/>
    <w:rsid w:val="009B77BB"/>
    <w:rsid w:val="009C509D"/>
    <w:rsid w:val="009E2D84"/>
    <w:rsid w:val="009E3565"/>
    <w:rsid w:val="009E5EAF"/>
    <w:rsid w:val="00A10FC8"/>
    <w:rsid w:val="00A251AE"/>
    <w:rsid w:val="00A51B37"/>
    <w:rsid w:val="00A52AA4"/>
    <w:rsid w:val="00A53EFC"/>
    <w:rsid w:val="00A644D8"/>
    <w:rsid w:val="00A6517E"/>
    <w:rsid w:val="00A65F7E"/>
    <w:rsid w:val="00A80794"/>
    <w:rsid w:val="00A80B9C"/>
    <w:rsid w:val="00A948AD"/>
    <w:rsid w:val="00AA0103"/>
    <w:rsid w:val="00AA275F"/>
    <w:rsid w:val="00AA2E73"/>
    <w:rsid w:val="00AA5437"/>
    <w:rsid w:val="00AA63A7"/>
    <w:rsid w:val="00AA7DA2"/>
    <w:rsid w:val="00AB43A3"/>
    <w:rsid w:val="00AB4637"/>
    <w:rsid w:val="00AB5F31"/>
    <w:rsid w:val="00AB663D"/>
    <w:rsid w:val="00AC0204"/>
    <w:rsid w:val="00AC11BC"/>
    <w:rsid w:val="00AF06A2"/>
    <w:rsid w:val="00AF160B"/>
    <w:rsid w:val="00AF6340"/>
    <w:rsid w:val="00B03021"/>
    <w:rsid w:val="00B10600"/>
    <w:rsid w:val="00B12A04"/>
    <w:rsid w:val="00B145E2"/>
    <w:rsid w:val="00B15CE4"/>
    <w:rsid w:val="00B15F11"/>
    <w:rsid w:val="00B20F8F"/>
    <w:rsid w:val="00B21B6F"/>
    <w:rsid w:val="00B256E9"/>
    <w:rsid w:val="00B36DF4"/>
    <w:rsid w:val="00B47B01"/>
    <w:rsid w:val="00B504BC"/>
    <w:rsid w:val="00B55AA6"/>
    <w:rsid w:val="00B7795D"/>
    <w:rsid w:val="00B846E8"/>
    <w:rsid w:val="00B946DC"/>
    <w:rsid w:val="00BA27A7"/>
    <w:rsid w:val="00BA5A6F"/>
    <w:rsid w:val="00BB2F00"/>
    <w:rsid w:val="00BC4585"/>
    <w:rsid w:val="00BC4C7C"/>
    <w:rsid w:val="00BD7E08"/>
    <w:rsid w:val="00BE3334"/>
    <w:rsid w:val="00BF6023"/>
    <w:rsid w:val="00C019EA"/>
    <w:rsid w:val="00C02EBE"/>
    <w:rsid w:val="00C1266B"/>
    <w:rsid w:val="00C1500E"/>
    <w:rsid w:val="00C15238"/>
    <w:rsid w:val="00C24093"/>
    <w:rsid w:val="00C2547F"/>
    <w:rsid w:val="00C30A5C"/>
    <w:rsid w:val="00C330B4"/>
    <w:rsid w:val="00C33622"/>
    <w:rsid w:val="00C36BA0"/>
    <w:rsid w:val="00C63D12"/>
    <w:rsid w:val="00C65283"/>
    <w:rsid w:val="00C67C90"/>
    <w:rsid w:val="00C84268"/>
    <w:rsid w:val="00C85F8C"/>
    <w:rsid w:val="00CA4325"/>
    <w:rsid w:val="00CB06A0"/>
    <w:rsid w:val="00CC1678"/>
    <w:rsid w:val="00CC3593"/>
    <w:rsid w:val="00CD1573"/>
    <w:rsid w:val="00CF2194"/>
    <w:rsid w:val="00CF4388"/>
    <w:rsid w:val="00D16CE7"/>
    <w:rsid w:val="00D34579"/>
    <w:rsid w:val="00D4669B"/>
    <w:rsid w:val="00D51020"/>
    <w:rsid w:val="00D55F53"/>
    <w:rsid w:val="00D5645B"/>
    <w:rsid w:val="00D6160F"/>
    <w:rsid w:val="00D62263"/>
    <w:rsid w:val="00D6597A"/>
    <w:rsid w:val="00D74DB1"/>
    <w:rsid w:val="00D81925"/>
    <w:rsid w:val="00D8274A"/>
    <w:rsid w:val="00DA6D5A"/>
    <w:rsid w:val="00DB2C6E"/>
    <w:rsid w:val="00DB4A5F"/>
    <w:rsid w:val="00DB74B4"/>
    <w:rsid w:val="00DC0CF5"/>
    <w:rsid w:val="00DC3458"/>
    <w:rsid w:val="00DD396E"/>
    <w:rsid w:val="00DD5B9B"/>
    <w:rsid w:val="00DE2662"/>
    <w:rsid w:val="00DF6F64"/>
    <w:rsid w:val="00E02A9C"/>
    <w:rsid w:val="00E106BA"/>
    <w:rsid w:val="00E11A87"/>
    <w:rsid w:val="00E148F7"/>
    <w:rsid w:val="00E20B72"/>
    <w:rsid w:val="00E41610"/>
    <w:rsid w:val="00E64953"/>
    <w:rsid w:val="00E73562"/>
    <w:rsid w:val="00E92BCD"/>
    <w:rsid w:val="00E9725A"/>
    <w:rsid w:val="00EA09E7"/>
    <w:rsid w:val="00EA7956"/>
    <w:rsid w:val="00EA7993"/>
    <w:rsid w:val="00EB6737"/>
    <w:rsid w:val="00EC0381"/>
    <w:rsid w:val="00EC1D40"/>
    <w:rsid w:val="00EE1142"/>
    <w:rsid w:val="00EE20C9"/>
    <w:rsid w:val="00EF01CB"/>
    <w:rsid w:val="00EF1A7A"/>
    <w:rsid w:val="00EF4802"/>
    <w:rsid w:val="00F2288D"/>
    <w:rsid w:val="00F2619B"/>
    <w:rsid w:val="00F32A7D"/>
    <w:rsid w:val="00F337D3"/>
    <w:rsid w:val="00F33C70"/>
    <w:rsid w:val="00F60491"/>
    <w:rsid w:val="00F735AC"/>
    <w:rsid w:val="00F84B1A"/>
    <w:rsid w:val="00F85CCD"/>
    <w:rsid w:val="00F95899"/>
    <w:rsid w:val="00FA3878"/>
    <w:rsid w:val="00FD4321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9A863"/>
  <w15:docId w15:val="{DA21DBEE-30B4-4179-9504-80ACF551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04"/>
    <w:pPr>
      <w:suppressAutoHyphens/>
      <w:spacing w:line="240" w:lineRule="atLeast"/>
    </w:pPr>
  </w:style>
  <w:style w:type="paragraph" w:styleId="Heading1">
    <w:name w:val="heading 1"/>
    <w:aliases w:val="Table_G"/>
    <w:basedOn w:val="SingleTxtG"/>
    <w:next w:val="SingleTxtG"/>
    <w:link w:val="Heading1Char"/>
    <w:qFormat/>
    <w:rsid w:val="00C6528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C65283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65283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65283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65283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65283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65283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65283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6528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C65283"/>
  </w:style>
  <w:style w:type="character" w:customStyle="1" w:styleId="Heading2Char">
    <w:name w:val="Heading 2 Char"/>
    <w:basedOn w:val="DefaultParagraphFont"/>
    <w:link w:val="Heading2"/>
    <w:rsid w:val="00C65283"/>
  </w:style>
  <w:style w:type="character" w:customStyle="1" w:styleId="Heading3Char">
    <w:name w:val="Heading 3 Char"/>
    <w:basedOn w:val="DefaultParagraphFont"/>
    <w:link w:val="Heading3"/>
    <w:rsid w:val="00C65283"/>
  </w:style>
  <w:style w:type="character" w:customStyle="1" w:styleId="Heading4Char">
    <w:name w:val="Heading 4 Char"/>
    <w:basedOn w:val="DefaultParagraphFont"/>
    <w:link w:val="Heading4"/>
    <w:rsid w:val="00C65283"/>
  </w:style>
  <w:style w:type="character" w:customStyle="1" w:styleId="Heading5Char">
    <w:name w:val="Heading 5 Char"/>
    <w:basedOn w:val="DefaultParagraphFont"/>
    <w:link w:val="Heading5"/>
    <w:rsid w:val="00C65283"/>
  </w:style>
  <w:style w:type="character" w:customStyle="1" w:styleId="Heading6Char">
    <w:name w:val="Heading 6 Char"/>
    <w:basedOn w:val="DefaultParagraphFont"/>
    <w:link w:val="Heading6"/>
    <w:rsid w:val="00C65283"/>
  </w:style>
  <w:style w:type="character" w:customStyle="1" w:styleId="Heading7Char">
    <w:name w:val="Heading 7 Char"/>
    <w:basedOn w:val="DefaultParagraphFont"/>
    <w:link w:val="Heading7"/>
    <w:rsid w:val="00C65283"/>
  </w:style>
  <w:style w:type="character" w:customStyle="1" w:styleId="Heading8Char">
    <w:name w:val="Heading 8 Char"/>
    <w:basedOn w:val="DefaultParagraphFont"/>
    <w:link w:val="Heading8"/>
    <w:rsid w:val="00C65283"/>
  </w:style>
  <w:style w:type="character" w:customStyle="1" w:styleId="Heading9Char">
    <w:name w:val="Heading 9 Char"/>
    <w:basedOn w:val="DefaultParagraphFont"/>
    <w:link w:val="Heading9"/>
    <w:rsid w:val="00C65283"/>
  </w:style>
  <w:style w:type="paragraph" w:customStyle="1" w:styleId="HMG">
    <w:name w:val="_ H __M_G"/>
    <w:basedOn w:val="Normal"/>
    <w:next w:val="Normal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930F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930F93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930F93"/>
    <w:pPr>
      <w:numPr>
        <w:numId w:val="2"/>
      </w:numPr>
      <w:spacing w:after="120"/>
      <w:ind w:right="1134"/>
      <w:jc w:val="both"/>
    </w:pPr>
  </w:style>
  <w:style w:type="character" w:styleId="EndnoteReference">
    <w:name w:val="endnote reference"/>
    <w:aliases w:val="1_G"/>
    <w:basedOn w:val="FootnoteReference"/>
    <w:rsid w:val="00930F9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930F93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930F93"/>
  </w:style>
  <w:style w:type="character" w:customStyle="1" w:styleId="EndnoteTextChar">
    <w:name w:val="Endnote Text Char"/>
    <w:aliases w:val="2_G Char"/>
    <w:basedOn w:val="DefaultParagraphFont"/>
    <w:link w:val="EndnoteText"/>
    <w:rsid w:val="00930F93"/>
    <w:rPr>
      <w:sz w:val="18"/>
    </w:rPr>
  </w:style>
  <w:style w:type="paragraph" w:styleId="FootnoteText">
    <w:name w:val="footnote text"/>
    <w:aliases w:val="5_G"/>
    <w:basedOn w:val="Normal"/>
    <w:link w:val="FootnoteTextChar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930F93"/>
    <w:rPr>
      <w:sz w:val="18"/>
    </w:rPr>
  </w:style>
  <w:style w:type="character" w:styleId="FollowedHyperlink">
    <w:name w:val="FollowedHyperlink"/>
    <w:basedOn w:val="DefaultParagraphFont"/>
    <w:semiHidden/>
    <w:rsid w:val="00930F93"/>
    <w:rPr>
      <w:color w:val="auto"/>
      <w:u w:val="none"/>
    </w:rPr>
  </w:style>
  <w:style w:type="paragraph" w:styleId="Footer">
    <w:name w:val="footer"/>
    <w:aliases w:val="3_G"/>
    <w:basedOn w:val="Normal"/>
    <w:link w:val="FooterChar"/>
    <w:rsid w:val="00930F93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930F93"/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930F9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930F93"/>
    <w:rPr>
      <w:b/>
      <w:sz w:val="18"/>
    </w:rPr>
  </w:style>
  <w:style w:type="character" w:styleId="PageNumber">
    <w:name w:val="page number"/>
    <w:aliases w:val="7_G"/>
    <w:basedOn w:val="DefaultParagraphFont"/>
    <w:rsid w:val="00930F93"/>
    <w:rPr>
      <w:rFonts w:ascii="Times New Roman" w:hAnsi="Times New Roman"/>
      <w:b/>
      <w:sz w:val="18"/>
    </w:rPr>
  </w:style>
  <w:style w:type="character" w:customStyle="1" w:styleId="SingleTxtGChar">
    <w:name w:val="_ Single Txt_G Char"/>
    <w:link w:val="SingleTxtG"/>
    <w:qFormat/>
    <w:rsid w:val="00062404"/>
  </w:style>
  <w:style w:type="character" w:customStyle="1" w:styleId="H23GChar">
    <w:name w:val="_ H_2/3_G Char"/>
    <w:link w:val="H23G"/>
    <w:rsid w:val="0006240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54460"/>
    <w:rPr>
      <w:sz w:val="6"/>
    </w:rPr>
  </w:style>
  <w:style w:type="paragraph" w:styleId="CommentText">
    <w:name w:val="annotation text"/>
    <w:basedOn w:val="Normal"/>
    <w:link w:val="CommentTextChar"/>
    <w:uiPriority w:val="99"/>
    <w:semiHidden/>
    <w:rsid w:val="004544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460"/>
  </w:style>
  <w:style w:type="character" w:customStyle="1" w:styleId="SingleTxtGZchnZchn">
    <w:name w:val="_ Single Txt_G Zchn Zchn"/>
    <w:rsid w:val="004544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0C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0CF"/>
    <w:rPr>
      <w:b/>
      <w:bCs/>
    </w:rPr>
  </w:style>
  <w:style w:type="character" w:styleId="Hyperlink">
    <w:name w:val="Hyperlink"/>
    <w:basedOn w:val="DefaultParagraphFont"/>
    <w:uiPriority w:val="99"/>
    <w:unhideWhenUsed/>
    <w:rsid w:val="00FD5F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F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382"/>
    <w:pPr>
      <w:suppressAutoHyphens w:val="0"/>
      <w:spacing w:line="240" w:lineRule="auto"/>
      <w:ind w:left="720"/>
    </w:pPr>
    <w:rPr>
      <w:rFonts w:ascii="Calibri" w:eastAsiaTheme="minorEastAsia" w:hAnsi="Calibri" w:cs="Calibri"/>
      <w:sz w:val="22"/>
      <w:szCs w:val="22"/>
    </w:rPr>
  </w:style>
  <w:style w:type="paragraph" w:customStyle="1" w:styleId="Man1subpara">
    <w:name w:val="Man_1subpara"/>
    <w:basedOn w:val="Normal"/>
    <w:rsid w:val="001C7E94"/>
    <w:pPr>
      <w:suppressAutoHyphens w:val="0"/>
      <w:spacing w:after="120" w:line="240" w:lineRule="auto"/>
      <w:ind w:left="1985" w:hanging="567"/>
      <w:jc w:val="both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ce.org/transport/dangerous-goods/rev7-fi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77977DBF-99D2-4E5D-A2D5-C78340195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5FA0-4D8A-4FDC-B5FE-85CC5B02F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55F1B-A6A2-4B69-A05C-024543FFD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BE45E-6E98-4576-B9AD-ED8A1905CF3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240</Words>
  <Characters>1288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WP.15 Report reading</dc:creator>
  <cp:lastModifiedBy>Laurence Berthet</cp:lastModifiedBy>
  <cp:revision>112</cp:revision>
  <cp:lastPrinted>2021-03-29T08:06:00Z</cp:lastPrinted>
  <dcterms:created xsi:type="dcterms:W3CDTF">2022-07-12T10:23:00Z</dcterms:created>
  <dcterms:modified xsi:type="dcterms:W3CDTF">2022-10-03T12:33:00Z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4419000</vt:r8>
  </property>
  <property fmtid="{D5CDD505-2E9C-101B-9397-08002B2CF9AE}" pid="4" name="MediaServiceImageTags">
    <vt:lpwstr/>
  </property>
  <property fmtid="{D5CDD505-2E9C-101B-9397-08002B2CF9AE}" pid="5" name="Office of Origin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</Properties>
</file>