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29F3B2C7" w:rsidR="00062404" w:rsidRPr="008619FD" w:rsidRDefault="00C85785" w:rsidP="007A19E1">
      <w:pPr>
        <w:spacing w:line="240" w:lineRule="auto"/>
        <w:jc w:val="right"/>
        <w:rPr>
          <w:b/>
          <w:sz w:val="12"/>
          <w:szCs w:val="12"/>
          <w:lang w:val="es-ES"/>
        </w:rPr>
      </w:pPr>
      <w:r w:rsidRPr="008619FD">
        <w:rPr>
          <w:b/>
          <w:sz w:val="24"/>
          <w:szCs w:val="24"/>
          <w:lang w:val="es-ES"/>
        </w:rPr>
        <w:t>Corrección</w:t>
      </w:r>
      <w:r w:rsidR="00062404" w:rsidRPr="008619FD">
        <w:rPr>
          <w:b/>
          <w:sz w:val="24"/>
          <w:szCs w:val="24"/>
          <w:lang w:val="es-ES"/>
        </w:rPr>
        <w:br/>
      </w:r>
      <w:r w:rsidR="00062404" w:rsidRPr="008619FD">
        <w:rPr>
          <w:b/>
          <w:sz w:val="24"/>
          <w:szCs w:val="24"/>
          <w:lang w:val="es-ES"/>
        </w:rPr>
        <w:br/>
      </w:r>
      <w:r w:rsidR="00504F65" w:rsidRPr="008619FD">
        <w:rPr>
          <w:b/>
          <w:bCs/>
          <w:sz w:val="24"/>
          <w:szCs w:val="24"/>
          <w:lang w:val="es-ES"/>
        </w:rPr>
        <w:t>Ref.</w:t>
      </w:r>
      <w:r w:rsidR="00504F65" w:rsidRPr="008619FD">
        <w:rPr>
          <w:sz w:val="24"/>
          <w:szCs w:val="24"/>
          <w:lang w:val="es-ES"/>
        </w:rPr>
        <w:t xml:space="preserve"> </w:t>
      </w:r>
      <w:r w:rsidR="00504F65" w:rsidRPr="008619FD">
        <w:rPr>
          <w:b/>
          <w:bCs/>
          <w:sz w:val="24"/>
          <w:szCs w:val="24"/>
          <w:lang w:val="es-ES"/>
        </w:rPr>
        <w:t xml:space="preserve">núm. de venta: </w:t>
      </w:r>
      <w:r w:rsidR="00F22C9F">
        <w:rPr>
          <w:b/>
          <w:bCs/>
          <w:sz w:val="24"/>
          <w:szCs w:val="24"/>
          <w:lang w:val="es-ES"/>
        </w:rPr>
        <w:t>S</w:t>
      </w:r>
      <w:r w:rsidR="00504F65" w:rsidRPr="008619FD">
        <w:rPr>
          <w:b/>
          <w:bCs/>
          <w:sz w:val="24"/>
          <w:szCs w:val="24"/>
          <w:lang w:val="es-ES"/>
        </w:rPr>
        <w:t>.20.VIII.1</w:t>
      </w:r>
      <w:r w:rsidR="00504F65" w:rsidRPr="008619FD">
        <w:rPr>
          <w:b/>
          <w:bCs/>
          <w:sz w:val="24"/>
          <w:szCs w:val="24"/>
          <w:lang w:val="es-ES"/>
        </w:rPr>
        <w:br/>
        <w:t>(ST/SG/AC.10/11/Rev.7)</w:t>
      </w:r>
      <w:r w:rsidR="00062404" w:rsidRPr="008619FD">
        <w:rPr>
          <w:b/>
          <w:sz w:val="24"/>
          <w:szCs w:val="24"/>
          <w:lang w:val="es-ES"/>
        </w:rPr>
        <w:br/>
      </w:r>
      <w:r w:rsidR="00062404" w:rsidRPr="008619FD">
        <w:rPr>
          <w:b/>
          <w:sz w:val="24"/>
          <w:szCs w:val="24"/>
          <w:lang w:val="es-ES"/>
        </w:rPr>
        <w:br/>
      </w:r>
      <w:r w:rsidR="000E7B5A" w:rsidRPr="008619FD">
        <w:rPr>
          <w:b/>
          <w:bCs/>
          <w:sz w:val="24"/>
          <w:szCs w:val="24"/>
          <w:lang w:val="es-ES"/>
        </w:rPr>
        <w:t>Julio de 2022</w:t>
      </w:r>
      <w:r w:rsidR="000E7B5A" w:rsidRPr="008619FD">
        <w:rPr>
          <w:b/>
          <w:bCs/>
          <w:sz w:val="24"/>
          <w:szCs w:val="24"/>
          <w:lang w:val="es-ES"/>
        </w:rPr>
        <w:br/>
        <w:t>Nueva York y Ginebra</w:t>
      </w:r>
      <w:r w:rsidR="00062404" w:rsidRPr="008619FD">
        <w:rPr>
          <w:b/>
          <w:sz w:val="24"/>
          <w:szCs w:val="24"/>
          <w:lang w:val="es-ES"/>
        </w:rPr>
        <w:br/>
      </w:r>
    </w:p>
    <w:p w14:paraId="647E0897" w14:textId="77777777" w:rsidR="00062404" w:rsidRPr="008619FD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es-ES"/>
        </w:rPr>
      </w:pPr>
    </w:p>
    <w:p w14:paraId="382F2ECA" w14:textId="77777777" w:rsidR="00032BC5" w:rsidRPr="008619FD" w:rsidRDefault="00032BC5" w:rsidP="00F235D1">
      <w:pPr>
        <w:pStyle w:val="SingleTxtG"/>
        <w:spacing w:after="0"/>
        <w:ind w:left="0"/>
        <w:jc w:val="left"/>
        <w:rPr>
          <w:b/>
          <w:sz w:val="24"/>
          <w:szCs w:val="24"/>
          <w:lang w:val="es-ES"/>
        </w:rPr>
      </w:pPr>
      <w:r w:rsidRPr="008619FD">
        <w:rPr>
          <w:b/>
          <w:bCs/>
          <w:sz w:val="24"/>
          <w:szCs w:val="24"/>
          <w:lang w:val="es-ES"/>
        </w:rPr>
        <w:t>Manual de pruebas y criterios</w:t>
      </w:r>
      <w:r w:rsidRPr="008619FD">
        <w:rPr>
          <w:b/>
          <w:bCs/>
          <w:sz w:val="24"/>
          <w:szCs w:val="24"/>
          <w:lang w:val="es-ES"/>
        </w:rPr>
        <w:br/>
        <w:t>(Séptima edición revisada)</w:t>
      </w:r>
    </w:p>
    <w:p w14:paraId="0522D693" w14:textId="77777777" w:rsidR="00032BC5" w:rsidRPr="003934B2" w:rsidRDefault="00032BC5" w:rsidP="00FB669A">
      <w:pPr>
        <w:pStyle w:val="H23G"/>
        <w:spacing w:before="360" w:after="240"/>
        <w:rPr>
          <w:sz w:val="28"/>
          <w:szCs w:val="28"/>
          <w:lang w:val="es-ES"/>
        </w:rPr>
      </w:pPr>
      <w:r w:rsidRPr="003934B2">
        <w:rPr>
          <w:sz w:val="28"/>
          <w:szCs w:val="28"/>
          <w:lang w:val="es-ES"/>
        </w:rPr>
        <w:tab/>
      </w:r>
      <w:r w:rsidRPr="003934B2">
        <w:rPr>
          <w:sz w:val="28"/>
          <w:szCs w:val="28"/>
          <w:lang w:val="es-ES"/>
        </w:rPr>
        <w:tab/>
        <w:t>Corrección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32BC5" w:rsidRPr="008619FD" w14:paraId="687D75DF" w14:textId="77777777" w:rsidTr="00C5505A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BC8915D" w14:textId="174F53C5" w:rsidR="00032BC5" w:rsidRPr="008619FD" w:rsidRDefault="00032BC5" w:rsidP="00C5505A">
            <w:pPr>
              <w:spacing w:before="120" w:after="120"/>
              <w:rPr>
                <w:lang w:val="es-ES"/>
              </w:rPr>
            </w:pPr>
            <w:r w:rsidRPr="008619FD">
              <w:rPr>
                <w:b/>
                <w:bCs/>
                <w:i/>
                <w:iCs/>
                <w:lang w:val="es-ES"/>
              </w:rPr>
              <w:t>Nota:</w:t>
            </w:r>
            <w:r w:rsidRPr="008619FD">
              <w:rPr>
                <w:lang w:val="es-ES"/>
              </w:rPr>
              <w:t xml:space="preserve"> </w:t>
            </w:r>
            <w:r w:rsidRPr="008619FD">
              <w:rPr>
                <w:i/>
                <w:iCs/>
                <w:lang w:val="es-ES"/>
              </w:rPr>
              <w:t>Las correcciones aplicables a la séptima edición revisada del “Manual de Pruebas y Criterios” también pueden consultarse en el sitio web de la Comisión Económica para Europa de las Naciones Unidas, en la siguiente dirección:</w:t>
            </w:r>
            <w:r w:rsidRPr="008619FD">
              <w:rPr>
                <w:lang w:val="es-ES"/>
              </w:rPr>
              <w:t xml:space="preserve"> </w:t>
            </w:r>
            <w:hyperlink r:id="rId11" w:history="1">
              <w:r w:rsidRPr="008619FD">
                <w:rPr>
                  <w:rStyle w:val="Hyperlink"/>
                  <w:lang w:val="es-ES"/>
                </w:rPr>
                <w:t>https://unece.org/transport/dangerous-goods/rev7-files</w:t>
              </w:r>
            </w:hyperlink>
          </w:p>
        </w:tc>
      </w:tr>
      <w:tr w:rsidR="00032BC5" w:rsidRPr="008619FD" w14:paraId="538AAD97" w14:textId="77777777" w:rsidTr="00D208AF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01FEB17" w14:textId="77777777" w:rsidR="00032BC5" w:rsidRPr="008619FD" w:rsidRDefault="00032BC5" w:rsidP="00D208AF">
            <w:pPr>
              <w:spacing w:line="240" w:lineRule="auto"/>
              <w:rPr>
                <w:lang w:val="es-ES"/>
              </w:rPr>
            </w:pPr>
          </w:p>
        </w:tc>
      </w:tr>
    </w:tbl>
    <w:p w14:paraId="0A326AB3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1.</w:t>
      </w:r>
      <w:r w:rsidRPr="008619FD">
        <w:rPr>
          <w:lang w:val="es-ES"/>
        </w:rPr>
        <w:tab/>
        <w:t>Sección 10, figura 10.4, casilla 8</w:t>
      </w:r>
    </w:p>
    <w:p w14:paraId="294EE087" w14:textId="7DB9BB56" w:rsidR="00886088" w:rsidRDefault="00886088" w:rsidP="002757E9">
      <w:pPr>
        <w:pStyle w:val="SingleTxtG"/>
        <w:rPr>
          <w:lang w:val="es-ES"/>
        </w:rPr>
      </w:pPr>
      <w:r w:rsidRPr="00886088">
        <w:rPr>
          <w:i/>
          <w:iCs/>
          <w:lang w:val="es-ES"/>
        </w:rPr>
        <w:t>Sustitúyase</w:t>
      </w:r>
      <w:r w:rsidRPr="00886088">
        <w:rPr>
          <w:lang w:val="es-ES"/>
        </w:rPr>
        <w:t xml:space="preserve"> el texto actual por el siguiente</w:t>
      </w:r>
    </w:p>
    <w:p w14:paraId="1E20A310" w14:textId="1B410AFA" w:rsidR="002757E9" w:rsidRPr="002757E9" w:rsidRDefault="002757E9" w:rsidP="002757E9">
      <w:pPr>
        <w:pStyle w:val="SingleTxtG"/>
        <w:rPr>
          <w:lang w:val="es-ES"/>
        </w:rPr>
      </w:pPr>
      <w:r w:rsidRPr="002757E9">
        <w:rPr>
          <w:lang w:val="es-ES"/>
        </w:rPr>
        <w:t xml:space="preserve">Debe estudiarse su clasificación como sustancia explosiva de la división </w:t>
      </w:r>
      <w:r w:rsidR="0098509D">
        <w:rPr>
          <w:lang w:val="es-ES"/>
        </w:rPr>
        <w:t>1.5</w:t>
      </w:r>
      <w:r w:rsidRPr="002757E9">
        <w:rPr>
          <w:lang w:val="es-ES"/>
        </w:rPr>
        <w:t>; pasar a la serie de pruebas 5.</w:t>
      </w:r>
    </w:p>
    <w:p w14:paraId="09B6FEC4" w14:textId="253551FD" w:rsidR="002757E9" w:rsidRPr="002757E9" w:rsidRDefault="002757E9" w:rsidP="002757E9">
      <w:pPr>
        <w:pStyle w:val="SingleTxtG"/>
        <w:rPr>
          <w:lang w:val="es-ES"/>
        </w:rPr>
      </w:pPr>
      <w:r w:rsidRPr="002757E9">
        <w:rPr>
          <w:lang w:val="es-ES"/>
        </w:rPr>
        <w:t>Si la respuesta a la pregunta “¿Es una sustancia explosiva muy insensible que presenta un peligro de explosión de toda la masa?” en la figura 10.3 es “sí”, la sustancia se clasificará en la división 1</w:t>
      </w:r>
      <w:r>
        <w:rPr>
          <w:lang w:val="es-ES"/>
        </w:rPr>
        <w:t>.5</w:t>
      </w:r>
      <w:r w:rsidRPr="002757E9">
        <w:rPr>
          <w:lang w:val="es-ES"/>
        </w:rPr>
        <w:t>.</w:t>
      </w:r>
    </w:p>
    <w:p w14:paraId="1DB61DDC" w14:textId="7523934F" w:rsidR="002757E9" w:rsidRDefault="002757E9" w:rsidP="002757E9">
      <w:pPr>
        <w:pStyle w:val="SingleTxtG"/>
        <w:rPr>
          <w:lang w:val="es-ES"/>
        </w:rPr>
      </w:pPr>
      <w:r w:rsidRPr="002757E9">
        <w:rPr>
          <w:lang w:val="es-ES"/>
        </w:rPr>
        <w:t>Si la respuesta es “no”, la sustancia se clasificará en la división 1.1.</w:t>
      </w:r>
    </w:p>
    <w:p w14:paraId="2B086513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2.</w:t>
      </w:r>
      <w:r w:rsidRPr="008619FD">
        <w:rPr>
          <w:lang w:val="es-ES"/>
        </w:rPr>
        <w:tab/>
        <w:t>Sección 11, 11.1.1, segunda oración</w:t>
      </w:r>
    </w:p>
    <w:p w14:paraId="7C1A440B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 4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 5</w:t>
      </w:r>
    </w:p>
    <w:p w14:paraId="16B15867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3.</w:t>
      </w:r>
      <w:r w:rsidRPr="008619FD">
        <w:rPr>
          <w:lang w:val="es-ES"/>
        </w:rPr>
        <w:tab/>
        <w:t>Sección 12, 12.1.1, segunda oración</w:t>
      </w:r>
    </w:p>
    <w:p w14:paraId="2C992B61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 6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 7</w:t>
      </w:r>
    </w:p>
    <w:p w14:paraId="0B21F86A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4.</w:t>
      </w:r>
      <w:r w:rsidRPr="008619FD">
        <w:rPr>
          <w:lang w:val="es-ES"/>
        </w:rPr>
        <w:tab/>
        <w:t>Sección 15, 15.1.1, primera oración</w:t>
      </w:r>
    </w:p>
    <w:p w14:paraId="3143BB9F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 21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 28</w:t>
      </w:r>
    </w:p>
    <w:p w14:paraId="0E8196AF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5.</w:t>
      </w:r>
      <w:r w:rsidRPr="008619FD">
        <w:rPr>
          <w:lang w:val="es-ES"/>
        </w:rPr>
        <w:tab/>
        <w:t>Sección 16, 16.1.1, primera oración</w:t>
      </w:r>
    </w:p>
    <w:p w14:paraId="1C7E7BD6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casillas 26, 28, 30, 32 y 33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casillas 32, 33, 34, 35, 36 y 37</w:t>
      </w:r>
    </w:p>
    <w:p w14:paraId="3B61866D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6.</w:t>
      </w:r>
      <w:r w:rsidRPr="008619FD">
        <w:rPr>
          <w:lang w:val="es-ES"/>
        </w:rPr>
        <w:tab/>
        <w:t>Sección 16, 16.1.1, segunda oración</w:t>
      </w:r>
    </w:p>
    <w:p w14:paraId="276EDA97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casillas 35 y 36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casillas 38 y 39</w:t>
      </w:r>
    </w:p>
    <w:p w14:paraId="62C4A846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lastRenderedPageBreak/>
        <w:tab/>
        <w:t>7.</w:t>
      </w:r>
      <w:r w:rsidRPr="008619FD">
        <w:rPr>
          <w:lang w:val="es-ES"/>
        </w:rPr>
        <w:tab/>
        <w:t xml:space="preserve">Sección 16, 16.6.1.4.1 </w:t>
      </w:r>
    </w:p>
    <w:p w14:paraId="2D7861F8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casillas 26, 28, 30, 32, 33, 35 y 36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casillas 32, 33, 34, 35, 36, 37, 38 y 39</w:t>
      </w:r>
    </w:p>
    <w:p w14:paraId="7E532714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8.</w:t>
      </w:r>
      <w:r w:rsidRPr="008619FD">
        <w:rPr>
          <w:lang w:val="es-ES"/>
        </w:rPr>
        <w:tab/>
        <w:t>Sección 16, 16.6.1.4.7, segunda oración</w:t>
      </w:r>
    </w:p>
    <w:p w14:paraId="570F2F1D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casillas 35 y 36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casillas 38 y 39</w:t>
      </w:r>
    </w:p>
    <w:p w14:paraId="7C8F4752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9.</w:t>
      </w:r>
      <w:r w:rsidRPr="008619FD">
        <w:rPr>
          <w:lang w:val="es-ES"/>
        </w:rPr>
        <w:tab/>
        <w:t>Sección 17, 17.1, primera oración</w:t>
      </w:r>
    </w:p>
    <w:p w14:paraId="1FB00230" w14:textId="7777777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 w:rsidRPr="008619FD">
        <w:rPr>
          <w:lang w:val="es-ES"/>
        </w:rPr>
        <w:t xml:space="preserve">casilla 40 </w:t>
      </w:r>
      <w:r w:rsidRPr="008619FD">
        <w:rPr>
          <w:i/>
          <w:iCs/>
          <w:lang w:val="es-ES"/>
        </w:rPr>
        <w:t xml:space="preserve">debe decir </w:t>
      </w:r>
      <w:r w:rsidRPr="008619FD">
        <w:rPr>
          <w:lang w:val="es-ES"/>
        </w:rPr>
        <w:t>casilla 23</w:t>
      </w:r>
    </w:p>
    <w:p w14:paraId="3E50A668" w14:textId="44B2E3F3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10.</w:t>
      </w:r>
      <w:r w:rsidRPr="008619FD">
        <w:rPr>
          <w:lang w:val="es-ES"/>
        </w:rPr>
        <w:tab/>
        <w:t>Sección 21, 21.2.2, primera oración, text</w:t>
      </w:r>
      <w:r w:rsidR="00FB61FE">
        <w:rPr>
          <w:lang w:val="es-ES"/>
        </w:rPr>
        <w:t>o</w:t>
      </w:r>
      <w:r w:rsidRPr="008619FD">
        <w:rPr>
          <w:lang w:val="es-ES"/>
        </w:rPr>
        <w:t xml:space="preserve"> in </w:t>
      </w:r>
      <w:r w:rsidR="00FB61FE" w:rsidRPr="008619FD">
        <w:rPr>
          <w:lang w:val="es-ES"/>
        </w:rPr>
        <w:t>paréntesis</w:t>
      </w:r>
    </w:p>
    <w:p w14:paraId="4F95F792" w14:textId="0162FA31" w:rsidR="00FB61FE" w:rsidRDefault="00FB61FE" w:rsidP="00FB61FE">
      <w:pPr>
        <w:pStyle w:val="SingleTxtG"/>
        <w:rPr>
          <w:lang w:val="es-ES"/>
        </w:rPr>
      </w:pPr>
      <w:r w:rsidRPr="00886088">
        <w:rPr>
          <w:i/>
          <w:iCs/>
          <w:lang w:val="es-ES"/>
        </w:rPr>
        <w:t>Sustitúyase</w:t>
      </w:r>
      <w:r w:rsidRPr="00886088">
        <w:rPr>
          <w:lang w:val="es-ES"/>
        </w:rPr>
        <w:t xml:space="preserve"> el texto actual por el siguiente</w:t>
      </w:r>
    </w:p>
    <w:p w14:paraId="7E8B71AA" w14:textId="10D440E7" w:rsidR="00032BC5" w:rsidRPr="008619FD" w:rsidRDefault="00032BC5" w:rsidP="00032BC5">
      <w:pPr>
        <w:pStyle w:val="SingleTxtG"/>
        <w:rPr>
          <w:lang w:val="es-ES"/>
        </w:rPr>
      </w:pPr>
      <w:r w:rsidRPr="008619FD">
        <w:rPr>
          <w:lang w:val="es-ES"/>
        </w:rPr>
        <w:t>(</w:t>
      </w:r>
      <w:r w:rsidR="0035377B" w:rsidRPr="0035377B">
        <w:rPr>
          <w:lang w:val="es-ES"/>
        </w:rPr>
        <w:t>cualquier prueba de la serie F</w:t>
      </w:r>
      <w:r w:rsidR="0035377B">
        <w:rPr>
          <w:lang w:val="es-ES"/>
        </w:rPr>
        <w:t xml:space="preserve"> </w:t>
      </w:r>
      <w:r w:rsidR="0035377B" w:rsidRPr="0035377B">
        <w:rPr>
          <w:lang w:val="es-ES"/>
        </w:rPr>
        <w:t>en el caso de los peróxidos orgánicos, y cualquier prueba de la serie F salvo la prueba F.4 en el caso de las sustancias de reacción espontánea</w:t>
      </w:r>
      <w:r w:rsidRPr="008619FD">
        <w:rPr>
          <w:lang w:val="es-ES"/>
        </w:rPr>
        <w:t>)</w:t>
      </w:r>
    </w:p>
    <w:p w14:paraId="46947A72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11.</w:t>
      </w:r>
      <w:r w:rsidRPr="008619FD">
        <w:rPr>
          <w:lang w:val="es-ES"/>
        </w:rPr>
        <w:tab/>
        <w:t>Sección 26, 26.1.2</w:t>
      </w:r>
    </w:p>
    <w:p w14:paraId="492A52A3" w14:textId="2FFD5E7A" w:rsidR="00032BC5" w:rsidRPr="008619FD" w:rsidRDefault="00796AC3" w:rsidP="00032BC5">
      <w:pPr>
        <w:pStyle w:val="SingleTxtG"/>
        <w:rPr>
          <w:lang w:val="es-ES"/>
        </w:rPr>
      </w:pPr>
      <w:r>
        <w:rPr>
          <w:i/>
          <w:iCs/>
          <w:lang w:val="es-ES"/>
        </w:rPr>
        <w:t>Suprímase</w:t>
      </w:r>
      <w:r w:rsidR="00032BC5" w:rsidRPr="008619FD">
        <w:rPr>
          <w:lang w:val="es-ES"/>
        </w:rPr>
        <w:t xml:space="preserve"> </w:t>
      </w:r>
      <w:r w:rsidR="00BE0E8C" w:rsidRPr="00BE0E8C">
        <w:rPr>
          <w:lang w:val="es-ES"/>
        </w:rPr>
        <w:t xml:space="preserve">(excepto la prueba F.5) </w:t>
      </w:r>
      <w:r w:rsidR="00BE0E8C">
        <w:rPr>
          <w:i/>
          <w:iCs/>
          <w:lang w:val="es-ES"/>
        </w:rPr>
        <w:t>tras</w:t>
      </w:r>
      <w:r w:rsidR="00032BC5" w:rsidRPr="008619FD">
        <w:rPr>
          <w:lang w:val="es-ES"/>
        </w:rPr>
        <w:t xml:space="preserve"> </w:t>
      </w:r>
      <w:r w:rsidR="00DD6609" w:rsidRPr="00DD6609">
        <w:rPr>
          <w:lang w:val="es-ES"/>
        </w:rPr>
        <w:t>Todas estas pruebas</w:t>
      </w:r>
    </w:p>
    <w:p w14:paraId="77B10E47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12.</w:t>
      </w:r>
      <w:r w:rsidRPr="008619FD">
        <w:rPr>
          <w:lang w:val="es-ES"/>
        </w:rPr>
        <w:tab/>
        <w:t>Sección 26, 26.2, cuadro 26.1</w:t>
      </w:r>
    </w:p>
    <w:p w14:paraId="5E7DBC8B" w14:textId="77865F65" w:rsidR="00032BC5" w:rsidRPr="008619FD" w:rsidRDefault="00DD6609" w:rsidP="00032BC5">
      <w:pPr>
        <w:pStyle w:val="SingleTxtG"/>
        <w:rPr>
          <w:lang w:val="es-ES"/>
        </w:rPr>
      </w:pPr>
      <w:r>
        <w:rPr>
          <w:lang w:val="es-ES"/>
        </w:rPr>
        <w:t>Suprímase la fila para</w:t>
      </w:r>
      <w:r w:rsidR="00032BC5" w:rsidRPr="008619FD">
        <w:rPr>
          <w:lang w:val="es-ES"/>
        </w:rPr>
        <w:t xml:space="preserve"> F.5.</w:t>
      </w:r>
    </w:p>
    <w:p w14:paraId="18B6F8FD" w14:textId="77777777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13.</w:t>
      </w:r>
      <w:r w:rsidRPr="008619FD">
        <w:rPr>
          <w:lang w:val="es-ES"/>
        </w:rPr>
        <w:tab/>
        <w:t xml:space="preserve">Sección 37, </w:t>
      </w:r>
      <w:r w:rsidRPr="008619FD">
        <w:rPr>
          <w:rFonts w:asciiTheme="majorBidi" w:hAnsiTheme="majorBidi" w:cstheme="majorBidi"/>
          <w:lang w:val="es-ES"/>
        </w:rPr>
        <w:t>37.4.4.1, segunda oración</w:t>
      </w:r>
    </w:p>
    <w:p w14:paraId="545D8A9A" w14:textId="2B910C2D" w:rsidR="00695302" w:rsidRPr="008619FD" w:rsidRDefault="00695302" w:rsidP="00695302">
      <w:pPr>
        <w:pStyle w:val="SingleTxtG"/>
        <w:rPr>
          <w:lang w:val="es-ES"/>
        </w:rPr>
      </w:pPr>
      <w:r>
        <w:rPr>
          <w:i/>
          <w:iCs/>
          <w:lang w:val="es-ES"/>
        </w:rPr>
        <w:t>Suprímase</w:t>
      </w:r>
      <w:r w:rsidR="00991FC1" w:rsidRPr="00991FC1">
        <w:t xml:space="preserve"> </w:t>
      </w:r>
      <w:r w:rsidR="00991FC1" w:rsidRPr="00991FC1">
        <w:rPr>
          <w:lang w:val="es-ES"/>
        </w:rPr>
        <w:t>y que la sustancia no es corrosiva</w:t>
      </w:r>
    </w:p>
    <w:p w14:paraId="0CCDFC5D" w14:textId="09C598F8" w:rsidR="00F90038" w:rsidRPr="008619FD" w:rsidRDefault="00F90038" w:rsidP="00F90038">
      <w:pPr>
        <w:pStyle w:val="H23G"/>
        <w:rPr>
          <w:lang w:val="es-ES"/>
        </w:rPr>
      </w:pPr>
      <w:r w:rsidRPr="008619FD">
        <w:rPr>
          <w:lang w:val="es-ES"/>
        </w:rPr>
        <w:tab/>
        <w:t>1</w:t>
      </w:r>
      <w:r w:rsidR="00571C70">
        <w:rPr>
          <w:lang w:val="es-ES"/>
        </w:rPr>
        <w:t>4</w:t>
      </w:r>
      <w:r w:rsidRPr="008619FD">
        <w:rPr>
          <w:lang w:val="es-ES"/>
        </w:rPr>
        <w:t>.</w:t>
      </w:r>
      <w:r w:rsidRPr="008619FD">
        <w:rPr>
          <w:lang w:val="es-ES"/>
        </w:rPr>
        <w:tab/>
        <w:t xml:space="preserve">Sección 38, </w:t>
      </w:r>
      <w:r w:rsidRPr="008619FD">
        <w:rPr>
          <w:rFonts w:asciiTheme="majorBidi" w:hAnsiTheme="majorBidi" w:cstheme="majorBidi"/>
          <w:lang w:val="es-ES"/>
        </w:rPr>
        <w:t>38.3.3</w:t>
      </w:r>
      <w:r>
        <w:rPr>
          <w:rFonts w:asciiTheme="majorBidi" w:hAnsiTheme="majorBidi" w:cstheme="majorBidi"/>
          <w:lang w:val="es-ES"/>
        </w:rPr>
        <w:t xml:space="preserve"> </w:t>
      </w:r>
      <w:r w:rsidRPr="008619FD">
        <w:rPr>
          <w:rFonts w:asciiTheme="majorBidi" w:hAnsiTheme="majorBidi" w:cstheme="majorBidi"/>
          <w:lang w:val="es-ES"/>
        </w:rPr>
        <w:t>b) ii)</w:t>
      </w:r>
    </w:p>
    <w:p w14:paraId="55572871" w14:textId="77777777" w:rsidR="00F90038" w:rsidRPr="008619FD" w:rsidRDefault="00F90038" w:rsidP="00F90038">
      <w:pPr>
        <w:pStyle w:val="SingleTxtG"/>
        <w:rPr>
          <w:lang w:val="es-ES"/>
        </w:rPr>
      </w:pPr>
      <w:r w:rsidRPr="008619FD">
        <w:rPr>
          <w:lang w:val="es-ES"/>
        </w:rPr>
        <w:t>La corrección no se aplica al texto en español.</w:t>
      </w:r>
    </w:p>
    <w:p w14:paraId="57394AD1" w14:textId="561FEE18" w:rsidR="00F90038" w:rsidRPr="008619FD" w:rsidRDefault="00F90038" w:rsidP="00F90038">
      <w:pPr>
        <w:pStyle w:val="H23G"/>
        <w:rPr>
          <w:lang w:val="es-ES"/>
        </w:rPr>
      </w:pPr>
      <w:r w:rsidRPr="008619FD">
        <w:rPr>
          <w:lang w:val="es-ES"/>
        </w:rPr>
        <w:tab/>
        <w:t>1</w:t>
      </w:r>
      <w:r w:rsidR="00571C70">
        <w:rPr>
          <w:lang w:val="es-ES"/>
        </w:rPr>
        <w:t>5</w:t>
      </w:r>
      <w:r w:rsidRPr="008619FD">
        <w:rPr>
          <w:lang w:val="es-ES"/>
        </w:rPr>
        <w:t>.</w:t>
      </w:r>
      <w:r w:rsidRPr="008619FD">
        <w:rPr>
          <w:lang w:val="es-ES"/>
        </w:rPr>
        <w:tab/>
        <w:t xml:space="preserve">Sección 38, </w:t>
      </w:r>
      <w:r w:rsidRPr="008619FD">
        <w:rPr>
          <w:rFonts w:asciiTheme="majorBidi" w:hAnsiTheme="majorBidi" w:cstheme="majorBidi"/>
          <w:lang w:val="es-ES"/>
        </w:rPr>
        <w:t>38.3.3</w:t>
      </w:r>
      <w:r w:rsidR="009728F6">
        <w:rPr>
          <w:rFonts w:asciiTheme="majorBidi" w:hAnsiTheme="majorBidi" w:cstheme="majorBidi"/>
          <w:lang w:val="es-ES"/>
        </w:rPr>
        <w:t xml:space="preserve">, subapartados </w:t>
      </w:r>
      <w:r w:rsidR="009728F6">
        <w:rPr>
          <w:rFonts w:asciiTheme="majorBidi" w:hAnsiTheme="majorBidi" w:cstheme="majorBidi"/>
          <w:lang w:val="fr-FR"/>
        </w:rPr>
        <w:t>b) iv), b) vi), c) iii), c) iv), d) ii), d) iv), e) v) y e) vi)</w:t>
      </w:r>
    </w:p>
    <w:p w14:paraId="4BF8218C" w14:textId="77777777" w:rsidR="00F90038" w:rsidRPr="008619FD" w:rsidRDefault="00F90038" w:rsidP="00F90038">
      <w:pPr>
        <w:pStyle w:val="SingleTxtG"/>
        <w:rPr>
          <w:lang w:val="es-ES"/>
        </w:rPr>
      </w:pPr>
      <w:r w:rsidRPr="008619FD">
        <w:rPr>
          <w:lang w:val="es-ES"/>
        </w:rPr>
        <w:t>La corrección no se aplica al texto en español.</w:t>
      </w:r>
    </w:p>
    <w:p w14:paraId="17B49C27" w14:textId="24458DD5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</w:r>
      <w:r w:rsidRPr="00654A75">
        <w:rPr>
          <w:lang w:val="es-ES"/>
        </w:rPr>
        <w:t>1</w:t>
      </w:r>
      <w:r w:rsidR="00571C70">
        <w:rPr>
          <w:lang w:val="es-ES"/>
        </w:rPr>
        <w:t>6</w:t>
      </w:r>
      <w:r w:rsidRPr="00654A75">
        <w:rPr>
          <w:lang w:val="es-ES"/>
        </w:rPr>
        <w:t>.</w:t>
      </w:r>
      <w:r w:rsidRPr="00654A75">
        <w:rPr>
          <w:lang w:val="es-ES"/>
        </w:rPr>
        <w:tab/>
        <w:t xml:space="preserve">Sección 38, </w:t>
      </w:r>
      <w:r w:rsidRPr="00654A75">
        <w:rPr>
          <w:rFonts w:asciiTheme="majorBidi" w:hAnsiTheme="majorBidi" w:cstheme="majorBidi"/>
          <w:lang w:val="es-ES"/>
        </w:rPr>
        <w:t>38.3.3 f)</w:t>
      </w:r>
    </w:p>
    <w:p w14:paraId="2E53879B" w14:textId="1F0ADC7B" w:rsidR="00673CE7" w:rsidRPr="008619FD" w:rsidRDefault="004F7E56" w:rsidP="00673CE7">
      <w:pPr>
        <w:pStyle w:val="SingleTxtG"/>
        <w:rPr>
          <w:lang w:val="es-ES"/>
        </w:rPr>
      </w:pPr>
      <w:r w:rsidRPr="004F7E56">
        <w:rPr>
          <w:i/>
          <w:iCs/>
          <w:lang w:val="es-ES"/>
        </w:rPr>
        <w:t>Donde dice</w:t>
      </w:r>
      <w:r>
        <w:rPr>
          <w:lang w:val="es-ES"/>
        </w:rPr>
        <w:t xml:space="preserve"> capacidad nominal </w:t>
      </w:r>
      <w:r w:rsidRPr="004F7E56">
        <w:rPr>
          <w:i/>
          <w:iCs/>
          <w:lang w:val="es-ES"/>
        </w:rPr>
        <w:t>debe decir</w:t>
      </w:r>
      <w:r>
        <w:rPr>
          <w:lang w:val="es-ES"/>
        </w:rPr>
        <w:t xml:space="preserve"> energía nominal</w:t>
      </w:r>
    </w:p>
    <w:p w14:paraId="0AC36F02" w14:textId="216074AA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</w:r>
      <w:r w:rsidRPr="00490DF1">
        <w:rPr>
          <w:lang w:val="es-ES"/>
        </w:rPr>
        <w:t>1</w:t>
      </w:r>
      <w:r w:rsidR="00571C70">
        <w:rPr>
          <w:lang w:val="es-ES"/>
        </w:rPr>
        <w:t>7</w:t>
      </w:r>
      <w:r w:rsidRPr="00490DF1">
        <w:rPr>
          <w:lang w:val="es-ES"/>
        </w:rPr>
        <w:t>.</w:t>
      </w:r>
      <w:r w:rsidRPr="00490DF1">
        <w:rPr>
          <w:lang w:val="es-ES"/>
        </w:rPr>
        <w:tab/>
        <w:t xml:space="preserve">Sección 38, </w:t>
      </w:r>
      <w:r w:rsidRPr="00490DF1">
        <w:rPr>
          <w:rFonts w:asciiTheme="majorBidi" w:hAnsiTheme="majorBidi" w:cstheme="majorBidi"/>
          <w:lang w:val="es-ES"/>
        </w:rPr>
        <w:t>38.3.3 g)</w:t>
      </w:r>
    </w:p>
    <w:p w14:paraId="56479811" w14:textId="77777777" w:rsidR="00490DF1" w:rsidRPr="008619FD" w:rsidRDefault="00490DF1" w:rsidP="00490DF1">
      <w:pPr>
        <w:pStyle w:val="SingleTxtG"/>
        <w:rPr>
          <w:lang w:val="es-ES"/>
        </w:rPr>
      </w:pPr>
      <w:r w:rsidRPr="004F7E56">
        <w:rPr>
          <w:i/>
          <w:iCs/>
          <w:lang w:val="es-ES"/>
        </w:rPr>
        <w:t>Donde dice</w:t>
      </w:r>
      <w:r>
        <w:rPr>
          <w:lang w:val="es-ES"/>
        </w:rPr>
        <w:t xml:space="preserve"> capacidad nominal </w:t>
      </w:r>
      <w:r w:rsidRPr="004F7E56">
        <w:rPr>
          <w:i/>
          <w:iCs/>
          <w:lang w:val="es-ES"/>
        </w:rPr>
        <w:t>debe decir</w:t>
      </w:r>
      <w:r>
        <w:rPr>
          <w:lang w:val="es-ES"/>
        </w:rPr>
        <w:t xml:space="preserve"> energía nominal</w:t>
      </w:r>
    </w:p>
    <w:p w14:paraId="67F99D2B" w14:textId="193AB9E3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  <w:t>1</w:t>
      </w:r>
      <w:r w:rsidR="00571C70">
        <w:rPr>
          <w:lang w:val="es-ES"/>
        </w:rPr>
        <w:t>8</w:t>
      </w:r>
      <w:r w:rsidRPr="008619FD">
        <w:rPr>
          <w:lang w:val="es-ES"/>
        </w:rPr>
        <w:t>.</w:t>
      </w:r>
      <w:r w:rsidRPr="008619FD">
        <w:rPr>
          <w:lang w:val="es-ES"/>
        </w:rPr>
        <w:tab/>
        <w:t xml:space="preserve">Sección 38, </w:t>
      </w:r>
      <w:r w:rsidRPr="008619FD">
        <w:rPr>
          <w:rFonts w:asciiTheme="majorBidi" w:hAnsiTheme="majorBidi" w:cstheme="majorBidi"/>
          <w:lang w:val="es-ES"/>
        </w:rPr>
        <w:t xml:space="preserve">38.3.3.1, cuadro 38.3.2, </w:t>
      </w:r>
      <w:r w:rsidR="00F46EB2">
        <w:rPr>
          <w:rFonts w:asciiTheme="majorBidi" w:hAnsiTheme="majorBidi" w:cstheme="majorBidi"/>
          <w:lang w:val="es-ES"/>
        </w:rPr>
        <w:t>primera columna, dos últimas filas</w:t>
      </w:r>
    </w:p>
    <w:p w14:paraId="532BD42D" w14:textId="77777777" w:rsidR="00F46EB2" w:rsidRPr="008619FD" w:rsidRDefault="00F46EB2" w:rsidP="00F46EB2">
      <w:pPr>
        <w:pStyle w:val="SingleTxtG"/>
        <w:rPr>
          <w:lang w:val="es-ES"/>
        </w:rPr>
      </w:pPr>
      <w:r w:rsidRPr="008619FD">
        <w:rPr>
          <w:lang w:val="es-ES"/>
        </w:rPr>
        <w:t>La corrección no se aplica al texto en español.</w:t>
      </w:r>
    </w:p>
    <w:p w14:paraId="5EA37377" w14:textId="105C73AF" w:rsidR="00032BC5" w:rsidRPr="008619FD" w:rsidRDefault="00032BC5" w:rsidP="00032BC5">
      <w:pPr>
        <w:pStyle w:val="H23G"/>
        <w:rPr>
          <w:lang w:val="es-ES"/>
        </w:rPr>
      </w:pPr>
      <w:r w:rsidRPr="008619FD">
        <w:rPr>
          <w:lang w:val="es-ES"/>
        </w:rPr>
        <w:tab/>
      </w:r>
      <w:r w:rsidR="00571C70">
        <w:rPr>
          <w:lang w:val="es-ES"/>
        </w:rPr>
        <w:t>19</w:t>
      </w:r>
      <w:r w:rsidRPr="008619FD">
        <w:rPr>
          <w:lang w:val="es-ES"/>
        </w:rPr>
        <w:t>.</w:t>
      </w:r>
      <w:r w:rsidRPr="008619FD">
        <w:rPr>
          <w:lang w:val="es-ES"/>
        </w:rPr>
        <w:tab/>
        <w:t xml:space="preserve">Sección 38, </w:t>
      </w:r>
      <w:r w:rsidRPr="008619FD">
        <w:rPr>
          <w:rFonts w:asciiTheme="majorBidi" w:hAnsiTheme="majorBidi" w:cstheme="majorBidi"/>
          <w:lang w:val="es-ES"/>
        </w:rPr>
        <w:t xml:space="preserve">38.3.3.1, cuadro 38.3.3, </w:t>
      </w:r>
      <w:r w:rsidR="008B112D">
        <w:rPr>
          <w:rFonts w:asciiTheme="majorBidi" w:hAnsiTheme="majorBidi" w:cstheme="majorBidi"/>
          <w:lang w:val="es-ES"/>
        </w:rPr>
        <w:t>encabezado de la columna</w:t>
      </w:r>
      <w:r w:rsidRPr="008619FD">
        <w:rPr>
          <w:rFonts w:asciiTheme="majorBidi" w:hAnsiTheme="majorBidi" w:cstheme="majorBidi"/>
          <w:lang w:val="es-ES"/>
        </w:rPr>
        <w:t xml:space="preserve"> “T.7”</w:t>
      </w:r>
    </w:p>
    <w:p w14:paraId="48A94583" w14:textId="648BCB64" w:rsidR="008B112D" w:rsidRPr="008B112D" w:rsidRDefault="008B112D" w:rsidP="008B112D">
      <w:pPr>
        <w:pStyle w:val="SingleTxtG"/>
        <w:rPr>
          <w:lang w:val="es-ES"/>
        </w:rPr>
      </w:pPr>
      <w:r w:rsidRPr="008619FD">
        <w:rPr>
          <w:i/>
          <w:iCs/>
          <w:lang w:val="es-ES"/>
        </w:rPr>
        <w:t xml:space="preserve">Donde dice </w:t>
      </w:r>
      <w:r>
        <w:rPr>
          <w:lang w:val="es-ES"/>
        </w:rPr>
        <w:t>T.7</w:t>
      </w:r>
      <w:r w:rsidRPr="008619FD">
        <w:rPr>
          <w:lang w:val="es-ES"/>
        </w:rPr>
        <w:t xml:space="preserve"> </w:t>
      </w:r>
      <w:r w:rsidRPr="008619FD">
        <w:rPr>
          <w:i/>
          <w:iCs/>
          <w:lang w:val="es-ES"/>
        </w:rPr>
        <w:t xml:space="preserve">debe decir </w:t>
      </w:r>
      <w:r w:rsidRPr="008B112D">
        <w:rPr>
          <w:lang w:val="es-ES"/>
        </w:rPr>
        <w:t>T.7</w:t>
      </w:r>
      <w:r w:rsidRPr="008B112D">
        <w:rPr>
          <w:vertAlign w:val="superscript"/>
          <w:lang w:val="es-ES"/>
        </w:rPr>
        <w:t xml:space="preserve"> a</w:t>
      </w:r>
    </w:p>
    <w:p w14:paraId="3D1AEE4E" w14:textId="5EAAFA3E" w:rsidR="00032BC5" w:rsidRPr="00D739AE" w:rsidRDefault="00032BC5" w:rsidP="005826BF">
      <w:pPr>
        <w:pStyle w:val="H23G"/>
        <w:rPr>
          <w:lang w:val="es-ES"/>
        </w:rPr>
      </w:pPr>
      <w:r w:rsidRPr="008619FD">
        <w:rPr>
          <w:lang w:val="es-ES"/>
        </w:rPr>
        <w:tab/>
      </w:r>
      <w:r w:rsidRPr="00D739AE">
        <w:rPr>
          <w:lang w:val="es-ES"/>
        </w:rPr>
        <w:t>2</w:t>
      </w:r>
      <w:r w:rsidR="00571C70" w:rsidRPr="00D739AE">
        <w:rPr>
          <w:lang w:val="es-ES"/>
        </w:rPr>
        <w:t>0</w:t>
      </w:r>
      <w:r w:rsidRPr="00D739AE">
        <w:rPr>
          <w:lang w:val="es-ES"/>
        </w:rPr>
        <w:t>.</w:t>
      </w:r>
      <w:r w:rsidRPr="00D739AE">
        <w:rPr>
          <w:lang w:val="es-ES"/>
        </w:rPr>
        <w:tab/>
      </w:r>
      <w:r w:rsidR="00953BDF" w:rsidRPr="00D739AE">
        <w:rPr>
          <w:lang w:val="es-ES"/>
        </w:rPr>
        <w:t>Apéndice</w:t>
      </w:r>
      <w:r w:rsidRPr="00D739AE">
        <w:rPr>
          <w:lang w:val="es-ES"/>
        </w:rPr>
        <w:t xml:space="preserve"> 6, A6.3.3 c)</w:t>
      </w:r>
      <w:r w:rsidR="00AD4936">
        <w:rPr>
          <w:lang w:val="es-ES"/>
        </w:rPr>
        <w:t xml:space="preserve"> ii)</w:t>
      </w:r>
    </w:p>
    <w:p w14:paraId="33916972" w14:textId="77777777" w:rsidR="00D739AE" w:rsidRPr="008619FD" w:rsidRDefault="00D739AE" w:rsidP="005826BF">
      <w:pPr>
        <w:pStyle w:val="SingleTxtG"/>
        <w:keepNext/>
        <w:rPr>
          <w:lang w:val="es-ES"/>
        </w:rPr>
      </w:pPr>
      <w:r w:rsidRPr="008619FD">
        <w:rPr>
          <w:lang w:val="es-ES"/>
        </w:rPr>
        <w:t>La corrección no se aplica al texto en español.</w:t>
      </w:r>
    </w:p>
    <w:p w14:paraId="7E37B761" w14:textId="32151245" w:rsidR="00DD396E" w:rsidRPr="008619FD" w:rsidRDefault="00062404" w:rsidP="009B1182">
      <w:pPr>
        <w:pStyle w:val="SingleTxtG"/>
        <w:spacing w:before="240" w:after="0"/>
        <w:jc w:val="center"/>
        <w:rPr>
          <w:u w:val="single"/>
          <w:lang w:val="es-ES"/>
        </w:rPr>
      </w:pPr>
      <w:r w:rsidRPr="008619FD">
        <w:rPr>
          <w:u w:val="single"/>
          <w:lang w:val="es-ES"/>
        </w:rPr>
        <w:tab/>
      </w:r>
      <w:r w:rsidRPr="008619FD">
        <w:rPr>
          <w:u w:val="single"/>
          <w:lang w:val="es-ES"/>
        </w:rPr>
        <w:tab/>
      </w:r>
      <w:r w:rsidRPr="008619FD">
        <w:rPr>
          <w:u w:val="single"/>
          <w:lang w:val="es-ES"/>
        </w:rPr>
        <w:tab/>
      </w:r>
    </w:p>
    <w:sectPr w:rsidR="00DD396E" w:rsidRPr="008619FD" w:rsidSect="00C26657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6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6802" w14:textId="77777777" w:rsidR="00BB3ECE" w:rsidRDefault="00BB3ECE" w:rsidP="007A19E1">
      <w:pPr>
        <w:spacing w:line="240" w:lineRule="auto"/>
      </w:pPr>
      <w:r>
        <w:separator/>
      </w:r>
    </w:p>
  </w:endnote>
  <w:endnote w:type="continuationSeparator" w:id="0">
    <w:p w14:paraId="3B31883A" w14:textId="77777777" w:rsidR="00BB3ECE" w:rsidRDefault="00BB3ECE" w:rsidP="007A19E1">
      <w:pPr>
        <w:spacing w:line="240" w:lineRule="auto"/>
      </w:pPr>
      <w:r>
        <w:continuationSeparator/>
      </w:r>
    </w:p>
  </w:endnote>
  <w:endnote w:type="continuationNotice" w:id="1">
    <w:p w14:paraId="26D09192" w14:textId="77777777" w:rsidR="00BB3ECE" w:rsidRDefault="00BB3E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260563959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2643F5E0" w14:textId="77777777" w:rsidR="006E4ABC" w:rsidRPr="00966BE4" w:rsidRDefault="006E4ABC" w:rsidP="00966BE4">
        <w:pPr>
          <w:pStyle w:val="Footer"/>
          <w:rPr>
            <w:b/>
            <w:bCs/>
            <w:sz w:val="18"/>
            <w:szCs w:val="22"/>
          </w:rPr>
        </w:pPr>
        <w:r w:rsidRPr="00966BE4">
          <w:rPr>
            <w:b/>
            <w:bCs/>
            <w:sz w:val="18"/>
            <w:szCs w:val="22"/>
          </w:rPr>
          <w:fldChar w:fldCharType="begin"/>
        </w:r>
        <w:r w:rsidRPr="00966BE4">
          <w:rPr>
            <w:b/>
            <w:bCs/>
            <w:sz w:val="18"/>
            <w:szCs w:val="22"/>
          </w:rPr>
          <w:instrText xml:space="preserve"> PAGE   \* MERGEFORMAT </w:instrText>
        </w:r>
        <w:r w:rsidRPr="00966BE4">
          <w:rPr>
            <w:b/>
            <w:bCs/>
            <w:sz w:val="18"/>
            <w:szCs w:val="22"/>
          </w:rPr>
          <w:fldChar w:fldCharType="separate"/>
        </w:r>
        <w:r w:rsidRPr="00966BE4">
          <w:rPr>
            <w:b/>
            <w:bCs/>
            <w:noProof/>
            <w:sz w:val="18"/>
            <w:szCs w:val="22"/>
          </w:rPr>
          <w:t>2</w:t>
        </w:r>
        <w:r w:rsidRPr="00966BE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D784" w14:textId="28B1773F" w:rsidR="007404C6" w:rsidRDefault="00C26657" w:rsidP="008619FD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s-E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4DCC6A" wp14:editId="44A83F18">
          <wp:simplePos x="0" y="0"/>
          <wp:positionH relativeFrom="margin">
            <wp:posOffset>5479415</wp:posOffset>
          </wp:positionH>
          <wp:positionV relativeFrom="margin">
            <wp:posOffset>8527966</wp:posOffset>
          </wp:positionV>
          <wp:extent cx="638175" cy="638175"/>
          <wp:effectExtent l="0" t="0" r="9525" b="9525"/>
          <wp:wrapNone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5CE67586" wp14:editId="7FBB4B18">
          <wp:simplePos x="0" y="0"/>
          <wp:positionH relativeFrom="margin">
            <wp:posOffset>4312920</wp:posOffset>
          </wp:positionH>
          <wp:positionV relativeFrom="margin">
            <wp:posOffset>8775065</wp:posOffset>
          </wp:positionV>
          <wp:extent cx="1085850" cy="228600"/>
          <wp:effectExtent l="0" t="0" r="0" b="0"/>
          <wp:wrapNone/>
          <wp:docPr id="194" name="Imagen 194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4C6" w:rsidRPr="00331098">
      <w:rPr>
        <w:b/>
        <w:bCs/>
        <w:sz w:val="24"/>
        <w:szCs w:val="24"/>
        <w:lang w:val="es-ES"/>
      </w:rPr>
      <w:t>ST/SG/AC.10/1</w:t>
    </w:r>
    <w:r w:rsidR="0040361B" w:rsidRPr="00331098">
      <w:rPr>
        <w:b/>
        <w:bCs/>
        <w:sz w:val="24"/>
        <w:szCs w:val="24"/>
        <w:lang w:val="es-ES"/>
      </w:rPr>
      <w:t>1</w:t>
    </w:r>
    <w:r w:rsidR="007404C6" w:rsidRPr="00331098">
      <w:rPr>
        <w:b/>
        <w:bCs/>
        <w:sz w:val="24"/>
        <w:szCs w:val="24"/>
        <w:lang w:val="es-ES"/>
      </w:rPr>
      <w:t>/Rev.</w:t>
    </w:r>
    <w:r w:rsidR="0040361B" w:rsidRPr="00331098">
      <w:rPr>
        <w:b/>
        <w:bCs/>
        <w:sz w:val="24"/>
        <w:szCs w:val="24"/>
        <w:lang w:val="es-ES"/>
      </w:rPr>
      <w:t>7</w:t>
    </w:r>
    <w:r w:rsidR="007404C6" w:rsidRPr="00331098">
      <w:rPr>
        <w:b/>
        <w:bCs/>
        <w:sz w:val="24"/>
        <w:szCs w:val="24"/>
        <w:lang w:val="es-ES"/>
      </w:rPr>
      <w:t>/Corr.</w:t>
    </w:r>
    <w:r w:rsidR="0096606C" w:rsidRPr="00331098">
      <w:rPr>
        <w:b/>
        <w:bCs/>
        <w:sz w:val="24"/>
        <w:szCs w:val="24"/>
        <w:lang w:val="es-ES"/>
      </w:rPr>
      <w:t>2</w:t>
    </w:r>
    <w:r w:rsidR="007404C6" w:rsidRPr="00331098">
      <w:rPr>
        <w:b/>
        <w:bCs/>
        <w:sz w:val="24"/>
        <w:szCs w:val="24"/>
        <w:lang w:val="es-ES"/>
      </w:rPr>
      <w:br/>
    </w:r>
    <w:r w:rsidR="008619FD" w:rsidRPr="00331098">
      <w:rPr>
        <w:b/>
        <w:bCs/>
        <w:sz w:val="24"/>
        <w:szCs w:val="24"/>
        <w:lang w:val="es-ES"/>
      </w:rPr>
      <w:t>Español</w:t>
    </w:r>
    <w:r w:rsidR="007404C6" w:rsidRPr="00331098">
      <w:rPr>
        <w:b/>
        <w:bCs/>
        <w:sz w:val="24"/>
        <w:szCs w:val="24"/>
        <w:lang w:val="es-ES"/>
      </w:rPr>
      <w:br/>
      <w:t xml:space="preserve">Original: </w:t>
    </w:r>
    <w:r w:rsidR="00331098" w:rsidRPr="00331098">
      <w:rPr>
        <w:b/>
        <w:bCs/>
        <w:sz w:val="24"/>
        <w:szCs w:val="24"/>
        <w:lang w:val="es-ES"/>
      </w:rPr>
      <w:t>i</w:t>
    </w:r>
    <w:r w:rsidR="008619FD" w:rsidRPr="00331098">
      <w:rPr>
        <w:b/>
        <w:bCs/>
        <w:sz w:val="24"/>
        <w:szCs w:val="24"/>
        <w:lang w:val="es-ES"/>
      </w:rPr>
      <w:t>nglés</w:t>
    </w:r>
    <w:r w:rsidR="0096606C" w:rsidRPr="00331098">
      <w:rPr>
        <w:b/>
        <w:bCs/>
        <w:sz w:val="24"/>
        <w:szCs w:val="24"/>
        <w:lang w:val="es-ES"/>
      </w:rPr>
      <w:t>,</w:t>
    </w:r>
    <w:r w:rsidR="007404C6" w:rsidRPr="00331098">
      <w:rPr>
        <w:b/>
        <w:bCs/>
        <w:sz w:val="24"/>
        <w:szCs w:val="24"/>
        <w:lang w:val="es-ES"/>
      </w:rPr>
      <w:t xml:space="preserve"> </w:t>
    </w:r>
    <w:r w:rsidR="008619FD" w:rsidRPr="00331098">
      <w:rPr>
        <w:b/>
        <w:bCs/>
        <w:sz w:val="24"/>
        <w:szCs w:val="24"/>
        <w:lang w:val="es-ES"/>
      </w:rPr>
      <w:t>francés y español</w:t>
    </w:r>
  </w:p>
  <w:p w14:paraId="47EF2D6E" w14:textId="792813BB" w:rsidR="00C26657" w:rsidRPr="00331098" w:rsidRDefault="00C26657" w:rsidP="00C26657">
    <w:pPr>
      <w:pBdr>
        <w:top w:val="single" w:sz="18" w:space="0" w:color="auto"/>
      </w:pBdr>
      <w:tabs>
        <w:tab w:val="center" w:pos="4153"/>
        <w:tab w:val="right" w:pos="8306"/>
      </w:tabs>
      <w:spacing w:before="720" w:after="240"/>
      <w:rPr>
        <w:b/>
        <w:bCs/>
        <w:sz w:val="24"/>
        <w:szCs w:val="24"/>
        <w:lang w:val="es-ES"/>
      </w:rPr>
    </w:pPr>
    <w:bookmarkStart w:id="0" w:name="_Hlk109733653"/>
    <w:r>
      <w:t>GE.22-11643  (S)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3D65" w14:textId="77777777" w:rsidR="00BB3ECE" w:rsidRDefault="00BB3ECE" w:rsidP="007A19E1">
      <w:pPr>
        <w:spacing w:line="240" w:lineRule="auto"/>
      </w:pPr>
      <w:r>
        <w:separator/>
      </w:r>
    </w:p>
  </w:footnote>
  <w:footnote w:type="continuationSeparator" w:id="0">
    <w:p w14:paraId="0FA67452" w14:textId="77777777" w:rsidR="00BB3ECE" w:rsidRDefault="00BB3ECE" w:rsidP="007A19E1">
      <w:pPr>
        <w:spacing w:line="240" w:lineRule="auto"/>
      </w:pPr>
      <w:r>
        <w:continuationSeparator/>
      </w:r>
    </w:p>
  </w:footnote>
  <w:footnote w:type="continuationNotice" w:id="1">
    <w:p w14:paraId="62643B7E" w14:textId="77777777" w:rsidR="00BB3ECE" w:rsidRDefault="00BB3E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D19" w14:textId="3CFC2F19" w:rsidR="00BC4585" w:rsidRDefault="00BC4585" w:rsidP="00966BE4">
    <w:pPr>
      <w:pStyle w:val="Header"/>
    </w:pPr>
    <w:r>
      <w:t>ST/SG/AC.10/</w:t>
    </w:r>
    <w:r w:rsidR="001C5E2C">
      <w:t>11</w:t>
    </w:r>
    <w:r>
      <w:t>/Rev.</w:t>
    </w:r>
    <w:r w:rsidR="001C5E2C">
      <w:t>7</w:t>
    </w:r>
    <w:r>
      <w:t>/Corr.</w:t>
    </w:r>
    <w:r w:rsidR="005C2E1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064"/>
    <w:multiLevelType w:val="hybridMultilevel"/>
    <w:tmpl w:val="FFE0CFD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6F1A"/>
    <w:rsid w:val="000079D9"/>
    <w:rsid w:val="000123F2"/>
    <w:rsid w:val="0002513E"/>
    <w:rsid w:val="00026035"/>
    <w:rsid w:val="00031C4E"/>
    <w:rsid w:val="00032BC5"/>
    <w:rsid w:val="00036F91"/>
    <w:rsid w:val="00037D33"/>
    <w:rsid w:val="00043EAB"/>
    <w:rsid w:val="00062404"/>
    <w:rsid w:val="000661E7"/>
    <w:rsid w:val="00071E87"/>
    <w:rsid w:val="000A560C"/>
    <w:rsid w:val="000A5A90"/>
    <w:rsid w:val="000A7758"/>
    <w:rsid w:val="000B1D0C"/>
    <w:rsid w:val="000B2A0F"/>
    <w:rsid w:val="000B7B2C"/>
    <w:rsid w:val="000C56DC"/>
    <w:rsid w:val="000D59BC"/>
    <w:rsid w:val="000E1771"/>
    <w:rsid w:val="000E6DBF"/>
    <w:rsid w:val="000E7B5A"/>
    <w:rsid w:val="000E7F2E"/>
    <w:rsid w:val="00102FE9"/>
    <w:rsid w:val="00105C29"/>
    <w:rsid w:val="001074D9"/>
    <w:rsid w:val="001114AB"/>
    <w:rsid w:val="001153C0"/>
    <w:rsid w:val="00121E33"/>
    <w:rsid w:val="00122FDC"/>
    <w:rsid w:val="001276DC"/>
    <w:rsid w:val="00135A25"/>
    <w:rsid w:val="00136CCF"/>
    <w:rsid w:val="00140D9E"/>
    <w:rsid w:val="00142BEE"/>
    <w:rsid w:val="00147BF6"/>
    <w:rsid w:val="001742A3"/>
    <w:rsid w:val="00186D17"/>
    <w:rsid w:val="00187EEB"/>
    <w:rsid w:val="00190AAA"/>
    <w:rsid w:val="00190F20"/>
    <w:rsid w:val="0019258A"/>
    <w:rsid w:val="001931D8"/>
    <w:rsid w:val="001A4467"/>
    <w:rsid w:val="001B2865"/>
    <w:rsid w:val="001B43E9"/>
    <w:rsid w:val="001B6A23"/>
    <w:rsid w:val="001B6B1A"/>
    <w:rsid w:val="001C0492"/>
    <w:rsid w:val="001C0724"/>
    <w:rsid w:val="001C56F6"/>
    <w:rsid w:val="001C5E2C"/>
    <w:rsid w:val="001C74BB"/>
    <w:rsid w:val="001C7C25"/>
    <w:rsid w:val="001C7E94"/>
    <w:rsid w:val="001D2831"/>
    <w:rsid w:val="001E0DF3"/>
    <w:rsid w:val="001E2054"/>
    <w:rsid w:val="001E2FFB"/>
    <w:rsid w:val="001F3F1A"/>
    <w:rsid w:val="001F59D3"/>
    <w:rsid w:val="00202DFA"/>
    <w:rsid w:val="002126D8"/>
    <w:rsid w:val="00214B85"/>
    <w:rsid w:val="00222018"/>
    <w:rsid w:val="0024622B"/>
    <w:rsid w:val="00246E73"/>
    <w:rsid w:val="00250D79"/>
    <w:rsid w:val="002630CD"/>
    <w:rsid w:val="00272F40"/>
    <w:rsid w:val="002757E9"/>
    <w:rsid w:val="0027775C"/>
    <w:rsid w:val="002B2930"/>
    <w:rsid w:val="002D5A0D"/>
    <w:rsid w:val="002E37CE"/>
    <w:rsid w:val="002E5897"/>
    <w:rsid w:val="002F37E7"/>
    <w:rsid w:val="002F3EFC"/>
    <w:rsid w:val="002F4608"/>
    <w:rsid w:val="00302041"/>
    <w:rsid w:val="00331098"/>
    <w:rsid w:val="003429DC"/>
    <w:rsid w:val="00345AB0"/>
    <w:rsid w:val="0035377B"/>
    <w:rsid w:val="003668A8"/>
    <w:rsid w:val="003736C5"/>
    <w:rsid w:val="003832E7"/>
    <w:rsid w:val="003934B2"/>
    <w:rsid w:val="003936B2"/>
    <w:rsid w:val="00396489"/>
    <w:rsid w:val="003A0DEF"/>
    <w:rsid w:val="003B0440"/>
    <w:rsid w:val="003C10B9"/>
    <w:rsid w:val="003C2AA5"/>
    <w:rsid w:val="003C3F5D"/>
    <w:rsid w:val="003C5D69"/>
    <w:rsid w:val="003D1E3F"/>
    <w:rsid w:val="003E4A71"/>
    <w:rsid w:val="003F713E"/>
    <w:rsid w:val="0040361B"/>
    <w:rsid w:val="004166C3"/>
    <w:rsid w:val="00417EEA"/>
    <w:rsid w:val="00432EBA"/>
    <w:rsid w:val="00434A4D"/>
    <w:rsid w:val="00447192"/>
    <w:rsid w:val="0045222C"/>
    <w:rsid w:val="00453B5C"/>
    <w:rsid w:val="00454460"/>
    <w:rsid w:val="00474597"/>
    <w:rsid w:val="0047493E"/>
    <w:rsid w:val="0047787C"/>
    <w:rsid w:val="00483023"/>
    <w:rsid w:val="00484747"/>
    <w:rsid w:val="004869D9"/>
    <w:rsid w:val="004873EE"/>
    <w:rsid w:val="00490DF1"/>
    <w:rsid w:val="00493382"/>
    <w:rsid w:val="00493E50"/>
    <w:rsid w:val="004B4E15"/>
    <w:rsid w:val="004B5A77"/>
    <w:rsid w:val="004C3222"/>
    <w:rsid w:val="004D7B05"/>
    <w:rsid w:val="004D7E1A"/>
    <w:rsid w:val="004F10CF"/>
    <w:rsid w:val="004F3DF5"/>
    <w:rsid w:val="004F7E56"/>
    <w:rsid w:val="005018F6"/>
    <w:rsid w:val="00504F65"/>
    <w:rsid w:val="00516264"/>
    <w:rsid w:val="00517A78"/>
    <w:rsid w:val="00520BF9"/>
    <w:rsid w:val="00522774"/>
    <w:rsid w:val="00534FBC"/>
    <w:rsid w:val="00550447"/>
    <w:rsid w:val="00563A4D"/>
    <w:rsid w:val="00571C70"/>
    <w:rsid w:val="00573214"/>
    <w:rsid w:val="00575CFA"/>
    <w:rsid w:val="005826BF"/>
    <w:rsid w:val="005861C8"/>
    <w:rsid w:val="00590343"/>
    <w:rsid w:val="005A21D4"/>
    <w:rsid w:val="005A5BC6"/>
    <w:rsid w:val="005C0A3A"/>
    <w:rsid w:val="005C21FD"/>
    <w:rsid w:val="005C2E1F"/>
    <w:rsid w:val="005D3666"/>
    <w:rsid w:val="005E598F"/>
    <w:rsid w:val="005F7983"/>
    <w:rsid w:val="00602F94"/>
    <w:rsid w:val="0061199A"/>
    <w:rsid w:val="006140AD"/>
    <w:rsid w:val="006159BC"/>
    <w:rsid w:val="006224A4"/>
    <w:rsid w:val="00627980"/>
    <w:rsid w:val="006346FD"/>
    <w:rsid w:val="00654A75"/>
    <w:rsid w:val="00655F53"/>
    <w:rsid w:val="00673CE7"/>
    <w:rsid w:val="00676A54"/>
    <w:rsid w:val="006801D3"/>
    <w:rsid w:val="0069356D"/>
    <w:rsid w:val="00695302"/>
    <w:rsid w:val="006B2262"/>
    <w:rsid w:val="006C78DF"/>
    <w:rsid w:val="006E1364"/>
    <w:rsid w:val="006E22FB"/>
    <w:rsid w:val="006E4ABC"/>
    <w:rsid w:val="006E4ACE"/>
    <w:rsid w:val="006E6241"/>
    <w:rsid w:val="006F692F"/>
    <w:rsid w:val="006F7486"/>
    <w:rsid w:val="00703013"/>
    <w:rsid w:val="00705955"/>
    <w:rsid w:val="00711089"/>
    <w:rsid w:val="00715CCA"/>
    <w:rsid w:val="0072511A"/>
    <w:rsid w:val="007275BB"/>
    <w:rsid w:val="007404C6"/>
    <w:rsid w:val="0075512D"/>
    <w:rsid w:val="00761FD1"/>
    <w:rsid w:val="00766CFC"/>
    <w:rsid w:val="00767DD7"/>
    <w:rsid w:val="00776DAB"/>
    <w:rsid w:val="0078626F"/>
    <w:rsid w:val="007915E9"/>
    <w:rsid w:val="00796AC3"/>
    <w:rsid w:val="007A091F"/>
    <w:rsid w:val="007A19E1"/>
    <w:rsid w:val="007A2B60"/>
    <w:rsid w:val="007A6BE6"/>
    <w:rsid w:val="007A73A8"/>
    <w:rsid w:val="007B2382"/>
    <w:rsid w:val="007C44AE"/>
    <w:rsid w:val="007C5F5F"/>
    <w:rsid w:val="007E334D"/>
    <w:rsid w:val="007F15E0"/>
    <w:rsid w:val="007F5BEB"/>
    <w:rsid w:val="007F6B1F"/>
    <w:rsid w:val="00805F19"/>
    <w:rsid w:val="0080692C"/>
    <w:rsid w:val="00815EE3"/>
    <w:rsid w:val="008201CF"/>
    <w:rsid w:val="0082319E"/>
    <w:rsid w:val="00825B38"/>
    <w:rsid w:val="00832789"/>
    <w:rsid w:val="00847351"/>
    <w:rsid w:val="00856301"/>
    <w:rsid w:val="00861602"/>
    <w:rsid w:val="008619FD"/>
    <w:rsid w:val="00863F6B"/>
    <w:rsid w:val="00886088"/>
    <w:rsid w:val="008948C5"/>
    <w:rsid w:val="008A5384"/>
    <w:rsid w:val="008B112D"/>
    <w:rsid w:val="008C4C5A"/>
    <w:rsid w:val="008C5407"/>
    <w:rsid w:val="008D3281"/>
    <w:rsid w:val="008E3509"/>
    <w:rsid w:val="00905854"/>
    <w:rsid w:val="00905DCD"/>
    <w:rsid w:val="009108AA"/>
    <w:rsid w:val="00930F93"/>
    <w:rsid w:val="009411D8"/>
    <w:rsid w:val="00942F58"/>
    <w:rsid w:val="00946BFE"/>
    <w:rsid w:val="00953BDF"/>
    <w:rsid w:val="00954CF1"/>
    <w:rsid w:val="009564FC"/>
    <w:rsid w:val="009577E0"/>
    <w:rsid w:val="00963445"/>
    <w:rsid w:val="0096606C"/>
    <w:rsid w:val="00966BE4"/>
    <w:rsid w:val="00971889"/>
    <w:rsid w:val="009728F6"/>
    <w:rsid w:val="00974E94"/>
    <w:rsid w:val="0098509D"/>
    <w:rsid w:val="00991FC1"/>
    <w:rsid w:val="009A3DAB"/>
    <w:rsid w:val="009A6EA2"/>
    <w:rsid w:val="009B1182"/>
    <w:rsid w:val="009E2D84"/>
    <w:rsid w:val="009E3565"/>
    <w:rsid w:val="009E5EAF"/>
    <w:rsid w:val="00A10FC8"/>
    <w:rsid w:val="00A200F9"/>
    <w:rsid w:val="00A251AE"/>
    <w:rsid w:val="00A36A55"/>
    <w:rsid w:val="00A51B37"/>
    <w:rsid w:val="00A52AA4"/>
    <w:rsid w:val="00A53EFC"/>
    <w:rsid w:val="00A61505"/>
    <w:rsid w:val="00A644D8"/>
    <w:rsid w:val="00A6517E"/>
    <w:rsid w:val="00A65F7E"/>
    <w:rsid w:val="00A80B9C"/>
    <w:rsid w:val="00A948AD"/>
    <w:rsid w:val="00AA275F"/>
    <w:rsid w:val="00AA2E73"/>
    <w:rsid w:val="00AA5437"/>
    <w:rsid w:val="00AA63A7"/>
    <w:rsid w:val="00AB43A3"/>
    <w:rsid w:val="00AB4637"/>
    <w:rsid w:val="00AB5F31"/>
    <w:rsid w:val="00AC0204"/>
    <w:rsid w:val="00AC11BC"/>
    <w:rsid w:val="00AD4936"/>
    <w:rsid w:val="00AE03ED"/>
    <w:rsid w:val="00AF160B"/>
    <w:rsid w:val="00AF6340"/>
    <w:rsid w:val="00B03021"/>
    <w:rsid w:val="00B10600"/>
    <w:rsid w:val="00B12A04"/>
    <w:rsid w:val="00B15CE4"/>
    <w:rsid w:val="00B15F11"/>
    <w:rsid w:val="00B20F8F"/>
    <w:rsid w:val="00B21B6F"/>
    <w:rsid w:val="00B256E9"/>
    <w:rsid w:val="00B47B01"/>
    <w:rsid w:val="00B504BC"/>
    <w:rsid w:val="00B55AA6"/>
    <w:rsid w:val="00B7795D"/>
    <w:rsid w:val="00B846E8"/>
    <w:rsid w:val="00B946DC"/>
    <w:rsid w:val="00BA27A7"/>
    <w:rsid w:val="00BA5A6F"/>
    <w:rsid w:val="00BB2106"/>
    <w:rsid w:val="00BB2F00"/>
    <w:rsid w:val="00BB3ECE"/>
    <w:rsid w:val="00BC4585"/>
    <w:rsid w:val="00BC4C7C"/>
    <w:rsid w:val="00BD7E08"/>
    <w:rsid w:val="00BE0E8C"/>
    <w:rsid w:val="00BE3334"/>
    <w:rsid w:val="00BF6023"/>
    <w:rsid w:val="00C019EA"/>
    <w:rsid w:val="00C02EBE"/>
    <w:rsid w:val="00C07FA3"/>
    <w:rsid w:val="00C1266B"/>
    <w:rsid w:val="00C15238"/>
    <w:rsid w:val="00C23BEF"/>
    <w:rsid w:val="00C2547F"/>
    <w:rsid w:val="00C26657"/>
    <w:rsid w:val="00C30A5C"/>
    <w:rsid w:val="00C330B4"/>
    <w:rsid w:val="00C33622"/>
    <w:rsid w:val="00C36BA0"/>
    <w:rsid w:val="00C5505A"/>
    <w:rsid w:val="00C63D12"/>
    <w:rsid w:val="00C65283"/>
    <w:rsid w:val="00C84268"/>
    <w:rsid w:val="00C85785"/>
    <w:rsid w:val="00C85F8C"/>
    <w:rsid w:val="00CA4325"/>
    <w:rsid w:val="00CA755A"/>
    <w:rsid w:val="00CB06A0"/>
    <w:rsid w:val="00CC1678"/>
    <w:rsid w:val="00CC3593"/>
    <w:rsid w:val="00CD1573"/>
    <w:rsid w:val="00CF2194"/>
    <w:rsid w:val="00CF4388"/>
    <w:rsid w:val="00CF7519"/>
    <w:rsid w:val="00D16CE7"/>
    <w:rsid w:val="00D34579"/>
    <w:rsid w:val="00D55F53"/>
    <w:rsid w:val="00D5645B"/>
    <w:rsid w:val="00D6160F"/>
    <w:rsid w:val="00D61A8C"/>
    <w:rsid w:val="00D62263"/>
    <w:rsid w:val="00D6597A"/>
    <w:rsid w:val="00D739AE"/>
    <w:rsid w:val="00D74DB1"/>
    <w:rsid w:val="00D81925"/>
    <w:rsid w:val="00D8274A"/>
    <w:rsid w:val="00DA6D5A"/>
    <w:rsid w:val="00DB2C6E"/>
    <w:rsid w:val="00DB4A5F"/>
    <w:rsid w:val="00DB74B4"/>
    <w:rsid w:val="00DC0CF5"/>
    <w:rsid w:val="00DC3458"/>
    <w:rsid w:val="00DD396E"/>
    <w:rsid w:val="00DD5B9B"/>
    <w:rsid w:val="00DD6609"/>
    <w:rsid w:val="00DE2662"/>
    <w:rsid w:val="00DF6F64"/>
    <w:rsid w:val="00E02A9C"/>
    <w:rsid w:val="00E106BA"/>
    <w:rsid w:val="00E11A87"/>
    <w:rsid w:val="00E148F7"/>
    <w:rsid w:val="00E20B72"/>
    <w:rsid w:val="00E41610"/>
    <w:rsid w:val="00E64953"/>
    <w:rsid w:val="00E73562"/>
    <w:rsid w:val="00E92BCD"/>
    <w:rsid w:val="00E9725A"/>
    <w:rsid w:val="00EA09E7"/>
    <w:rsid w:val="00EA7993"/>
    <w:rsid w:val="00EB6737"/>
    <w:rsid w:val="00EC0381"/>
    <w:rsid w:val="00EC1D40"/>
    <w:rsid w:val="00EE20C9"/>
    <w:rsid w:val="00EF01CB"/>
    <w:rsid w:val="00EF1A7A"/>
    <w:rsid w:val="00EF4802"/>
    <w:rsid w:val="00F2288D"/>
    <w:rsid w:val="00F22C9F"/>
    <w:rsid w:val="00F235D1"/>
    <w:rsid w:val="00F2619B"/>
    <w:rsid w:val="00F32A7D"/>
    <w:rsid w:val="00F337D3"/>
    <w:rsid w:val="00F33C70"/>
    <w:rsid w:val="00F46EB2"/>
    <w:rsid w:val="00F60491"/>
    <w:rsid w:val="00F735AC"/>
    <w:rsid w:val="00F84B1A"/>
    <w:rsid w:val="00F85CCD"/>
    <w:rsid w:val="00F87D04"/>
    <w:rsid w:val="00F90038"/>
    <w:rsid w:val="00FA3878"/>
    <w:rsid w:val="00FB31EF"/>
    <w:rsid w:val="00FB61FE"/>
    <w:rsid w:val="00FB669A"/>
    <w:rsid w:val="00FD4321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B9A863"/>
  <w15:docId w15:val="{DA21DBEE-30B4-4179-9504-80ACF5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382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Man1subpara">
    <w:name w:val="Man_1subpara"/>
    <w:basedOn w:val="Normal"/>
    <w:rsid w:val="001C7E94"/>
    <w:pPr>
      <w:suppressAutoHyphens w:val="0"/>
      <w:spacing w:after="120" w:line="240" w:lineRule="auto"/>
      <w:ind w:left="1985" w:hanging="567"/>
      <w:jc w:val="both"/>
    </w:pPr>
    <w:rPr>
      <w:rFonts w:eastAsiaTheme="minorEastAsia"/>
      <w:sz w:val="22"/>
      <w:szCs w:val="22"/>
    </w:rPr>
  </w:style>
  <w:style w:type="character" w:customStyle="1" w:styleId="SingleTxtGCar">
    <w:name w:val="_ Single Txt_G Car"/>
    <w:rsid w:val="00032BC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rev7-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DBF-99D2-4E5D-A2D5-C78340195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95423CC-D919-41E3-9AB7-A0B38713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WP.15 Report reading</dc:creator>
  <cp:lastModifiedBy>Laurence Berthet</cp:lastModifiedBy>
  <cp:revision>2</cp:revision>
  <cp:lastPrinted>2022-07-26T11:24:00Z</cp:lastPrinted>
  <dcterms:created xsi:type="dcterms:W3CDTF">2022-10-12T08:17:00Z</dcterms:created>
  <dcterms:modified xsi:type="dcterms:W3CDTF">2022-10-12T08:17:00Z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