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679AE561" w:rsidR="00062404" w:rsidRPr="00CB06A0" w:rsidRDefault="00062404" w:rsidP="007A19E1">
      <w:pPr>
        <w:spacing w:line="240" w:lineRule="auto"/>
        <w:jc w:val="right"/>
        <w:rPr>
          <w:b/>
          <w:sz w:val="12"/>
          <w:szCs w:val="12"/>
        </w:rPr>
      </w:pPr>
      <w:r w:rsidRPr="00CB06A0">
        <w:rPr>
          <w:b/>
          <w:sz w:val="24"/>
          <w:szCs w:val="24"/>
        </w:rPr>
        <w:t>Corrigendum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  <w:t xml:space="preserve">Ref. Sales No.: </w:t>
      </w:r>
      <w:r w:rsidR="00F2619B" w:rsidRPr="00CB06A0">
        <w:rPr>
          <w:b/>
          <w:sz w:val="24"/>
          <w:szCs w:val="24"/>
        </w:rPr>
        <w:t>E.</w:t>
      </w:r>
      <w:r w:rsidR="00C33622">
        <w:rPr>
          <w:b/>
          <w:sz w:val="24"/>
          <w:szCs w:val="24"/>
        </w:rPr>
        <w:t>20</w:t>
      </w:r>
      <w:r w:rsidRPr="00CB06A0">
        <w:rPr>
          <w:b/>
          <w:sz w:val="24"/>
          <w:szCs w:val="24"/>
        </w:rPr>
        <w:t>.VIII.1</w:t>
      </w:r>
      <w:r w:rsidRPr="00CB06A0">
        <w:rPr>
          <w:b/>
          <w:sz w:val="24"/>
          <w:szCs w:val="24"/>
        </w:rPr>
        <w:br/>
        <w:t>(</w:t>
      </w:r>
      <w:r w:rsidR="000A5A90" w:rsidRPr="000A5A90">
        <w:rPr>
          <w:b/>
          <w:sz w:val="24"/>
          <w:szCs w:val="24"/>
        </w:rPr>
        <w:t>ST/SG/AC.10/11/Rev.</w:t>
      </w:r>
      <w:r w:rsidR="000A5A90">
        <w:rPr>
          <w:b/>
          <w:sz w:val="24"/>
          <w:szCs w:val="24"/>
        </w:rPr>
        <w:t>7</w:t>
      </w:r>
      <w:r w:rsidRPr="00CB06A0">
        <w:rPr>
          <w:b/>
          <w:sz w:val="24"/>
          <w:szCs w:val="24"/>
        </w:rPr>
        <w:t>)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</w:r>
      <w:r w:rsidR="005C2E1F" w:rsidRPr="006F7727">
        <w:rPr>
          <w:b/>
          <w:sz w:val="24"/>
          <w:szCs w:val="24"/>
        </w:rPr>
        <w:t>July</w:t>
      </w:r>
      <w:r w:rsidRPr="006F7727">
        <w:rPr>
          <w:b/>
          <w:sz w:val="24"/>
          <w:szCs w:val="24"/>
        </w:rPr>
        <w:t xml:space="preserve"> 20</w:t>
      </w:r>
      <w:r w:rsidR="006C78DF" w:rsidRPr="006F7727">
        <w:rPr>
          <w:b/>
          <w:sz w:val="24"/>
          <w:szCs w:val="24"/>
        </w:rPr>
        <w:t>2</w:t>
      </w:r>
      <w:r w:rsidR="005C2E1F" w:rsidRPr="006F7727">
        <w:rPr>
          <w:b/>
          <w:sz w:val="24"/>
          <w:szCs w:val="24"/>
        </w:rPr>
        <w:t>2</w:t>
      </w:r>
      <w:r w:rsidRPr="00CB06A0">
        <w:rPr>
          <w:b/>
          <w:sz w:val="24"/>
          <w:szCs w:val="24"/>
        </w:rPr>
        <w:br/>
        <w:t>New York and Geneva</w:t>
      </w:r>
      <w:r w:rsidRPr="00CB06A0">
        <w:rPr>
          <w:b/>
          <w:sz w:val="24"/>
          <w:szCs w:val="24"/>
        </w:rPr>
        <w:br/>
      </w:r>
    </w:p>
    <w:p w14:paraId="647E0897" w14:textId="77777777" w:rsidR="00062404" w:rsidRPr="00CB06A0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521C7FC4" w14:textId="009114A2" w:rsidR="00062404" w:rsidRPr="00CB06A0" w:rsidRDefault="009E2D84" w:rsidP="00062404">
      <w:pPr>
        <w:rPr>
          <w:b/>
          <w:sz w:val="24"/>
          <w:szCs w:val="24"/>
        </w:rPr>
      </w:pPr>
      <w:r w:rsidRPr="009E2D84">
        <w:rPr>
          <w:b/>
          <w:sz w:val="24"/>
          <w:szCs w:val="24"/>
        </w:rPr>
        <w:t>Manual of Tests and Criteria</w:t>
      </w:r>
      <w:r w:rsidR="00062404" w:rsidRPr="00AF160B">
        <w:rPr>
          <w:b/>
          <w:sz w:val="24"/>
          <w:szCs w:val="24"/>
        </w:rPr>
        <w:t xml:space="preserve"> </w:t>
      </w:r>
      <w:r w:rsidR="00062404" w:rsidRPr="00AF160B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Seventh</w:t>
      </w:r>
      <w:r w:rsidR="00062404" w:rsidRPr="00AF160B">
        <w:rPr>
          <w:b/>
          <w:sz w:val="24"/>
          <w:szCs w:val="24"/>
        </w:rPr>
        <w:t xml:space="preserve"> rev</w:t>
      </w:r>
      <w:r w:rsidR="00062404" w:rsidRPr="00CB06A0">
        <w:rPr>
          <w:b/>
          <w:sz w:val="24"/>
          <w:szCs w:val="24"/>
        </w:rPr>
        <w:t>ised edition)</w:t>
      </w:r>
    </w:p>
    <w:p w14:paraId="2A5E6629" w14:textId="77777777" w:rsidR="00062404" w:rsidRPr="00CB06A0" w:rsidRDefault="00062404" w:rsidP="00062404">
      <w:pPr>
        <w:pStyle w:val="HChG"/>
      </w:pPr>
      <w:r w:rsidRPr="00CB06A0">
        <w:tab/>
      </w:r>
      <w:r w:rsidRPr="00CB06A0">
        <w:tab/>
        <w:t>Corrigendum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062404" w:rsidRPr="00CB06A0" w14:paraId="4E35C7C0" w14:textId="77777777" w:rsidTr="007A7C40">
        <w:trPr>
          <w:trHeight w:val="402"/>
        </w:trPr>
        <w:tc>
          <w:tcPr>
            <w:tcW w:w="7371" w:type="dxa"/>
          </w:tcPr>
          <w:p w14:paraId="0281F237" w14:textId="00489EA8" w:rsidR="00FA3878" w:rsidRPr="00FA3878" w:rsidRDefault="00FD5F4D" w:rsidP="00FA3878">
            <w:pPr>
              <w:spacing w:after="4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="00AB663D">
              <w:rPr>
                <w:b/>
                <w:bCs/>
                <w:i/>
                <w:iCs/>
              </w:rPr>
              <w:t>ote</w:t>
            </w:r>
            <w:r>
              <w:rPr>
                <w:i/>
                <w:iCs/>
              </w:rPr>
              <w:t xml:space="preserve">: Corrigenda </w:t>
            </w:r>
            <w:r w:rsidRPr="00D6597A">
              <w:rPr>
                <w:i/>
                <w:iCs/>
              </w:rPr>
              <w:t>to the</w:t>
            </w:r>
            <w:r w:rsidR="00202DFA" w:rsidRPr="00D6597A">
              <w:rPr>
                <w:i/>
                <w:iCs/>
              </w:rPr>
              <w:t xml:space="preserve"> </w:t>
            </w:r>
            <w:r w:rsidR="00D6597A" w:rsidRPr="00D6597A">
              <w:rPr>
                <w:i/>
                <w:iCs/>
              </w:rPr>
              <w:t>seventh</w:t>
            </w:r>
            <w:r w:rsidR="00202DFA" w:rsidRPr="00D6597A">
              <w:rPr>
                <w:i/>
                <w:iCs/>
              </w:rPr>
              <w:t xml:space="preserve"> revised edition of the</w:t>
            </w:r>
            <w:r w:rsidRPr="00D6597A">
              <w:rPr>
                <w:i/>
                <w:iCs/>
                <w:color w:val="FF0000"/>
              </w:rPr>
              <w:t xml:space="preserve"> </w:t>
            </w:r>
            <w:r w:rsidR="00D6597A" w:rsidRPr="00D6597A">
              <w:rPr>
                <w:i/>
                <w:iCs/>
              </w:rPr>
              <w:t>Manual of Tests and Criteria</w:t>
            </w:r>
            <w:r w:rsidRPr="00D6597A">
              <w:rPr>
                <w:i/>
                <w:iCs/>
              </w:rPr>
              <w:t xml:space="preserve"> are also made available on the w</w:t>
            </w:r>
            <w:r>
              <w:rPr>
                <w:i/>
                <w:iCs/>
              </w:rPr>
              <w:t xml:space="preserve">ebsite of the United Nations Economic Commission for Europe at the following address: </w:t>
            </w:r>
            <w:hyperlink r:id="rId11" w:history="1">
              <w:r w:rsidR="00FA3878" w:rsidRPr="00FA3878">
                <w:rPr>
                  <w:rStyle w:val="Hyperlink"/>
                </w:rPr>
                <w:t>https://unece.org/transport/dangerous-goods/rev7-files</w:t>
              </w:r>
            </w:hyperlink>
          </w:p>
        </w:tc>
      </w:tr>
    </w:tbl>
    <w:p w14:paraId="1B7B65EF" w14:textId="5860CAF9" w:rsidR="00954CF1" w:rsidRPr="00954CF1" w:rsidRDefault="00954CF1" w:rsidP="00954CF1">
      <w:pPr>
        <w:pStyle w:val="H23G"/>
      </w:pPr>
      <w:r>
        <w:tab/>
      </w:r>
      <w:r w:rsidR="00EB6737">
        <w:t>1</w:t>
      </w:r>
      <w:r>
        <w:t>.</w:t>
      </w:r>
      <w:r>
        <w:tab/>
      </w:r>
      <w:r w:rsidRPr="00954CF1">
        <w:t xml:space="preserve">Section 10, </w:t>
      </w:r>
      <w:r w:rsidR="00715CCA">
        <w:t>f</w:t>
      </w:r>
      <w:r w:rsidRPr="00954CF1">
        <w:t>igure 10.4, box 8</w:t>
      </w:r>
    </w:p>
    <w:p w14:paraId="680238F8" w14:textId="77777777" w:rsidR="00954CF1" w:rsidRPr="00954CF1" w:rsidRDefault="00954CF1" w:rsidP="00954CF1">
      <w:pPr>
        <w:pStyle w:val="SingleTxtG"/>
      </w:pPr>
      <w:r w:rsidRPr="00954CF1">
        <w:t xml:space="preserve">For the existing text </w:t>
      </w:r>
      <w:r w:rsidRPr="00954CF1">
        <w:rPr>
          <w:i/>
          <w:iCs/>
        </w:rPr>
        <w:t>substitute</w:t>
      </w:r>
    </w:p>
    <w:p w14:paraId="3850764F" w14:textId="77777777" w:rsidR="00954CF1" w:rsidRPr="00954CF1" w:rsidRDefault="00954CF1" w:rsidP="00954CF1">
      <w:pPr>
        <w:pStyle w:val="SingleTxtG"/>
      </w:pPr>
      <w:r w:rsidRPr="00954CF1">
        <w:t>Substance to be considered for classification as an explosive of Division 1.5, proceed with test series 5.</w:t>
      </w:r>
    </w:p>
    <w:p w14:paraId="01D783FA" w14:textId="77777777" w:rsidR="00954CF1" w:rsidRPr="00954CF1" w:rsidRDefault="00954CF1" w:rsidP="00954CF1">
      <w:pPr>
        <w:pStyle w:val="SingleTxtG"/>
      </w:pPr>
      <w:r w:rsidRPr="00954CF1">
        <w:t>If the answer to the question “is it a very insensitive explosive substance with a mass explosion hazard?” in figure 10.3 is “yes”, the substance shall be classified in Division 1.5.</w:t>
      </w:r>
    </w:p>
    <w:p w14:paraId="43EEC80A" w14:textId="77777777" w:rsidR="00954CF1" w:rsidRPr="00954CF1" w:rsidRDefault="00954CF1" w:rsidP="00954CF1">
      <w:pPr>
        <w:pStyle w:val="SingleTxtG"/>
      </w:pPr>
      <w:r w:rsidRPr="00954CF1">
        <w:t>If the answer is “no”, the substance shall be classified in Division 1.1.</w:t>
      </w:r>
    </w:p>
    <w:p w14:paraId="2A998C47" w14:textId="3B3D1B84" w:rsidR="006E4ACE" w:rsidRPr="00CB06A0" w:rsidRDefault="006E4ACE" w:rsidP="006E4ACE">
      <w:pPr>
        <w:pStyle w:val="H23G"/>
      </w:pPr>
      <w:r w:rsidRPr="00CB06A0">
        <w:tab/>
      </w:r>
      <w:r w:rsidR="00EB6737">
        <w:t>2</w:t>
      </w:r>
      <w:r w:rsidRPr="00CB06A0">
        <w:t>.</w:t>
      </w:r>
      <w:r w:rsidRPr="00CB06A0">
        <w:tab/>
      </w:r>
      <w:r>
        <w:t>Section 11, 11.1.1</w:t>
      </w:r>
      <w:r w:rsidR="00396489">
        <w:t>, second sentence</w:t>
      </w:r>
    </w:p>
    <w:p w14:paraId="6209CC37" w14:textId="120EBEA6" w:rsidR="00396489" w:rsidRDefault="00396489" w:rsidP="00396489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box 4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box 5</w:t>
      </w:r>
    </w:p>
    <w:p w14:paraId="716B416F" w14:textId="32556541" w:rsidR="00493382" w:rsidRPr="00CB06A0" w:rsidRDefault="00493382" w:rsidP="00493382">
      <w:pPr>
        <w:pStyle w:val="H23G"/>
      </w:pPr>
      <w:r w:rsidRPr="00CB06A0">
        <w:tab/>
      </w:r>
      <w:r w:rsidR="00EB6737">
        <w:t>3</w:t>
      </w:r>
      <w:r w:rsidRPr="00CB06A0">
        <w:t>.</w:t>
      </w:r>
      <w:r w:rsidRPr="00CB06A0">
        <w:tab/>
      </w:r>
      <w:r>
        <w:t>Section 1</w:t>
      </w:r>
      <w:r w:rsidR="007C44AE">
        <w:t>2</w:t>
      </w:r>
      <w:r>
        <w:t>, 12.1.1, second sentence</w:t>
      </w:r>
    </w:p>
    <w:p w14:paraId="3ABA3A22" w14:textId="77777777" w:rsidR="00493382" w:rsidRDefault="00493382" w:rsidP="00493382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box 6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box 7</w:t>
      </w:r>
    </w:p>
    <w:p w14:paraId="04613AA0" w14:textId="111A4156" w:rsidR="00493382" w:rsidRPr="00CB06A0" w:rsidRDefault="00493382" w:rsidP="00493382">
      <w:pPr>
        <w:pStyle w:val="H23G"/>
      </w:pPr>
      <w:r w:rsidRPr="00CB06A0">
        <w:tab/>
      </w:r>
      <w:r w:rsidR="00EB6737">
        <w:t>4</w:t>
      </w:r>
      <w:r w:rsidRPr="00CB06A0">
        <w:t>.</w:t>
      </w:r>
      <w:r w:rsidRPr="00CB06A0">
        <w:tab/>
      </w:r>
      <w:r>
        <w:t>Section 1</w:t>
      </w:r>
      <w:r w:rsidR="007C44AE">
        <w:t>5</w:t>
      </w:r>
      <w:r>
        <w:t>, 1</w:t>
      </w:r>
      <w:r w:rsidR="00AB4637">
        <w:t>5</w:t>
      </w:r>
      <w:r>
        <w:t xml:space="preserve">.1.1, </w:t>
      </w:r>
      <w:r w:rsidR="002E5897">
        <w:t>first</w:t>
      </w:r>
      <w:r>
        <w:t xml:space="preserve"> sentence</w:t>
      </w:r>
    </w:p>
    <w:p w14:paraId="2112CEF7" w14:textId="7218E660" w:rsidR="00493382" w:rsidRDefault="00493382" w:rsidP="00493382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 xml:space="preserve">box </w:t>
      </w:r>
      <w:r w:rsidR="007C44AE">
        <w:t>21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 xml:space="preserve">box </w:t>
      </w:r>
      <w:r w:rsidR="007C44AE">
        <w:t>28</w:t>
      </w:r>
    </w:p>
    <w:p w14:paraId="2AC62812" w14:textId="37494819" w:rsidR="00493382" w:rsidRPr="00CB06A0" w:rsidRDefault="00493382" w:rsidP="00493382">
      <w:pPr>
        <w:pStyle w:val="H23G"/>
      </w:pPr>
      <w:r w:rsidRPr="00CB06A0">
        <w:tab/>
      </w:r>
      <w:r w:rsidR="00EB6737">
        <w:t>5</w:t>
      </w:r>
      <w:r w:rsidRPr="00CB06A0">
        <w:t>.</w:t>
      </w:r>
      <w:r w:rsidRPr="00CB06A0">
        <w:tab/>
      </w:r>
      <w:r>
        <w:t>Section 1</w:t>
      </w:r>
      <w:r w:rsidR="007C44AE">
        <w:t>6</w:t>
      </w:r>
      <w:r>
        <w:t>, 1</w:t>
      </w:r>
      <w:r w:rsidR="00AB4637">
        <w:t>6</w:t>
      </w:r>
      <w:r>
        <w:t xml:space="preserve">.1.1, </w:t>
      </w:r>
      <w:r w:rsidR="006E1364">
        <w:t>first</w:t>
      </w:r>
      <w:r>
        <w:t xml:space="preserve"> sentence</w:t>
      </w:r>
    </w:p>
    <w:p w14:paraId="0EFC0266" w14:textId="77777777" w:rsidR="00493382" w:rsidRDefault="00493382" w:rsidP="00493382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 w:rsidR="006346FD">
        <w:t>boxes 26, 28, 30, 32 and 33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 w:rsidR="006346FD">
        <w:t>boxes 32, 33, 34, 35, 36 and 37</w:t>
      </w:r>
    </w:p>
    <w:p w14:paraId="5D841669" w14:textId="115FC858" w:rsidR="00AB4637" w:rsidRPr="00CB06A0" w:rsidRDefault="00AB4637" w:rsidP="00AB4637">
      <w:pPr>
        <w:pStyle w:val="H23G"/>
      </w:pPr>
      <w:r w:rsidRPr="00CB06A0">
        <w:tab/>
      </w:r>
      <w:r w:rsidR="00EB6737">
        <w:t>6</w:t>
      </w:r>
      <w:r w:rsidRPr="00CB06A0">
        <w:t>.</w:t>
      </w:r>
      <w:r w:rsidRPr="00CB06A0">
        <w:tab/>
      </w:r>
      <w:r>
        <w:t>Section 1</w:t>
      </w:r>
      <w:r w:rsidR="007C44AE">
        <w:t>6</w:t>
      </w:r>
      <w:r>
        <w:t>, 16.1.1, second sentence</w:t>
      </w:r>
    </w:p>
    <w:p w14:paraId="2F5CAD76" w14:textId="100E8A09" w:rsidR="00AB4637" w:rsidRDefault="00AB4637" w:rsidP="00AB4637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 w:rsidR="00B946DC">
        <w:t>boxes 35 and 36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 w:rsidR="00B946DC">
        <w:t>boxes 38 and 39</w:t>
      </w:r>
    </w:p>
    <w:p w14:paraId="75918CE3" w14:textId="2295829B" w:rsidR="00AB4637" w:rsidRPr="00CB06A0" w:rsidRDefault="00AB4637" w:rsidP="00AB4637">
      <w:pPr>
        <w:pStyle w:val="H23G"/>
      </w:pPr>
      <w:r w:rsidRPr="00CB06A0">
        <w:tab/>
      </w:r>
      <w:r w:rsidR="00EB6737">
        <w:t>7</w:t>
      </w:r>
      <w:r w:rsidRPr="00CB06A0">
        <w:t>.</w:t>
      </w:r>
      <w:r w:rsidRPr="00CB06A0">
        <w:tab/>
      </w:r>
      <w:r>
        <w:t>Section 1</w:t>
      </w:r>
      <w:r w:rsidR="007C44AE">
        <w:t>6</w:t>
      </w:r>
      <w:r>
        <w:t xml:space="preserve">, </w:t>
      </w:r>
      <w:r w:rsidR="005D3666">
        <w:t>16.6.1.4.1</w:t>
      </w:r>
      <w:r>
        <w:t xml:space="preserve"> </w:t>
      </w:r>
    </w:p>
    <w:p w14:paraId="66E3DB62" w14:textId="409B46B6" w:rsidR="00B946DC" w:rsidRDefault="00B946DC" w:rsidP="00B946DC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boxes 26, 28, 30, 32</w:t>
      </w:r>
      <w:r w:rsidR="00A6517E">
        <w:t>,</w:t>
      </w:r>
      <w:r>
        <w:t xml:space="preserve"> 33</w:t>
      </w:r>
      <w:r w:rsidR="00A6517E">
        <w:t>, 35</w:t>
      </w:r>
      <w:r w:rsidR="008D3281">
        <w:t xml:space="preserve"> and 36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boxes 32, 33, 34, 35, 36</w:t>
      </w:r>
      <w:r w:rsidR="008D3281">
        <w:t>,</w:t>
      </w:r>
      <w:r>
        <w:t xml:space="preserve"> 37</w:t>
      </w:r>
      <w:r w:rsidR="008D3281">
        <w:t>, 38 and 39</w:t>
      </w:r>
    </w:p>
    <w:p w14:paraId="4FCED2A8" w14:textId="4E50C965" w:rsidR="00AB4637" w:rsidRPr="00CB06A0" w:rsidRDefault="00AB4637" w:rsidP="00AB4637">
      <w:pPr>
        <w:pStyle w:val="H23G"/>
      </w:pPr>
      <w:r w:rsidRPr="00CB06A0">
        <w:lastRenderedPageBreak/>
        <w:tab/>
      </w:r>
      <w:r w:rsidR="00EB6737">
        <w:t>8</w:t>
      </w:r>
      <w:r w:rsidRPr="00CB06A0">
        <w:t>.</w:t>
      </w:r>
      <w:r w:rsidRPr="00CB06A0">
        <w:tab/>
      </w:r>
      <w:r>
        <w:t>Section 1</w:t>
      </w:r>
      <w:r w:rsidR="007C44AE">
        <w:t>6</w:t>
      </w:r>
      <w:r>
        <w:t xml:space="preserve">, </w:t>
      </w:r>
      <w:r w:rsidR="007C44AE">
        <w:t>16.6.1.4.7</w:t>
      </w:r>
      <w:r w:rsidR="00963445">
        <w:t>, second sentence</w:t>
      </w:r>
    </w:p>
    <w:p w14:paraId="5DD6AA3E" w14:textId="77777777" w:rsidR="00B946DC" w:rsidRDefault="00B946DC" w:rsidP="00B946DC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>boxes 35 and 36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>boxes 38 and 39</w:t>
      </w:r>
    </w:p>
    <w:p w14:paraId="20C8002C" w14:textId="54CB6448" w:rsidR="00AB4637" w:rsidRPr="00CB06A0" w:rsidRDefault="00AB4637" w:rsidP="00AB4637">
      <w:pPr>
        <w:pStyle w:val="H23G"/>
      </w:pPr>
      <w:r w:rsidRPr="00CB06A0">
        <w:tab/>
      </w:r>
      <w:r w:rsidR="00EB6737">
        <w:t>9</w:t>
      </w:r>
      <w:r w:rsidRPr="00CB06A0">
        <w:t>.</w:t>
      </w:r>
      <w:r w:rsidRPr="00CB06A0">
        <w:tab/>
      </w:r>
      <w:r>
        <w:t>Section 1</w:t>
      </w:r>
      <w:r w:rsidR="007C44AE">
        <w:t>7</w:t>
      </w:r>
      <w:r>
        <w:t>, 1</w:t>
      </w:r>
      <w:r w:rsidR="007C44AE">
        <w:t>7.</w:t>
      </w:r>
      <w:r>
        <w:t xml:space="preserve">1, </w:t>
      </w:r>
      <w:r w:rsidR="00EC1D40">
        <w:t>first</w:t>
      </w:r>
      <w:r>
        <w:t xml:space="preserve"> sentence</w:t>
      </w:r>
    </w:p>
    <w:p w14:paraId="33BB5A12" w14:textId="711B95C8" w:rsidR="00AB4637" w:rsidRDefault="00AB4637" w:rsidP="00AB4637">
      <w:pPr>
        <w:pStyle w:val="SingleTxtG"/>
      </w:pPr>
      <w:r w:rsidRPr="00CB06A0">
        <w:rPr>
          <w:i/>
          <w:iCs/>
        </w:rPr>
        <w:t>For</w:t>
      </w:r>
      <w:r w:rsidRPr="00CB06A0">
        <w:t xml:space="preserve"> </w:t>
      </w:r>
      <w:r>
        <w:t xml:space="preserve">box </w:t>
      </w:r>
      <w:r w:rsidR="00B946DC">
        <w:t>40</w:t>
      </w:r>
      <w:r w:rsidRPr="00CB06A0">
        <w:t xml:space="preserve"> </w:t>
      </w:r>
      <w:r w:rsidRPr="00CB06A0">
        <w:rPr>
          <w:i/>
          <w:iCs/>
        </w:rPr>
        <w:t>read</w:t>
      </w:r>
      <w:r w:rsidRPr="00CB06A0">
        <w:t xml:space="preserve"> </w:t>
      </w:r>
      <w:r>
        <w:t xml:space="preserve">box </w:t>
      </w:r>
      <w:r w:rsidR="00B946DC">
        <w:t>23</w:t>
      </w:r>
    </w:p>
    <w:p w14:paraId="2AC13B17" w14:textId="50A2BF3A" w:rsidR="00A948AD" w:rsidRPr="00954CF1" w:rsidRDefault="00A948AD" w:rsidP="00A948AD">
      <w:pPr>
        <w:pStyle w:val="H23G"/>
      </w:pPr>
      <w:r>
        <w:tab/>
      </w:r>
      <w:r w:rsidR="00EB6737">
        <w:t>10</w:t>
      </w:r>
      <w:r>
        <w:t>.</w:t>
      </w:r>
      <w:r>
        <w:tab/>
      </w:r>
      <w:r w:rsidRPr="00954CF1">
        <w:t xml:space="preserve">Section </w:t>
      </w:r>
      <w:r>
        <w:t>21</w:t>
      </w:r>
      <w:r w:rsidRPr="00954CF1">
        <w:t xml:space="preserve">, </w:t>
      </w:r>
      <w:r>
        <w:t>21.2.2, first sentence, text in parentheses</w:t>
      </w:r>
    </w:p>
    <w:p w14:paraId="52049F2C" w14:textId="77777777" w:rsidR="00A948AD" w:rsidRPr="00954CF1" w:rsidRDefault="00A948AD" w:rsidP="00A948AD">
      <w:pPr>
        <w:pStyle w:val="SingleTxtG"/>
      </w:pPr>
      <w:r w:rsidRPr="00954CF1">
        <w:t xml:space="preserve">For the existing text </w:t>
      </w:r>
      <w:r w:rsidRPr="00954CF1">
        <w:rPr>
          <w:i/>
          <w:iCs/>
        </w:rPr>
        <w:t>substitute</w:t>
      </w:r>
    </w:p>
    <w:p w14:paraId="165B2F35" w14:textId="77777777" w:rsidR="00A948AD" w:rsidRDefault="00A948AD" w:rsidP="00A948AD">
      <w:pPr>
        <w:pStyle w:val="SingleTxtG"/>
      </w:pPr>
      <w:r w:rsidRPr="003431AB">
        <w:t>(any test of series F for peroxides, and any test of series F except test F.4 for self-reactive substances)</w:t>
      </w:r>
    </w:p>
    <w:p w14:paraId="6DB08C47" w14:textId="52FFC238" w:rsidR="00432EBA" w:rsidRPr="00954CF1" w:rsidRDefault="00432EBA" w:rsidP="00432EBA">
      <w:pPr>
        <w:pStyle w:val="H23G"/>
      </w:pPr>
      <w:r>
        <w:tab/>
      </w:r>
      <w:r w:rsidR="00EB6737">
        <w:t>11</w:t>
      </w:r>
      <w:r>
        <w:t>.</w:t>
      </w:r>
      <w:r>
        <w:tab/>
      </w:r>
      <w:r w:rsidRPr="00954CF1">
        <w:t xml:space="preserve">Section </w:t>
      </w:r>
      <w:r>
        <w:t>26</w:t>
      </w:r>
      <w:r w:rsidRPr="00954CF1">
        <w:t xml:space="preserve">, </w:t>
      </w:r>
      <w:r>
        <w:t>26.1.2</w:t>
      </w:r>
    </w:p>
    <w:p w14:paraId="29027CDA" w14:textId="4AFA59AB" w:rsidR="00432EBA" w:rsidRDefault="00432EBA" w:rsidP="00432EBA">
      <w:pPr>
        <w:pStyle w:val="SingleTxtG"/>
      </w:pPr>
      <w:r w:rsidRPr="00B256E9">
        <w:rPr>
          <w:i/>
          <w:iCs/>
        </w:rPr>
        <w:t>Delete</w:t>
      </w:r>
      <w:r>
        <w:t xml:space="preserve"> </w:t>
      </w:r>
      <w:r w:rsidRPr="003431AB">
        <w:t>, except test F.5,</w:t>
      </w:r>
      <w:r>
        <w:t xml:space="preserve"> </w:t>
      </w:r>
      <w:r w:rsidRPr="00302041">
        <w:rPr>
          <w:i/>
          <w:iCs/>
        </w:rPr>
        <w:t>after</w:t>
      </w:r>
      <w:r>
        <w:t xml:space="preserve"> </w:t>
      </w:r>
      <w:r w:rsidRPr="003431AB">
        <w:t>All the tests</w:t>
      </w:r>
    </w:p>
    <w:p w14:paraId="71276195" w14:textId="201EF86A" w:rsidR="00432EBA" w:rsidRPr="00954CF1" w:rsidRDefault="00432EBA" w:rsidP="00432EBA">
      <w:pPr>
        <w:pStyle w:val="H23G"/>
      </w:pPr>
      <w:r>
        <w:tab/>
      </w:r>
      <w:r w:rsidR="00EB6737">
        <w:t>12</w:t>
      </w:r>
      <w:r>
        <w:t>.</w:t>
      </w:r>
      <w:r>
        <w:tab/>
      </w:r>
      <w:r w:rsidRPr="00954CF1">
        <w:t xml:space="preserve">Section </w:t>
      </w:r>
      <w:r>
        <w:t>26</w:t>
      </w:r>
      <w:r w:rsidRPr="00954CF1">
        <w:t xml:space="preserve">, </w:t>
      </w:r>
      <w:r>
        <w:t>26.2</w:t>
      </w:r>
      <w:r w:rsidR="00655F53">
        <w:t xml:space="preserve">, </w:t>
      </w:r>
      <w:r w:rsidR="00B12A04">
        <w:t>t</w:t>
      </w:r>
      <w:r w:rsidR="00655F53">
        <w:t>able 26.1</w:t>
      </w:r>
    </w:p>
    <w:p w14:paraId="0ED79588" w14:textId="54120174" w:rsidR="00432EBA" w:rsidRDefault="00711089" w:rsidP="00432EBA">
      <w:pPr>
        <w:pStyle w:val="SingleTxtG"/>
      </w:pPr>
      <w:r>
        <w:t>Delete t</w:t>
      </w:r>
      <w:r w:rsidR="00655F53" w:rsidRPr="00655F53">
        <w:t>he row for F.5</w:t>
      </w:r>
      <w:r>
        <w:t>.</w:t>
      </w:r>
    </w:p>
    <w:p w14:paraId="27CCF427" w14:textId="375BABDF" w:rsidR="00E20B72" w:rsidRPr="00CB06A0" w:rsidRDefault="00E20B72" w:rsidP="00E20B72">
      <w:pPr>
        <w:pStyle w:val="H23G"/>
      </w:pPr>
      <w:r w:rsidRPr="00CB06A0">
        <w:tab/>
      </w:r>
      <w:r w:rsidR="00EB6737">
        <w:t>13</w:t>
      </w:r>
      <w:r w:rsidRPr="00CB06A0">
        <w:t>.</w:t>
      </w:r>
      <w:r w:rsidRPr="00CB06A0">
        <w:tab/>
      </w:r>
      <w:r>
        <w:t xml:space="preserve">Section 37, </w:t>
      </w:r>
      <w:r w:rsidRPr="003B5227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7.4.4.1</w:t>
      </w:r>
      <w:r w:rsidR="00C15238">
        <w:rPr>
          <w:rFonts w:asciiTheme="majorBidi" w:hAnsiTheme="majorBidi" w:cstheme="majorBidi"/>
        </w:rPr>
        <w:t>, second sentence</w:t>
      </w:r>
    </w:p>
    <w:p w14:paraId="7F071835" w14:textId="77777777" w:rsidR="00C15238" w:rsidRPr="003E368F" w:rsidRDefault="00C15238" w:rsidP="00C15238">
      <w:pPr>
        <w:pStyle w:val="SingleTxtG"/>
      </w:pPr>
      <w:r w:rsidRPr="003E368F">
        <w:t>The correction does not apply to the English version</w:t>
      </w:r>
      <w:r>
        <w:t>.</w:t>
      </w:r>
    </w:p>
    <w:p w14:paraId="474217E7" w14:textId="048DB31D" w:rsidR="00B145E2" w:rsidRPr="00CB06A0" w:rsidRDefault="00B145E2" w:rsidP="00B145E2">
      <w:pPr>
        <w:pStyle w:val="H23G"/>
      </w:pPr>
      <w:r w:rsidRPr="00CB06A0">
        <w:tab/>
      </w:r>
      <w:r>
        <w:t>1</w:t>
      </w:r>
      <w:r w:rsidR="00D51020">
        <w:t>4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>3 (b) (ii)</w:t>
      </w:r>
    </w:p>
    <w:p w14:paraId="4D9BE5A3" w14:textId="77777777" w:rsidR="00B145E2" w:rsidRPr="003E368F" w:rsidRDefault="00B145E2" w:rsidP="00B145E2">
      <w:pPr>
        <w:pStyle w:val="SingleTxtG"/>
      </w:pPr>
      <w:r w:rsidRPr="003E368F">
        <w:t>The correction does not apply to the English version</w:t>
      </w:r>
      <w:r>
        <w:t>.</w:t>
      </w:r>
    </w:p>
    <w:p w14:paraId="1DEE4DF1" w14:textId="36D95B78" w:rsidR="00B145E2" w:rsidRPr="00CB06A0" w:rsidRDefault="00B145E2" w:rsidP="00B145E2">
      <w:pPr>
        <w:pStyle w:val="H23G"/>
      </w:pPr>
      <w:r w:rsidRPr="00CB06A0">
        <w:tab/>
      </w:r>
      <w:r>
        <w:t>1</w:t>
      </w:r>
      <w:r w:rsidR="00D51020">
        <w:t>5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>3</w:t>
      </w:r>
      <w:r w:rsidR="006D1AB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6D1AB5">
        <w:rPr>
          <w:rFonts w:eastAsia="SimSun"/>
          <w:iCs/>
          <w:lang w:eastAsia="zh-CN"/>
        </w:rPr>
        <w:t>sub-paragraphs</w:t>
      </w:r>
      <w:r w:rsidR="00465785">
        <w:rPr>
          <w:rFonts w:eastAsia="SimSun"/>
          <w:iCs/>
          <w:lang w:eastAsia="zh-CN"/>
        </w:rPr>
        <w:t xml:space="preserve"> (</w:t>
      </w:r>
      <w:r w:rsidR="00465785">
        <w:rPr>
          <w:rFonts w:asciiTheme="majorBidi" w:hAnsiTheme="majorBidi" w:cstheme="majorBidi"/>
          <w:lang w:val="fr-FR"/>
        </w:rPr>
        <w:t>b) (iv), (b) (vi), (c) (iii), (c) (iv), (d) (ii), (d) (iv), (e) (v) and (e) (vi)</w:t>
      </w:r>
    </w:p>
    <w:p w14:paraId="5A30D0EB" w14:textId="77777777" w:rsidR="00B145E2" w:rsidRPr="003E368F" w:rsidRDefault="00B145E2" w:rsidP="00B145E2">
      <w:pPr>
        <w:pStyle w:val="SingleTxtG"/>
      </w:pPr>
      <w:r w:rsidRPr="003E368F">
        <w:t>The correction does not apply to the English version</w:t>
      </w:r>
      <w:r>
        <w:t>.</w:t>
      </w:r>
    </w:p>
    <w:p w14:paraId="3DADCC7F" w14:textId="73A16C34" w:rsidR="00190F20" w:rsidRPr="00CB06A0" w:rsidRDefault="00190F20" w:rsidP="00190F20">
      <w:pPr>
        <w:pStyle w:val="H23G"/>
      </w:pPr>
      <w:r w:rsidRPr="00CB06A0">
        <w:tab/>
      </w:r>
      <w:r w:rsidR="00EB6737">
        <w:t>1</w:t>
      </w:r>
      <w:r w:rsidR="00D51020">
        <w:t>6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>3 (f)</w:t>
      </w:r>
    </w:p>
    <w:p w14:paraId="568E4D2C" w14:textId="77777777" w:rsidR="007A7E6C" w:rsidRPr="003E368F" w:rsidRDefault="007A7E6C" w:rsidP="007A7E6C">
      <w:pPr>
        <w:pStyle w:val="SingleTxtG"/>
      </w:pPr>
      <w:r w:rsidRPr="003E368F">
        <w:t>The correction does not apply to the English version</w:t>
      </w:r>
      <w:r>
        <w:t>.</w:t>
      </w:r>
    </w:p>
    <w:p w14:paraId="57A32162" w14:textId="129BB112" w:rsidR="00190F20" w:rsidRPr="00CB06A0" w:rsidRDefault="00190F20" w:rsidP="00190F20">
      <w:pPr>
        <w:pStyle w:val="H23G"/>
      </w:pPr>
      <w:r w:rsidRPr="00CB06A0">
        <w:tab/>
      </w:r>
      <w:r w:rsidR="00EB6737">
        <w:t>1</w:t>
      </w:r>
      <w:r w:rsidR="00D51020">
        <w:t>7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>3 (g)</w:t>
      </w:r>
    </w:p>
    <w:p w14:paraId="76054CC4" w14:textId="77777777" w:rsidR="00F95899" w:rsidRPr="003E368F" w:rsidRDefault="00F95899" w:rsidP="00F95899">
      <w:pPr>
        <w:pStyle w:val="SingleTxtG"/>
      </w:pPr>
      <w:r w:rsidRPr="003E368F">
        <w:t>The correction does not apply to the English version</w:t>
      </w:r>
      <w:r>
        <w:t>.</w:t>
      </w:r>
    </w:p>
    <w:p w14:paraId="6D149B74" w14:textId="58AE2FDA" w:rsidR="003736C5" w:rsidRPr="00CB06A0" w:rsidRDefault="003736C5" w:rsidP="003736C5">
      <w:pPr>
        <w:pStyle w:val="H23G"/>
      </w:pPr>
      <w:r w:rsidRPr="00CB06A0">
        <w:tab/>
      </w:r>
      <w:r w:rsidR="00EB6737">
        <w:t>1</w:t>
      </w:r>
      <w:r w:rsidR="00D51020">
        <w:t>8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 xml:space="preserve">3.1, table 38.3.2, first column, last </w:t>
      </w:r>
      <w:r w:rsidR="000E7F2E">
        <w:rPr>
          <w:rFonts w:asciiTheme="majorBidi" w:hAnsiTheme="majorBidi" w:cstheme="majorBidi"/>
        </w:rPr>
        <w:t>two rows</w:t>
      </w:r>
    </w:p>
    <w:p w14:paraId="4A9C9326" w14:textId="77777777" w:rsidR="003736C5" w:rsidRPr="003E368F" w:rsidRDefault="003736C5" w:rsidP="003736C5">
      <w:pPr>
        <w:pStyle w:val="SingleTxtG"/>
      </w:pPr>
      <w:r w:rsidRPr="003E368F">
        <w:t>The correction does not apply to the English version</w:t>
      </w:r>
      <w:r>
        <w:t>.</w:t>
      </w:r>
    </w:p>
    <w:p w14:paraId="09991109" w14:textId="4F6C321E" w:rsidR="003736C5" w:rsidRPr="00CB06A0" w:rsidRDefault="003736C5" w:rsidP="003736C5">
      <w:pPr>
        <w:pStyle w:val="H23G"/>
      </w:pPr>
      <w:r w:rsidRPr="00CB06A0">
        <w:tab/>
      </w:r>
      <w:r w:rsidR="00D51020">
        <w:t>19</w:t>
      </w:r>
      <w:r w:rsidRPr="00CB06A0">
        <w:t>.</w:t>
      </w:r>
      <w:r w:rsidRPr="00CB06A0">
        <w:tab/>
      </w:r>
      <w:r>
        <w:t xml:space="preserve">Section 38, </w:t>
      </w:r>
      <w:r w:rsidRPr="003B5227">
        <w:rPr>
          <w:rFonts w:asciiTheme="majorBidi" w:hAnsiTheme="majorBidi" w:cstheme="majorBidi"/>
        </w:rPr>
        <w:t>38.3.</w:t>
      </w:r>
      <w:r>
        <w:rPr>
          <w:rFonts w:asciiTheme="majorBidi" w:hAnsiTheme="majorBidi" w:cstheme="majorBidi"/>
        </w:rPr>
        <w:t>3.1, table 38.3.3, heading for column “T.7”</w:t>
      </w:r>
    </w:p>
    <w:p w14:paraId="502F30C1" w14:textId="77777777" w:rsidR="003736C5" w:rsidRPr="003E368F" w:rsidRDefault="003736C5" w:rsidP="003736C5">
      <w:pPr>
        <w:pStyle w:val="SingleTxtG"/>
      </w:pPr>
      <w:r w:rsidRPr="003E368F">
        <w:t>The correction does not apply to the English version</w:t>
      </w:r>
      <w:r>
        <w:t>.</w:t>
      </w:r>
    </w:p>
    <w:p w14:paraId="453EFAB7" w14:textId="52BE7698" w:rsidR="00550447" w:rsidRPr="003C629B" w:rsidRDefault="00550447" w:rsidP="00550447">
      <w:pPr>
        <w:pStyle w:val="H23G"/>
      </w:pPr>
      <w:r w:rsidRPr="00C54F00">
        <w:tab/>
      </w:r>
      <w:r w:rsidR="00EB6737" w:rsidRPr="003C629B">
        <w:t>2</w:t>
      </w:r>
      <w:r w:rsidR="00D51020" w:rsidRPr="003C629B">
        <w:t>0</w:t>
      </w:r>
      <w:r w:rsidRPr="003C629B">
        <w:t>.</w:t>
      </w:r>
      <w:r w:rsidRPr="003C629B">
        <w:tab/>
        <w:t>Appendix</w:t>
      </w:r>
      <w:r w:rsidR="00C019EA" w:rsidRPr="003C629B">
        <w:t xml:space="preserve"> 6, </w:t>
      </w:r>
      <w:r w:rsidR="00C019EA" w:rsidRPr="003C629B">
        <w:rPr>
          <w:lang w:val="en-US"/>
        </w:rPr>
        <w:t>A6.3.3 (c)</w:t>
      </w:r>
      <w:r w:rsidR="00663B36">
        <w:rPr>
          <w:lang w:val="en-US"/>
        </w:rPr>
        <w:t xml:space="preserve"> (ii)</w:t>
      </w:r>
    </w:p>
    <w:p w14:paraId="0EA0AD54" w14:textId="77777777" w:rsidR="003C629B" w:rsidRPr="00954CF1" w:rsidRDefault="003C629B" w:rsidP="003C629B">
      <w:pPr>
        <w:pStyle w:val="SingleTxtG"/>
      </w:pPr>
      <w:r w:rsidRPr="00954CF1">
        <w:t xml:space="preserve">For the existing text </w:t>
      </w:r>
      <w:r w:rsidRPr="00954CF1">
        <w:rPr>
          <w:i/>
          <w:iCs/>
        </w:rPr>
        <w:t>substitute</w:t>
      </w:r>
    </w:p>
    <w:p w14:paraId="73BCE267" w14:textId="00EA5A02" w:rsidR="004121A0" w:rsidRDefault="004121A0" w:rsidP="00663B36">
      <w:pPr>
        <w:pStyle w:val="SingleTxtG"/>
        <w:ind w:left="1701" w:hanging="567"/>
      </w:pPr>
      <w:r>
        <w:t>(ii)</w:t>
      </w:r>
      <w:r>
        <w:tab/>
        <w:t>when the onset of exothermic decomposition is 500 °C or above</w:t>
      </w:r>
      <w:r w:rsidR="00C24093">
        <w:t>,</w:t>
      </w:r>
    </w:p>
    <w:p w14:paraId="607508AE" w14:textId="49F25AFA" w:rsidR="004121A0" w:rsidRPr="003E368F" w:rsidRDefault="004121A0" w:rsidP="00886EEE">
      <w:pPr>
        <w:pStyle w:val="SingleTxtG"/>
        <w:ind w:left="1701" w:hanging="567"/>
      </w:pPr>
      <w:r>
        <w:t>as indicated by Table A6.2.</w:t>
      </w:r>
    </w:p>
    <w:p w14:paraId="7E37B761" w14:textId="32151245" w:rsidR="00DD396E" w:rsidRPr="009B1182" w:rsidRDefault="00062404" w:rsidP="009B1182">
      <w:pPr>
        <w:pStyle w:val="SingleTxtG"/>
        <w:spacing w:before="240" w:after="0"/>
        <w:jc w:val="center"/>
        <w:rPr>
          <w:u w:val="single"/>
        </w:rPr>
      </w:pPr>
      <w:r w:rsidRPr="00EC132E">
        <w:rPr>
          <w:u w:val="single"/>
        </w:rPr>
        <w:tab/>
      </w:r>
      <w:r w:rsidRPr="00EC132E">
        <w:rPr>
          <w:u w:val="single"/>
        </w:rPr>
        <w:tab/>
      </w:r>
      <w:r w:rsidRPr="00EC132E">
        <w:rPr>
          <w:u w:val="single"/>
        </w:rPr>
        <w:tab/>
      </w:r>
    </w:p>
    <w:sectPr w:rsidR="00DD396E" w:rsidRPr="009B1182" w:rsidSect="00404C9F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134" w:right="1134" w:bottom="1701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99A2" w14:textId="77777777" w:rsidR="006C0ACB" w:rsidRDefault="006C0ACB" w:rsidP="007A19E1">
      <w:pPr>
        <w:spacing w:line="240" w:lineRule="auto"/>
      </w:pPr>
      <w:r>
        <w:separator/>
      </w:r>
    </w:p>
  </w:endnote>
  <w:endnote w:type="continuationSeparator" w:id="0">
    <w:p w14:paraId="71C7CF75" w14:textId="77777777" w:rsidR="006C0ACB" w:rsidRDefault="006C0ACB" w:rsidP="007A19E1">
      <w:pPr>
        <w:spacing w:line="240" w:lineRule="auto"/>
      </w:pPr>
      <w:r>
        <w:continuationSeparator/>
      </w:r>
    </w:p>
  </w:endnote>
  <w:endnote w:type="continuationNotice" w:id="1">
    <w:p w14:paraId="454CA14C" w14:textId="77777777" w:rsidR="006C0ACB" w:rsidRDefault="006C0A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26056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F5E0" w14:textId="77777777" w:rsidR="006E4ABC" w:rsidRPr="00BE3334" w:rsidRDefault="006E4ABC" w:rsidP="00BE3334">
        <w:pPr>
          <w:pStyle w:val="Footer"/>
          <w:jc w:val="right"/>
          <w:rPr>
            <w:b/>
            <w:bCs/>
          </w:rPr>
        </w:pPr>
        <w:r w:rsidRPr="00BE3334">
          <w:rPr>
            <w:b/>
            <w:bCs/>
          </w:rPr>
          <w:fldChar w:fldCharType="begin"/>
        </w:r>
        <w:r w:rsidRPr="00BE3334">
          <w:rPr>
            <w:b/>
            <w:bCs/>
          </w:rPr>
          <w:instrText xml:space="preserve"> PAGE   \* MERGEFORMAT </w:instrText>
        </w:r>
        <w:r w:rsidRPr="00BE3334">
          <w:rPr>
            <w:b/>
            <w:bCs/>
          </w:rPr>
          <w:fldChar w:fldCharType="separate"/>
        </w:r>
        <w:r w:rsidRPr="00BE3334">
          <w:rPr>
            <w:b/>
            <w:bCs/>
            <w:noProof/>
          </w:rPr>
          <w:t>2</w:t>
        </w:r>
        <w:r w:rsidRPr="00BE3334">
          <w:rPr>
            <w:b/>
            <w:bCs/>
            <w:noProof/>
          </w:rPr>
          <w:fldChar w:fldCharType="end"/>
        </w:r>
      </w:p>
    </w:sdtContent>
  </w:sdt>
  <w:p w14:paraId="183C57C3" w14:textId="77777777" w:rsidR="006E4ABC" w:rsidRDefault="006E4ABC" w:rsidP="00BE3334">
    <w:pPr>
      <w:pStyle w:val="Footer"/>
      <w:ind w:right="240"/>
      <w:jc w:val="right"/>
    </w:pPr>
  </w:p>
  <w:p w14:paraId="5DFF8EF5" w14:textId="77777777" w:rsidR="006E4ABC" w:rsidRDefault="006E4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D784" w14:textId="02B18FF2" w:rsidR="007404C6" w:rsidRDefault="007404C6" w:rsidP="00915965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ST/SG/AC.10/1</w:t>
    </w:r>
    <w:r w:rsidR="0040361B"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 w:rsidR="0040361B"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 w:rsidR="0096606C">
      <w:rPr>
        <w:b/>
        <w:bCs/>
        <w:sz w:val="24"/>
        <w:szCs w:val="24"/>
      </w:rPr>
      <w:t>2</w:t>
    </w:r>
    <w:r w:rsidRPr="00C97CDF">
      <w:rPr>
        <w:b/>
        <w:bCs/>
        <w:sz w:val="24"/>
        <w:szCs w:val="24"/>
      </w:rPr>
      <w:br/>
    </w:r>
    <w:r w:rsidRPr="00C97CDF">
      <w:rPr>
        <w:b/>
        <w:bCs/>
        <w:sz w:val="24"/>
        <w:szCs w:val="24"/>
        <w:lang w:val="en-US"/>
      </w:rPr>
      <w:t>English</w:t>
    </w:r>
    <w:r w:rsidRPr="00C97CDF">
      <w:rPr>
        <w:b/>
        <w:bCs/>
        <w:sz w:val="24"/>
        <w:szCs w:val="24"/>
        <w:lang w:val="en-US"/>
      </w:rPr>
      <w:br/>
      <w:t>Original: English</w:t>
    </w:r>
    <w:r w:rsidR="0096606C">
      <w:rPr>
        <w:b/>
        <w:bCs/>
        <w:sz w:val="24"/>
        <w:szCs w:val="24"/>
        <w:lang w:val="en-US"/>
      </w:rPr>
      <w:t>,</w:t>
    </w:r>
    <w:r>
      <w:rPr>
        <w:b/>
        <w:bCs/>
        <w:sz w:val="24"/>
        <w:szCs w:val="24"/>
        <w:lang w:val="en-US"/>
      </w:rPr>
      <w:t xml:space="preserve"> French</w:t>
    </w:r>
    <w:r w:rsidRPr="00C97CDF">
      <w:rPr>
        <w:b/>
        <w:bCs/>
        <w:sz w:val="24"/>
        <w:szCs w:val="24"/>
        <w:lang w:val="en-US"/>
      </w:rPr>
      <w:t xml:space="preserve"> </w:t>
    </w:r>
    <w:r w:rsidR="0096606C">
      <w:rPr>
        <w:b/>
        <w:bCs/>
        <w:sz w:val="24"/>
        <w:szCs w:val="24"/>
        <w:lang w:val="en-US"/>
      </w:rPr>
      <w:t>and Spanish</w:t>
    </w:r>
  </w:p>
  <w:p w14:paraId="1FBAAA4F" w14:textId="70EBFAA6" w:rsidR="00404C9F" w:rsidRDefault="00404C9F" w:rsidP="00404C9F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BCBB34" wp14:editId="67B07CE0">
          <wp:simplePos x="0" y="0"/>
          <wp:positionH relativeFrom="margin">
            <wp:posOffset>5483225</wp:posOffset>
          </wp:positionH>
          <wp:positionV relativeFrom="margin">
            <wp:posOffset>8571549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6406F62" wp14:editId="3D5C7878">
          <wp:simplePos x="0" y="0"/>
          <wp:positionH relativeFrom="column">
            <wp:posOffset>4441190</wp:posOffset>
          </wp:positionH>
          <wp:positionV relativeFrom="page">
            <wp:posOffset>9652000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44A3A" w14:textId="3185543C" w:rsidR="00404C9F" w:rsidRPr="002A7940" w:rsidRDefault="00404C9F" w:rsidP="00404C9F">
    <w:pPr>
      <w:pStyle w:val="Footer"/>
      <w:ind w:right="1134"/>
      <w:rPr>
        <w:sz w:val="20"/>
      </w:rPr>
    </w:pPr>
    <w:r>
      <w:rPr>
        <w:sz w:val="20"/>
      </w:rPr>
      <w:t>GE.22-11643(E)</w:t>
    </w:r>
  </w:p>
  <w:p w14:paraId="6D097AD8" w14:textId="6207976D" w:rsidR="00404C9F" w:rsidRDefault="00404C9F" w:rsidP="00404C9F">
    <w:pP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22BE" w14:textId="77777777" w:rsidR="006C0ACB" w:rsidRDefault="006C0ACB" w:rsidP="007A19E1">
      <w:pPr>
        <w:spacing w:line="240" w:lineRule="auto"/>
      </w:pPr>
      <w:r>
        <w:separator/>
      </w:r>
    </w:p>
  </w:footnote>
  <w:footnote w:type="continuationSeparator" w:id="0">
    <w:p w14:paraId="0D4B1D1B" w14:textId="77777777" w:rsidR="006C0ACB" w:rsidRDefault="006C0ACB" w:rsidP="007A19E1">
      <w:pPr>
        <w:spacing w:line="240" w:lineRule="auto"/>
      </w:pPr>
      <w:r>
        <w:continuationSeparator/>
      </w:r>
    </w:p>
  </w:footnote>
  <w:footnote w:type="continuationNotice" w:id="1">
    <w:p w14:paraId="72D5F69B" w14:textId="77777777" w:rsidR="006C0ACB" w:rsidRDefault="006C0A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D19" w14:textId="3CFC2F19" w:rsidR="00BC4585" w:rsidRDefault="00BC4585" w:rsidP="00BC4585">
    <w:pPr>
      <w:pStyle w:val="Header"/>
      <w:jc w:val="right"/>
    </w:pPr>
    <w:r>
      <w:t>ST/SG/AC.10/</w:t>
    </w:r>
    <w:r w:rsidR="001C5E2C">
      <w:t>11</w:t>
    </w:r>
    <w:r>
      <w:t>/Rev.</w:t>
    </w:r>
    <w:r w:rsidR="001C5E2C">
      <w:t>7</w:t>
    </w:r>
    <w:r>
      <w:t>/Corr.</w:t>
    </w:r>
    <w:r w:rsidR="005C2E1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064"/>
    <w:multiLevelType w:val="hybridMultilevel"/>
    <w:tmpl w:val="FFE0CFD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6F1A"/>
    <w:rsid w:val="000079D9"/>
    <w:rsid w:val="000123F2"/>
    <w:rsid w:val="0002513E"/>
    <w:rsid w:val="00026035"/>
    <w:rsid w:val="00031C4E"/>
    <w:rsid w:val="00036F91"/>
    <w:rsid w:val="00037D33"/>
    <w:rsid w:val="00043EAB"/>
    <w:rsid w:val="00062404"/>
    <w:rsid w:val="000661E7"/>
    <w:rsid w:val="00071E87"/>
    <w:rsid w:val="00094DD0"/>
    <w:rsid w:val="000A560C"/>
    <w:rsid w:val="000A5A90"/>
    <w:rsid w:val="000A7758"/>
    <w:rsid w:val="000B1D0C"/>
    <w:rsid w:val="000B2A0F"/>
    <w:rsid w:val="000B7B2C"/>
    <w:rsid w:val="000C56DC"/>
    <w:rsid w:val="000D59BC"/>
    <w:rsid w:val="000E1771"/>
    <w:rsid w:val="000E6DBF"/>
    <w:rsid w:val="000E7F2E"/>
    <w:rsid w:val="00102FE9"/>
    <w:rsid w:val="001074D9"/>
    <w:rsid w:val="001114AB"/>
    <w:rsid w:val="001153C0"/>
    <w:rsid w:val="00121E33"/>
    <w:rsid w:val="00122FDC"/>
    <w:rsid w:val="001276DC"/>
    <w:rsid w:val="00140D9E"/>
    <w:rsid w:val="00142BEE"/>
    <w:rsid w:val="00147BF6"/>
    <w:rsid w:val="001742A3"/>
    <w:rsid w:val="00186D17"/>
    <w:rsid w:val="00190AAA"/>
    <w:rsid w:val="00190F20"/>
    <w:rsid w:val="0019258A"/>
    <w:rsid w:val="001931D8"/>
    <w:rsid w:val="001A4467"/>
    <w:rsid w:val="001B2865"/>
    <w:rsid w:val="001B6A23"/>
    <w:rsid w:val="001B6B1A"/>
    <w:rsid w:val="001C0492"/>
    <w:rsid w:val="001C0724"/>
    <w:rsid w:val="001C56F6"/>
    <w:rsid w:val="001C59B5"/>
    <w:rsid w:val="001C5E2C"/>
    <w:rsid w:val="001C74BB"/>
    <w:rsid w:val="001C7E94"/>
    <w:rsid w:val="001D2831"/>
    <w:rsid w:val="001E0DF3"/>
    <w:rsid w:val="001E2FFB"/>
    <w:rsid w:val="001F3F1A"/>
    <w:rsid w:val="001F59D3"/>
    <w:rsid w:val="00202DFA"/>
    <w:rsid w:val="002126D8"/>
    <w:rsid w:val="00214B85"/>
    <w:rsid w:val="002166AF"/>
    <w:rsid w:val="00216C2F"/>
    <w:rsid w:val="00222018"/>
    <w:rsid w:val="0024622B"/>
    <w:rsid w:val="00246E73"/>
    <w:rsid w:val="00250D79"/>
    <w:rsid w:val="002630CD"/>
    <w:rsid w:val="00272F40"/>
    <w:rsid w:val="0027775C"/>
    <w:rsid w:val="002D5A0D"/>
    <w:rsid w:val="002E5897"/>
    <w:rsid w:val="002F37E7"/>
    <w:rsid w:val="00302041"/>
    <w:rsid w:val="0030458C"/>
    <w:rsid w:val="003429DC"/>
    <w:rsid w:val="00371E08"/>
    <w:rsid w:val="003736C5"/>
    <w:rsid w:val="00376D9B"/>
    <w:rsid w:val="003832E7"/>
    <w:rsid w:val="00396489"/>
    <w:rsid w:val="003A0DEF"/>
    <w:rsid w:val="003A7869"/>
    <w:rsid w:val="003B0440"/>
    <w:rsid w:val="003C10B9"/>
    <w:rsid w:val="003C2AA5"/>
    <w:rsid w:val="003C3F5D"/>
    <w:rsid w:val="003C5D69"/>
    <w:rsid w:val="003C629B"/>
    <w:rsid w:val="003D1E3F"/>
    <w:rsid w:val="003E4A71"/>
    <w:rsid w:val="003F713E"/>
    <w:rsid w:val="0040361B"/>
    <w:rsid w:val="00404C9F"/>
    <w:rsid w:val="004121A0"/>
    <w:rsid w:val="00417EEA"/>
    <w:rsid w:val="00432EBA"/>
    <w:rsid w:val="00434A4D"/>
    <w:rsid w:val="00447192"/>
    <w:rsid w:val="0045222C"/>
    <w:rsid w:val="00453B5C"/>
    <w:rsid w:val="00454460"/>
    <w:rsid w:val="00464894"/>
    <w:rsid w:val="00465785"/>
    <w:rsid w:val="0047493E"/>
    <w:rsid w:val="0047787C"/>
    <w:rsid w:val="00483023"/>
    <w:rsid w:val="00484747"/>
    <w:rsid w:val="004869D9"/>
    <w:rsid w:val="004873EE"/>
    <w:rsid w:val="00493382"/>
    <w:rsid w:val="00493E50"/>
    <w:rsid w:val="004B4E15"/>
    <w:rsid w:val="004B5A77"/>
    <w:rsid w:val="004C3222"/>
    <w:rsid w:val="004D7E1A"/>
    <w:rsid w:val="004F10CF"/>
    <w:rsid w:val="004F3DF5"/>
    <w:rsid w:val="005018F6"/>
    <w:rsid w:val="00516264"/>
    <w:rsid w:val="00517A78"/>
    <w:rsid w:val="00520BF9"/>
    <w:rsid w:val="00522774"/>
    <w:rsid w:val="00534FBC"/>
    <w:rsid w:val="00550447"/>
    <w:rsid w:val="00563A4D"/>
    <w:rsid w:val="0056617B"/>
    <w:rsid w:val="00573214"/>
    <w:rsid w:val="00575CFA"/>
    <w:rsid w:val="005861C8"/>
    <w:rsid w:val="00590343"/>
    <w:rsid w:val="005A21D4"/>
    <w:rsid w:val="005A5BC6"/>
    <w:rsid w:val="005C0A3A"/>
    <w:rsid w:val="005C21FD"/>
    <w:rsid w:val="005C2E1F"/>
    <w:rsid w:val="005D3666"/>
    <w:rsid w:val="005F7983"/>
    <w:rsid w:val="00602F94"/>
    <w:rsid w:val="006159BC"/>
    <w:rsid w:val="006224A4"/>
    <w:rsid w:val="00627980"/>
    <w:rsid w:val="006346FD"/>
    <w:rsid w:val="00655F53"/>
    <w:rsid w:val="00663B36"/>
    <w:rsid w:val="00676A54"/>
    <w:rsid w:val="006801D3"/>
    <w:rsid w:val="00683ED1"/>
    <w:rsid w:val="0069356D"/>
    <w:rsid w:val="006B2262"/>
    <w:rsid w:val="006C0ACB"/>
    <w:rsid w:val="006C78DF"/>
    <w:rsid w:val="006D1AB5"/>
    <w:rsid w:val="006E1364"/>
    <w:rsid w:val="006E22FB"/>
    <w:rsid w:val="006E4ABC"/>
    <w:rsid w:val="006E4ACE"/>
    <w:rsid w:val="006E6241"/>
    <w:rsid w:val="006F7486"/>
    <w:rsid w:val="006F7727"/>
    <w:rsid w:val="00703013"/>
    <w:rsid w:val="00705955"/>
    <w:rsid w:val="00711089"/>
    <w:rsid w:val="00715CCA"/>
    <w:rsid w:val="0072511A"/>
    <w:rsid w:val="007275BB"/>
    <w:rsid w:val="007404C6"/>
    <w:rsid w:val="0075512D"/>
    <w:rsid w:val="00761FD1"/>
    <w:rsid w:val="00766CFC"/>
    <w:rsid w:val="00767DD7"/>
    <w:rsid w:val="0077307E"/>
    <w:rsid w:val="00776DAB"/>
    <w:rsid w:val="0078626F"/>
    <w:rsid w:val="007915E9"/>
    <w:rsid w:val="007A091F"/>
    <w:rsid w:val="007A19E1"/>
    <w:rsid w:val="007A2B60"/>
    <w:rsid w:val="007A6BE6"/>
    <w:rsid w:val="007A73A8"/>
    <w:rsid w:val="007A7E6C"/>
    <w:rsid w:val="007B2382"/>
    <w:rsid w:val="007C44AE"/>
    <w:rsid w:val="007C4BE7"/>
    <w:rsid w:val="007C5F5F"/>
    <w:rsid w:val="007F15E0"/>
    <w:rsid w:val="007F5BEB"/>
    <w:rsid w:val="007F6B1F"/>
    <w:rsid w:val="00805F19"/>
    <w:rsid w:val="0080692C"/>
    <w:rsid w:val="00815EE3"/>
    <w:rsid w:val="008201CF"/>
    <w:rsid w:val="0082319E"/>
    <w:rsid w:val="00825B38"/>
    <w:rsid w:val="00832789"/>
    <w:rsid w:val="00843033"/>
    <w:rsid w:val="00847351"/>
    <w:rsid w:val="00856301"/>
    <w:rsid w:val="00861602"/>
    <w:rsid w:val="0087074C"/>
    <w:rsid w:val="00886EEE"/>
    <w:rsid w:val="008948C5"/>
    <w:rsid w:val="008C4C5A"/>
    <w:rsid w:val="008D3281"/>
    <w:rsid w:val="008E3509"/>
    <w:rsid w:val="00905854"/>
    <w:rsid w:val="00905DCD"/>
    <w:rsid w:val="009108AA"/>
    <w:rsid w:val="00915965"/>
    <w:rsid w:val="00930F93"/>
    <w:rsid w:val="009411D8"/>
    <w:rsid w:val="00942F58"/>
    <w:rsid w:val="00946BFE"/>
    <w:rsid w:val="00954CF1"/>
    <w:rsid w:val="009564FC"/>
    <w:rsid w:val="009577E0"/>
    <w:rsid w:val="00963445"/>
    <w:rsid w:val="0096606C"/>
    <w:rsid w:val="00971889"/>
    <w:rsid w:val="00974E94"/>
    <w:rsid w:val="009A3DAB"/>
    <w:rsid w:val="009A6EA2"/>
    <w:rsid w:val="009B1182"/>
    <w:rsid w:val="009B77BB"/>
    <w:rsid w:val="009C509D"/>
    <w:rsid w:val="009E2D84"/>
    <w:rsid w:val="009E3565"/>
    <w:rsid w:val="009E5EAF"/>
    <w:rsid w:val="00A10FC8"/>
    <w:rsid w:val="00A251AE"/>
    <w:rsid w:val="00A51B37"/>
    <w:rsid w:val="00A52AA4"/>
    <w:rsid w:val="00A53EFC"/>
    <w:rsid w:val="00A644D8"/>
    <w:rsid w:val="00A6517E"/>
    <w:rsid w:val="00A65F7E"/>
    <w:rsid w:val="00A80B9C"/>
    <w:rsid w:val="00A948AD"/>
    <w:rsid w:val="00AA275F"/>
    <w:rsid w:val="00AA2E73"/>
    <w:rsid w:val="00AA5437"/>
    <w:rsid w:val="00AA63A7"/>
    <w:rsid w:val="00AB43A3"/>
    <w:rsid w:val="00AB4637"/>
    <w:rsid w:val="00AB5F31"/>
    <w:rsid w:val="00AB663D"/>
    <w:rsid w:val="00AC0204"/>
    <w:rsid w:val="00AC11BC"/>
    <w:rsid w:val="00AF06A2"/>
    <w:rsid w:val="00AF160B"/>
    <w:rsid w:val="00AF6340"/>
    <w:rsid w:val="00B03021"/>
    <w:rsid w:val="00B10600"/>
    <w:rsid w:val="00B12A04"/>
    <w:rsid w:val="00B145E2"/>
    <w:rsid w:val="00B15CE4"/>
    <w:rsid w:val="00B15F11"/>
    <w:rsid w:val="00B20F8F"/>
    <w:rsid w:val="00B21B6F"/>
    <w:rsid w:val="00B256E9"/>
    <w:rsid w:val="00B47B01"/>
    <w:rsid w:val="00B504BC"/>
    <w:rsid w:val="00B55AA6"/>
    <w:rsid w:val="00B7795D"/>
    <w:rsid w:val="00B846E8"/>
    <w:rsid w:val="00B946DC"/>
    <w:rsid w:val="00BA27A7"/>
    <w:rsid w:val="00BA5335"/>
    <w:rsid w:val="00BA5A6F"/>
    <w:rsid w:val="00BB2F00"/>
    <w:rsid w:val="00BC4585"/>
    <w:rsid w:val="00BC4C7C"/>
    <w:rsid w:val="00BD7E08"/>
    <w:rsid w:val="00BE3334"/>
    <w:rsid w:val="00BF6023"/>
    <w:rsid w:val="00C019EA"/>
    <w:rsid w:val="00C02EBE"/>
    <w:rsid w:val="00C1266B"/>
    <w:rsid w:val="00C1500E"/>
    <w:rsid w:val="00C15238"/>
    <w:rsid w:val="00C24093"/>
    <w:rsid w:val="00C2547F"/>
    <w:rsid w:val="00C30A5C"/>
    <w:rsid w:val="00C330B4"/>
    <w:rsid w:val="00C33622"/>
    <w:rsid w:val="00C36BA0"/>
    <w:rsid w:val="00C63D12"/>
    <w:rsid w:val="00C65283"/>
    <w:rsid w:val="00C67C90"/>
    <w:rsid w:val="00C84268"/>
    <w:rsid w:val="00C85F8C"/>
    <w:rsid w:val="00CA4325"/>
    <w:rsid w:val="00CB06A0"/>
    <w:rsid w:val="00CC1678"/>
    <w:rsid w:val="00CC3593"/>
    <w:rsid w:val="00CD1573"/>
    <w:rsid w:val="00CF2194"/>
    <w:rsid w:val="00CF4388"/>
    <w:rsid w:val="00D16CE7"/>
    <w:rsid w:val="00D34579"/>
    <w:rsid w:val="00D4669B"/>
    <w:rsid w:val="00D51020"/>
    <w:rsid w:val="00D55F53"/>
    <w:rsid w:val="00D5645B"/>
    <w:rsid w:val="00D6160F"/>
    <w:rsid w:val="00D62263"/>
    <w:rsid w:val="00D6597A"/>
    <w:rsid w:val="00D74DB1"/>
    <w:rsid w:val="00D81925"/>
    <w:rsid w:val="00D8274A"/>
    <w:rsid w:val="00DA6D5A"/>
    <w:rsid w:val="00DB2C6E"/>
    <w:rsid w:val="00DB4A5F"/>
    <w:rsid w:val="00DB74B4"/>
    <w:rsid w:val="00DC0CF5"/>
    <w:rsid w:val="00DC3458"/>
    <w:rsid w:val="00DD396E"/>
    <w:rsid w:val="00DD5B9B"/>
    <w:rsid w:val="00DE2662"/>
    <w:rsid w:val="00DF6F64"/>
    <w:rsid w:val="00E02A9C"/>
    <w:rsid w:val="00E106BA"/>
    <w:rsid w:val="00E11A87"/>
    <w:rsid w:val="00E148F7"/>
    <w:rsid w:val="00E20B72"/>
    <w:rsid w:val="00E41610"/>
    <w:rsid w:val="00E64953"/>
    <w:rsid w:val="00E73562"/>
    <w:rsid w:val="00E92BCD"/>
    <w:rsid w:val="00E9725A"/>
    <w:rsid w:val="00EA09E7"/>
    <w:rsid w:val="00EA7956"/>
    <w:rsid w:val="00EA7993"/>
    <w:rsid w:val="00EB6737"/>
    <w:rsid w:val="00EC0381"/>
    <w:rsid w:val="00EC1D40"/>
    <w:rsid w:val="00EE1142"/>
    <w:rsid w:val="00EE20C9"/>
    <w:rsid w:val="00EF01CB"/>
    <w:rsid w:val="00EF1A7A"/>
    <w:rsid w:val="00EF4802"/>
    <w:rsid w:val="00F2288D"/>
    <w:rsid w:val="00F2619B"/>
    <w:rsid w:val="00F32A7D"/>
    <w:rsid w:val="00F337D3"/>
    <w:rsid w:val="00F33C70"/>
    <w:rsid w:val="00F60491"/>
    <w:rsid w:val="00F735AC"/>
    <w:rsid w:val="00F84B1A"/>
    <w:rsid w:val="00F85CCD"/>
    <w:rsid w:val="00F95899"/>
    <w:rsid w:val="00FA3878"/>
    <w:rsid w:val="00FD4321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B9A863"/>
  <w15:docId w15:val="{DA21DBEE-30B4-4179-9504-80ACF5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382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Man1subpara">
    <w:name w:val="Man_1subpara"/>
    <w:basedOn w:val="Normal"/>
    <w:rsid w:val="001C7E94"/>
    <w:pPr>
      <w:suppressAutoHyphens w:val="0"/>
      <w:spacing w:after="120" w:line="240" w:lineRule="auto"/>
      <w:ind w:left="1985" w:hanging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rev7-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DBF-99D2-4E5D-A2D5-C78340195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D055F1B-A6A2-4B69-A05C-024543FF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ST/SG/AC.10/11/Rev.7/Corr.2</dc:title>
  <dc:subject>2211643</dc:subject>
  <dc:creator>WP.15 Report reading</dc:creator>
  <cp:keywords/>
  <dc:description/>
  <cp:lastModifiedBy>Laurence Berthet</cp:lastModifiedBy>
  <cp:revision>2</cp:revision>
  <cp:lastPrinted>2021-03-29T08:06:00Z</cp:lastPrinted>
  <dcterms:created xsi:type="dcterms:W3CDTF">2022-10-12T08:15:00Z</dcterms:created>
  <dcterms:modified xsi:type="dcterms:W3CDTF">2022-10-12T08:15:00Z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