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3A9799E" w14:textId="77777777" w:rsidTr="00F01738">
        <w:trPr>
          <w:trHeight w:hRule="exact" w:val="851"/>
        </w:trPr>
        <w:tc>
          <w:tcPr>
            <w:tcW w:w="1276" w:type="dxa"/>
            <w:tcBorders>
              <w:bottom w:val="single" w:sz="4" w:space="0" w:color="auto"/>
            </w:tcBorders>
          </w:tcPr>
          <w:p w14:paraId="26D03E0B" w14:textId="77777777" w:rsidR="00132EA9" w:rsidRPr="00DB58B5" w:rsidRDefault="00132EA9" w:rsidP="007005B2"/>
        </w:tc>
        <w:tc>
          <w:tcPr>
            <w:tcW w:w="2268" w:type="dxa"/>
            <w:tcBorders>
              <w:bottom w:val="single" w:sz="4" w:space="0" w:color="auto"/>
            </w:tcBorders>
            <w:vAlign w:val="bottom"/>
          </w:tcPr>
          <w:p w14:paraId="1DE8E26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421197" w14:textId="0C26FA18" w:rsidR="00132EA9" w:rsidRPr="00DB58B5" w:rsidRDefault="007005B2" w:rsidP="007005B2">
            <w:pPr>
              <w:jc w:val="right"/>
            </w:pPr>
            <w:r w:rsidRPr="007005B2">
              <w:rPr>
                <w:sz w:val="40"/>
              </w:rPr>
              <w:t>ST</w:t>
            </w:r>
            <w:r>
              <w:t>/SG/AC</w:t>
            </w:r>
            <w:r w:rsidR="005644F4" w:rsidRPr="005644F4">
              <w:t>.</w:t>
            </w:r>
            <w:r>
              <w:t>10/C</w:t>
            </w:r>
            <w:r w:rsidR="005644F4" w:rsidRPr="005644F4">
              <w:t>.</w:t>
            </w:r>
            <w:r>
              <w:t>3/2022/68</w:t>
            </w:r>
          </w:p>
        </w:tc>
      </w:tr>
      <w:tr w:rsidR="00132EA9" w:rsidRPr="00DB58B5" w14:paraId="13297117" w14:textId="77777777" w:rsidTr="00F01738">
        <w:trPr>
          <w:trHeight w:hRule="exact" w:val="2835"/>
        </w:trPr>
        <w:tc>
          <w:tcPr>
            <w:tcW w:w="1276" w:type="dxa"/>
            <w:tcBorders>
              <w:top w:val="single" w:sz="4" w:space="0" w:color="auto"/>
              <w:bottom w:val="single" w:sz="12" w:space="0" w:color="auto"/>
            </w:tcBorders>
          </w:tcPr>
          <w:p w14:paraId="37AB58DF" w14:textId="77777777" w:rsidR="00132EA9" w:rsidRPr="00DB58B5" w:rsidRDefault="00132EA9" w:rsidP="00F01738">
            <w:pPr>
              <w:spacing w:before="120"/>
              <w:jc w:val="center"/>
            </w:pPr>
            <w:r>
              <w:rPr>
                <w:noProof/>
                <w:lang w:eastAsia="fr-CH"/>
              </w:rPr>
              <w:drawing>
                <wp:inline distT="0" distB="0" distL="0" distR="0" wp14:anchorId="484569A3" wp14:editId="29F271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7D3EE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D4E07C9" w14:textId="35347627" w:rsidR="00132EA9" w:rsidRDefault="007005B2" w:rsidP="00F01738">
            <w:pPr>
              <w:spacing w:before="240"/>
            </w:pPr>
            <w:proofErr w:type="spellStart"/>
            <w:r>
              <w:t>Distr</w:t>
            </w:r>
            <w:proofErr w:type="spellEnd"/>
            <w:r w:rsidR="005644F4" w:rsidRPr="005644F4">
              <w:t>.</w:t>
            </w:r>
            <w:r>
              <w:t xml:space="preserve"> </w:t>
            </w:r>
            <w:proofErr w:type="gramStart"/>
            <w:r>
              <w:t>générale</w:t>
            </w:r>
            <w:proofErr w:type="gramEnd"/>
          </w:p>
          <w:p w14:paraId="709057EC" w14:textId="77777777" w:rsidR="007005B2" w:rsidRDefault="007005B2" w:rsidP="007005B2">
            <w:pPr>
              <w:spacing w:line="240" w:lineRule="exact"/>
            </w:pPr>
            <w:r>
              <w:t>7 septembre 2022</w:t>
            </w:r>
          </w:p>
          <w:p w14:paraId="4AF63053" w14:textId="77777777" w:rsidR="007005B2" w:rsidRDefault="007005B2" w:rsidP="007005B2">
            <w:pPr>
              <w:spacing w:line="240" w:lineRule="exact"/>
            </w:pPr>
            <w:r>
              <w:t>Français</w:t>
            </w:r>
          </w:p>
          <w:p w14:paraId="36E1E560" w14:textId="20309FBE" w:rsidR="007005B2" w:rsidRPr="00DB58B5" w:rsidRDefault="007005B2" w:rsidP="007005B2">
            <w:pPr>
              <w:spacing w:line="240" w:lineRule="exact"/>
            </w:pPr>
            <w:r>
              <w:t>Original : anglais</w:t>
            </w:r>
          </w:p>
        </w:tc>
      </w:tr>
    </w:tbl>
    <w:p w14:paraId="778BFBAA" w14:textId="64C5DD0D" w:rsidR="007005B2" w:rsidRPr="007005B2" w:rsidRDefault="007005B2" w:rsidP="007005B2">
      <w:pPr>
        <w:spacing w:before="120"/>
        <w:rPr>
          <w:b/>
          <w:sz w:val="24"/>
          <w:szCs w:val="24"/>
        </w:rPr>
      </w:pPr>
      <w:r w:rsidRPr="007005B2">
        <w:rPr>
          <w:b/>
          <w:bCs/>
          <w:sz w:val="24"/>
          <w:szCs w:val="24"/>
          <w:lang w:val="fr-FR"/>
        </w:rPr>
        <w:t xml:space="preserve">Comité d’experts du transport des marchandises </w:t>
      </w:r>
      <w:r>
        <w:rPr>
          <w:b/>
          <w:bCs/>
          <w:sz w:val="24"/>
          <w:szCs w:val="24"/>
          <w:lang w:val="fr-FR"/>
        </w:rPr>
        <w:br/>
      </w:r>
      <w:r w:rsidRPr="007005B2">
        <w:rPr>
          <w:b/>
          <w:bCs/>
          <w:sz w:val="24"/>
          <w:szCs w:val="24"/>
          <w:lang w:val="fr-FR"/>
        </w:rPr>
        <w:t xml:space="preserve">dangereuses et du Système général harmonisé </w:t>
      </w:r>
      <w:r>
        <w:rPr>
          <w:b/>
          <w:bCs/>
          <w:sz w:val="24"/>
          <w:szCs w:val="24"/>
          <w:lang w:val="fr-FR"/>
        </w:rPr>
        <w:br/>
      </w:r>
      <w:r w:rsidRPr="007005B2">
        <w:rPr>
          <w:b/>
          <w:bCs/>
          <w:sz w:val="24"/>
          <w:szCs w:val="24"/>
          <w:lang w:val="fr-FR"/>
        </w:rPr>
        <w:t>de classification et d’étiquetage des produits chimiques</w:t>
      </w:r>
    </w:p>
    <w:p w14:paraId="50429CF9" w14:textId="77777777" w:rsidR="007005B2" w:rsidRPr="00C214D5" w:rsidRDefault="007005B2" w:rsidP="007005B2">
      <w:pPr>
        <w:spacing w:before="120"/>
        <w:rPr>
          <w:rFonts w:ascii="Helv" w:hAnsi="Helv" w:cs="Helv"/>
          <w:b/>
          <w:color w:val="000000"/>
        </w:rPr>
      </w:pPr>
      <w:r>
        <w:rPr>
          <w:b/>
          <w:bCs/>
          <w:lang w:val="fr-FR"/>
        </w:rPr>
        <w:t>Sous-Comité d’experts du transport des marchandises dangereuses</w:t>
      </w:r>
    </w:p>
    <w:p w14:paraId="268CCBCF" w14:textId="77777777" w:rsidR="007005B2" w:rsidRPr="00C214D5" w:rsidRDefault="007005B2" w:rsidP="007005B2">
      <w:pPr>
        <w:spacing w:before="120"/>
        <w:rPr>
          <w:b/>
        </w:rPr>
      </w:pPr>
      <w:r>
        <w:rPr>
          <w:b/>
          <w:bCs/>
          <w:lang w:val="fr-FR"/>
        </w:rPr>
        <w:t>Soixante et unième session</w:t>
      </w:r>
    </w:p>
    <w:p w14:paraId="02738564" w14:textId="77777777" w:rsidR="007005B2" w:rsidRPr="00C214D5" w:rsidRDefault="007005B2" w:rsidP="007005B2">
      <w:r>
        <w:rPr>
          <w:lang w:val="fr-FR"/>
        </w:rPr>
        <w:t>Genève, 28 novembre-6 décembre 2022</w:t>
      </w:r>
    </w:p>
    <w:p w14:paraId="24D101DB" w14:textId="77777777" w:rsidR="007005B2" w:rsidRPr="00C214D5" w:rsidRDefault="007005B2" w:rsidP="007005B2">
      <w:r>
        <w:rPr>
          <w:lang w:val="fr-FR"/>
        </w:rPr>
        <w:t>Point 3 de l’ordre du jour provisoire</w:t>
      </w:r>
    </w:p>
    <w:p w14:paraId="0140EEB4" w14:textId="77777777" w:rsidR="007005B2" w:rsidRPr="00C214D5" w:rsidRDefault="007005B2" w:rsidP="007005B2">
      <w:pPr>
        <w:rPr>
          <w:b/>
          <w:bCs/>
        </w:rPr>
      </w:pPr>
      <w:r>
        <w:rPr>
          <w:b/>
          <w:bCs/>
          <w:lang w:val="fr-FR"/>
        </w:rPr>
        <w:t>Inscription, classement et emballage</w:t>
      </w:r>
    </w:p>
    <w:p w14:paraId="33122617" w14:textId="15BE3748" w:rsidR="007005B2" w:rsidRPr="00C214D5" w:rsidRDefault="007005B2" w:rsidP="007005B2">
      <w:pPr>
        <w:pStyle w:val="HChG"/>
      </w:pPr>
      <w:r>
        <w:rPr>
          <w:lang w:val="fr-FR"/>
        </w:rPr>
        <w:tab/>
      </w:r>
      <w:r>
        <w:rPr>
          <w:lang w:val="fr-FR"/>
        </w:rPr>
        <w:tab/>
        <w:t xml:space="preserve">Révision du classement de l’hydroxyde </w:t>
      </w:r>
      <w:r>
        <w:rPr>
          <w:lang w:val="fr-FR"/>
        </w:rPr>
        <w:br/>
        <w:t xml:space="preserve">de </w:t>
      </w:r>
      <w:proofErr w:type="spellStart"/>
      <w:r>
        <w:rPr>
          <w:lang w:val="fr-FR"/>
        </w:rPr>
        <w:t>tétraméthylammonium</w:t>
      </w:r>
      <w:proofErr w:type="spellEnd"/>
    </w:p>
    <w:p w14:paraId="5A4C0AC2" w14:textId="4F54ABB6" w:rsidR="007005B2" w:rsidRPr="00C214D5" w:rsidRDefault="007005B2" w:rsidP="007005B2">
      <w:pPr>
        <w:pStyle w:val="H1G"/>
      </w:pPr>
      <w:r>
        <w:rPr>
          <w:lang w:val="fr-FR"/>
        </w:rPr>
        <w:tab/>
      </w:r>
      <w:r>
        <w:rPr>
          <w:lang w:val="fr-FR"/>
        </w:rPr>
        <w:tab/>
        <w:t>Communication de l’expert des Pays-Bas</w:t>
      </w:r>
      <w:r w:rsidRPr="007005B2">
        <w:rPr>
          <w:rStyle w:val="FootnoteReference"/>
          <w:b w:val="0"/>
          <w:bCs/>
          <w:sz w:val="20"/>
          <w:vertAlign w:val="baseline"/>
        </w:rPr>
        <w:footnoteReference w:customMarkFollows="1" w:id="2"/>
        <w:t>*</w:t>
      </w:r>
    </w:p>
    <w:p w14:paraId="3245A7FB" w14:textId="77777777" w:rsidR="007005B2" w:rsidRPr="00C214D5" w:rsidRDefault="007005B2" w:rsidP="007005B2">
      <w:pPr>
        <w:pStyle w:val="HChG"/>
      </w:pPr>
      <w:r>
        <w:rPr>
          <w:lang w:val="fr-FR"/>
        </w:rPr>
        <w:tab/>
      </w:r>
      <w:r>
        <w:rPr>
          <w:lang w:val="fr-FR"/>
        </w:rPr>
        <w:tab/>
        <w:t xml:space="preserve">Introduction </w:t>
      </w:r>
    </w:p>
    <w:p w14:paraId="354A0EC4" w14:textId="1D7D07BA" w:rsidR="007005B2" w:rsidRPr="00C214D5" w:rsidRDefault="007005B2" w:rsidP="007005B2">
      <w:pPr>
        <w:pStyle w:val="SingleTxtG"/>
      </w:pPr>
      <w:r>
        <w:rPr>
          <w:lang w:val="fr-FR"/>
        </w:rPr>
        <w:t>1</w:t>
      </w:r>
      <w:r w:rsidR="005644F4" w:rsidRPr="005644F4">
        <w:rPr>
          <w:lang w:val="fr-FR"/>
        </w:rPr>
        <w:t>.</w:t>
      </w:r>
      <w:r>
        <w:rPr>
          <w:lang w:val="fr-FR"/>
        </w:rPr>
        <w:tab/>
        <w:t xml:space="preserve">Aux cinquante-neuvième et soixantième sessions du Sous-Comité, trois documents ont été présentés en vue de l’examen de la révision du classement de l’hydroxyde de </w:t>
      </w:r>
      <w:proofErr w:type="spellStart"/>
      <w:r>
        <w:rPr>
          <w:lang w:val="fr-FR"/>
        </w:rPr>
        <w:t>tétraméthylammonium</w:t>
      </w:r>
      <w:proofErr w:type="spellEnd"/>
      <w:r>
        <w:rPr>
          <w:lang w:val="fr-FR"/>
        </w:rPr>
        <w:t xml:space="preserve"> (TMAH) [le document informel INF</w:t>
      </w:r>
      <w:r w:rsidR="005644F4" w:rsidRPr="005644F4">
        <w:rPr>
          <w:lang w:val="fr-FR"/>
        </w:rPr>
        <w:t>.</w:t>
      </w:r>
      <w:r>
        <w:rPr>
          <w:lang w:val="fr-FR"/>
        </w:rPr>
        <w:t>12 (cinquante-neuvième session), le document ST/SG/AC</w:t>
      </w:r>
      <w:r w:rsidR="005644F4" w:rsidRPr="005644F4">
        <w:rPr>
          <w:lang w:val="fr-FR"/>
        </w:rPr>
        <w:t>.</w:t>
      </w:r>
      <w:r>
        <w:rPr>
          <w:lang w:val="fr-FR"/>
        </w:rPr>
        <w:t>10/C</w:t>
      </w:r>
      <w:r w:rsidR="005644F4" w:rsidRPr="005644F4">
        <w:rPr>
          <w:lang w:val="fr-FR"/>
        </w:rPr>
        <w:t>.</w:t>
      </w:r>
      <w:r>
        <w:rPr>
          <w:lang w:val="fr-FR"/>
        </w:rPr>
        <w:t>3/2022/24 et le document informel INF</w:t>
      </w:r>
      <w:r w:rsidR="005644F4" w:rsidRPr="005644F4">
        <w:rPr>
          <w:lang w:val="fr-FR"/>
        </w:rPr>
        <w:t>.</w:t>
      </w:r>
      <w:r>
        <w:rPr>
          <w:lang w:val="fr-FR"/>
        </w:rPr>
        <w:t>22 (soixantième session)]</w:t>
      </w:r>
      <w:r w:rsidR="005644F4" w:rsidRPr="005644F4">
        <w:rPr>
          <w:lang w:val="fr-FR"/>
        </w:rPr>
        <w:t>.</w:t>
      </w:r>
      <w:r>
        <w:rPr>
          <w:lang w:val="fr-FR"/>
        </w:rPr>
        <w:t xml:space="preserve"> Les données sur les effets d’une exposition accidentelle de l’organisme humain et les données issues de l’expérimentation animale disponibles sont présentées et analysées en détail dans le document ST/SG/AC</w:t>
      </w:r>
      <w:r w:rsidR="005644F4" w:rsidRPr="005644F4">
        <w:rPr>
          <w:lang w:val="fr-FR"/>
        </w:rPr>
        <w:t>.</w:t>
      </w:r>
      <w:r>
        <w:rPr>
          <w:lang w:val="fr-FR"/>
        </w:rPr>
        <w:t>10/C</w:t>
      </w:r>
      <w:r w:rsidR="005644F4" w:rsidRPr="005644F4">
        <w:rPr>
          <w:lang w:val="fr-FR"/>
        </w:rPr>
        <w:t>.</w:t>
      </w:r>
      <w:r>
        <w:rPr>
          <w:lang w:val="fr-FR"/>
        </w:rPr>
        <w:t>3/2022/24</w:t>
      </w:r>
      <w:r w:rsidR="005644F4" w:rsidRPr="005644F4">
        <w:rPr>
          <w:lang w:val="fr-FR"/>
        </w:rPr>
        <w:t>.</w:t>
      </w:r>
    </w:p>
    <w:p w14:paraId="75255316" w14:textId="53296FA6" w:rsidR="007005B2" w:rsidRPr="00C214D5" w:rsidRDefault="007005B2" w:rsidP="007005B2">
      <w:pPr>
        <w:pStyle w:val="SingleTxtG"/>
      </w:pPr>
      <w:r>
        <w:rPr>
          <w:lang w:val="fr-FR"/>
        </w:rPr>
        <w:t>2</w:t>
      </w:r>
      <w:r w:rsidR="005644F4" w:rsidRPr="005644F4">
        <w:rPr>
          <w:lang w:val="fr-FR"/>
        </w:rPr>
        <w:t>.</w:t>
      </w:r>
      <w:r>
        <w:rPr>
          <w:lang w:val="fr-FR"/>
        </w:rPr>
        <w:tab/>
        <w:t>Ces travaux ont permis de formuler une proposition de modification du mode de classement du TMAH</w:t>
      </w:r>
      <w:r w:rsidR="005644F4" w:rsidRPr="005644F4">
        <w:rPr>
          <w:lang w:val="fr-FR"/>
        </w:rPr>
        <w:t>.</w:t>
      </w:r>
      <w:r>
        <w:rPr>
          <w:lang w:val="fr-FR"/>
        </w:rPr>
        <w:t xml:space="preserve"> Ce classement s’appuierait sur les effets connus sur l’homme plutôt que sur les données de l’expérimentation animale, trois groupes d’emballage seraient attribués aux solutions de TMAH et la toxicité de la substance prendrait le pas sur sa corrosivité</w:t>
      </w:r>
      <w:r w:rsidR="005644F4" w:rsidRPr="005644F4">
        <w:rPr>
          <w:lang w:val="fr-FR"/>
        </w:rPr>
        <w:t>.</w:t>
      </w:r>
      <w:r>
        <w:rPr>
          <w:lang w:val="fr-FR"/>
        </w:rPr>
        <w:t xml:space="preserve"> Deux options ont été proposées en ce qui concerne les désignations officielles de transport des solutions de TMAH, l’une impliquant des limites de concentration et l’autre non</w:t>
      </w:r>
      <w:r w:rsidR="005644F4" w:rsidRPr="005644F4">
        <w:rPr>
          <w:lang w:val="fr-FR"/>
        </w:rPr>
        <w:t>.</w:t>
      </w:r>
      <w:r>
        <w:rPr>
          <w:lang w:val="fr-FR"/>
        </w:rPr>
        <w:t xml:space="preserve"> La plupart des représentants qui ont fait des observations à la soixantième session ont dit préférer l’option comportant des limites de concentration</w:t>
      </w:r>
      <w:r w:rsidR="005644F4" w:rsidRPr="005644F4">
        <w:rPr>
          <w:lang w:val="fr-FR"/>
        </w:rPr>
        <w:t>.</w:t>
      </w:r>
    </w:p>
    <w:p w14:paraId="33F163AF" w14:textId="352B64B7" w:rsidR="007005B2" w:rsidRPr="00C214D5" w:rsidRDefault="007005B2" w:rsidP="007005B2">
      <w:pPr>
        <w:pStyle w:val="SingleTxtG"/>
      </w:pPr>
      <w:r>
        <w:rPr>
          <w:lang w:val="fr-FR"/>
        </w:rPr>
        <w:t>3</w:t>
      </w:r>
      <w:r w:rsidR="005644F4" w:rsidRPr="005644F4">
        <w:rPr>
          <w:lang w:val="fr-FR"/>
        </w:rPr>
        <w:t>.</w:t>
      </w:r>
      <w:r>
        <w:rPr>
          <w:lang w:val="fr-FR"/>
        </w:rPr>
        <w:tab/>
        <w:t>Les avis étaient partagés en ce qui concerne la limite de concentration pour les solutions de TMAH correspondant au groupe d’emballage I</w:t>
      </w:r>
      <w:r w:rsidR="005644F4" w:rsidRPr="005644F4">
        <w:rPr>
          <w:lang w:val="fr-FR"/>
        </w:rPr>
        <w:t>.</w:t>
      </w:r>
      <w:r>
        <w:rPr>
          <w:lang w:val="fr-FR"/>
        </w:rPr>
        <w:t xml:space="preserve"> Certaines délégations étaient favorables à une concentration limite de 8,75 %, mais d’autres préféraient 25 %</w:t>
      </w:r>
      <w:r w:rsidR="005644F4" w:rsidRPr="005644F4">
        <w:rPr>
          <w:lang w:val="fr-FR"/>
        </w:rPr>
        <w:t>.</w:t>
      </w:r>
    </w:p>
    <w:p w14:paraId="4E8A119B" w14:textId="77777777" w:rsidR="007005B2" w:rsidRPr="00C214D5" w:rsidRDefault="007005B2" w:rsidP="005644F4">
      <w:pPr>
        <w:pStyle w:val="HChG"/>
      </w:pPr>
      <w:r>
        <w:rPr>
          <w:lang w:val="fr-FR"/>
        </w:rPr>
        <w:lastRenderedPageBreak/>
        <w:tab/>
      </w:r>
      <w:r>
        <w:rPr>
          <w:lang w:val="fr-FR"/>
        </w:rPr>
        <w:tab/>
        <w:t>Justification</w:t>
      </w:r>
    </w:p>
    <w:p w14:paraId="21D249C4" w14:textId="472790F7" w:rsidR="007005B2" w:rsidRPr="00C214D5" w:rsidRDefault="007005B2" w:rsidP="005644F4">
      <w:pPr>
        <w:pStyle w:val="SingleTxtG"/>
        <w:keepNext/>
        <w:keepLines/>
      </w:pPr>
      <w:r>
        <w:rPr>
          <w:lang w:val="fr-FR"/>
        </w:rPr>
        <w:t>4</w:t>
      </w:r>
      <w:r w:rsidR="005644F4" w:rsidRPr="005644F4">
        <w:rPr>
          <w:lang w:val="fr-FR"/>
        </w:rPr>
        <w:t>.</w:t>
      </w:r>
      <w:r>
        <w:rPr>
          <w:lang w:val="fr-FR"/>
        </w:rPr>
        <w:tab/>
        <w:t xml:space="preserve">Il est nécessaire d’actualiser le classement du TMAH sur la base des connaissances les plus récentes pour garantir la sécurité des personnes et des biens </w:t>
      </w:r>
      <w:r w:rsidRPr="00D0625D">
        <w:rPr>
          <w:lang w:val="fr-FR"/>
        </w:rPr>
        <w:t>et pour protéger l</w:t>
      </w:r>
      <w:r>
        <w:rPr>
          <w:lang w:val="fr-FR"/>
        </w:rPr>
        <w:t>’</w:t>
      </w:r>
      <w:r w:rsidRPr="00D0625D">
        <w:rPr>
          <w:lang w:val="fr-FR"/>
        </w:rPr>
        <w:t>environnement</w:t>
      </w:r>
      <w:r w:rsidR="005644F4" w:rsidRPr="005644F4">
        <w:rPr>
          <w:lang w:val="fr-FR"/>
        </w:rPr>
        <w:t>.</w:t>
      </w:r>
      <w:r>
        <w:rPr>
          <w:lang w:val="fr-FR"/>
        </w:rPr>
        <w:t xml:space="preserve"> Ce faisant, le Sous-Comité fait sien l’Objectif de développement durable 3, qui vise à permettre à tous de vivre en bonne santé et à promouvoir le bien-être de tous à tout âge</w:t>
      </w:r>
      <w:r w:rsidR="005644F4" w:rsidRPr="005644F4">
        <w:rPr>
          <w:lang w:val="fr-FR"/>
        </w:rPr>
        <w:t>.</w:t>
      </w:r>
    </w:p>
    <w:p w14:paraId="1B64B19B" w14:textId="77777777" w:rsidR="007005B2" w:rsidRPr="00C214D5" w:rsidRDefault="007005B2" w:rsidP="007005B2">
      <w:pPr>
        <w:pStyle w:val="HChG"/>
      </w:pPr>
      <w:r>
        <w:rPr>
          <w:lang w:val="fr-FR"/>
        </w:rPr>
        <w:tab/>
      </w:r>
      <w:r>
        <w:rPr>
          <w:lang w:val="fr-FR"/>
        </w:rPr>
        <w:tab/>
        <w:t>Examen de la question</w:t>
      </w:r>
    </w:p>
    <w:p w14:paraId="00FE5324" w14:textId="61AD063F" w:rsidR="007005B2" w:rsidRPr="00C214D5" w:rsidRDefault="007005B2" w:rsidP="007005B2">
      <w:pPr>
        <w:pStyle w:val="SingleTxtG"/>
      </w:pPr>
      <w:r>
        <w:rPr>
          <w:lang w:val="fr-FR"/>
        </w:rPr>
        <w:t>5</w:t>
      </w:r>
      <w:r w:rsidR="005644F4" w:rsidRPr="005644F4">
        <w:rPr>
          <w:lang w:val="fr-FR"/>
        </w:rPr>
        <w:t>.</w:t>
      </w:r>
      <w:r>
        <w:rPr>
          <w:lang w:val="fr-FR"/>
        </w:rPr>
        <w:tab/>
        <w:t>La question de la détermination d’une limite de concentration pour le groupe d’emballage I se pose à cause d’un accident mortel</w:t>
      </w:r>
      <w:r w:rsidR="005644F4" w:rsidRPr="005644F4">
        <w:rPr>
          <w:lang w:val="fr-FR"/>
        </w:rPr>
        <w:t>.</w:t>
      </w:r>
      <w:r>
        <w:rPr>
          <w:lang w:val="fr-FR"/>
        </w:rPr>
        <w:t xml:space="preserve"> Dans le document informel INF</w:t>
      </w:r>
      <w:r w:rsidR="005644F4" w:rsidRPr="005644F4">
        <w:rPr>
          <w:lang w:val="fr-FR"/>
        </w:rPr>
        <w:t>.</w:t>
      </w:r>
      <w:r>
        <w:rPr>
          <w:lang w:val="fr-FR"/>
        </w:rPr>
        <w:t>22 (soixantième session), l’</w:t>
      </w:r>
      <w:proofErr w:type="spellStart"/>
      <w:r>
        <w:rPr>
          <w:lang w:val="fr-FR"/>
        </w:rPr>
        <w:t>European</w:t>
      </w:r>
      <w:proofErr w:type="spellEnd"/>
      <w:r>
        <w:rPr>
          <w:lang w:val="fr-FR"/>
        </w:rPr>
        <w:t xml:space="preserve"> Chemical </w:t>
      </w:r>
      <w:proofErr w:type="spellStart"/>
      <w:r>
        <w:rPr>
          <w:lang w:val="fr-FR"/>
        </w:rPr>
        <w:t>Industry</w:t>
      </w:r>
      <w:proofErr w:type="spellEnd"/>
      <w:r>
        <w:rPr>
          <w:lang w:val="fr-FR"/>
        </w:rPr>
        <w:t xml:space="preserve"> Council (</w:t>
      </w:r>
      <w:proofErr w:type="spellStart"/>
      <w:r>
        <w:rPr>
          <w:lang w:val="fr-FR"/>
        </w:rPr>
        <w:t>Cefic</w:t>
      </w:r>
      <w:proofErr w:type="spellEnd"/>
      <w:r>
        <w:rPr>
          <w:lang w:val="fr-FR"/>
        </w:rPr>
        <w:t xml:space="preserve">) et le Conseil consultatif des marchandises dangereuses (DGAC) ont fait une analyse approfondie de cet accident, dont la victime avait été exposée à un mélange contenant, entre autres, 8,75 % de TMAH et 10 % d’alcool </w:t>
      </w:r>
      <w:proofErr w:type="spellStart"/>
      <w:r>
        <w:rPr>
          <w:lang w:val="fr-FR"/>
        </w:rPr>
        <w:t>éthoxylé</w:t>
      </w:r>
      <w:proofErr w:type="spellEnd"/>
      <w:r w:rsidR="005644F4" w:rsidRPr="005644F4">
        <w:rPr>
          <w:lang w:val="fr-FR"/>
        </w:rPr>
        <w:t>.</w:t>
      </w:r>
      <w:r>
        <w:rPr>
          <w:lang w:val="fr-FR"/>
        </w:rPr>
        <w:t xml:space="preserve"> Comme précisé dans ce document, il est probable que l’alcool </w:t>
      </w:r>
      <w:proofErr w:type="spellStart"/>
      <w:r>
        <w:rPr>
          <w:lang w:val="fr-FR"/>
        </w:rPr>
        <w:t>éthoxylé</w:t>
      </w:r>
      <w:proofErr w:type="spellEnd"/>
      <w:r>
        <w:rPr>
          <w:lang w:val="fr-FR"/>
        </w:rPr>
        <w:t xml:space="preserve"> ait contribué à rendre l’accident fatal en empêchant la victime de réagir de façon adéquate à l’exposition au TMAH</w:t>
      </w:r>
      <w:r w:rsidR="005644F4" w:rsidRPr="005644F4">
        <w:rPr>
          <w:lang w:val="fr-FR"/>
        </w:rPr>
        <w:t>.</w:t>
      </w:r>
      <w:r>
        <w:rPr>
          <w:lang w:val="fr-FR"/>
        </w:rPr>
        <w:t xml:space="preserve"> Cependant, cela n’affecte en rien les propriétés toxiques des solutions de TMAH et cela n’a pas d’incidence sur l’affectation des groupes d’emballage, qui repose sur la dangerosité intrinsèque d’une substance et non sur la rapidité de la réaction et du traitement en cas d’exposition accidentelle</w:t>
      </w:r>
      <w:r w:rsidR="005644F4" w:rsidRPr="005644F4">
        <w:rPr>
          <w:lang w:val="fr-FR"/>
        </w:rPr>
        <w:t>.</w:t>
      </w:r>
    </w:p>
    <w:p w14:paraId="37C838A9" w14:textId="4A96FF3B" w:rsidR="007005B2" w:rsidRPr="00C214D5" w:rsidRDefault="007005B2" w:rsidP="007005B2">
      <w:pPr>
        <w:pStyle w:val="SingleTxtG"/>
      </w:pPr>
      <w:r>
        <w:rPr>
          <w:lang w:val="fr-FR"/>
        </w:rPr>
        <w:t>6</w:t>
      </w:r>
      <w:r w:rsidR="005644F4" w:rsidRPr="005644F4">
        <w:rPr>
          <w:lang w:val="fr-FR"/>
        </w:rPr>
        <w:t>.</w:t>
      </w:r>
      <w:r>
        <w:rPr>
          <w:lang w:val="fr-FR"/>
        </w:rPr>
        <w:tab/>
        <w:t>À la soixantième session du Sous-Comité, quelques délégations ont remis en question l’attribution de la limite de concentration sur la base d’un incident isolé</w:t>
      </w:r>
      <w:r w:rsidR="005644F4" w:rsidRPr="005644F4">
        <w:rPr>
          <w:lang w:val="fr-FR"/>
        </w:rPr>
        <w:t>.</w:t>
      </w:r>
      <w:r>
        <w:rPr>
          <w:lang w:val="fr-FR"/>
        </w:rPr>
        <w:t xml:space="preserve"> L’expert des Pays</w:t>
      </w:r>
      <w:r w:rsidR="005644F4">
        <w:rPr>
          <w:lang w:val="fr-FR"/>
        </w:rPr>
        <w:noBreakHyphen/>
      </w:r>
      <w:r>
        <w:rPr>
          <w:lang w:val="fr-FR"/>
        </w:rPr>
        <w:t>Bas a reconnu que la prise en compte de plusieurs facteurs renforcerait l’argumentation en faveur de la limite de concentration proposée, mais il trouvait très problématique que l’on fasse fi d’un accident mortel</w:t>
      </w:r>
      <w:r w:rsidR="005644F4" w:rsidRPr="005644F4">
        <w:rPr>
          <w:lang w:val="fr-FR"/>
        </w:rPr>
        <w:t>.</w:t>
      </w:r>
    </w:p>
    <w:p w14:paraId="17328829" w14:textId="6D466195" w:rsidR="007005B2" w:rsidRPr="00C214D5" w:rsidRDefault="007005B2" w:rsidP="007005B2">
      <w:pPr>
        <w:pStyle w:val="SingleTxtG"/>
      </w:pPr>
      <w:r>
        <w:rPr>
          <w:lang w:val="fr-FR"/>
        </w:rPr>
        <w:t>7</w:t>
      </w:r>
      <w:r w:rsidR="005644F4" w:rsidRPr="005644F4">
        <w:rPr>
          <w:lang w:val="fr-FR"/>
        </w:rPr>
        <w:t>.</w:t>
      </w:r>
      <w:r>
        <w:rPr>
          <w:lang w:val="fr-FR"/>
        </w:rPr>
        <w:tab/>
        <w:t>Le Règlement type spécifie clairement, aux paragraphes 2</w:t>
      </w:r>
      <w:r w:rsidR="005644F4" w:rsidRPr="005644F4">
        <w:rPr>
          <w:lang w:val="fr-FR"/>
        </w:rPr>
        <w:t>.</w:t>
      </w:r>
      <w:r>
        <w:rPr>
          <w:lang w:val="fr-FR"/>
        </w:rPr>
        <w:t>6</w:t>
      </w:r>
      <w:r w:rsidR="005644F4" w:rsidRPr="005644F4">
        <w:rPr>
          <w:lang w:val="fr-FR"/>
        </w:rPr>
        <w:t>.</w:t>
      </w:r>
      <w:r>
        <w:rPr>
          <w:lang w:val="fr-FR"/>
        </w:rPr>
        <w:t>2</w:t>
      </w:r>
      <w:r w:rsidR="005644F4" w:rsidRPr="005644F4">
        <w:rPr>
          <w:lang w:val="fr-FR"/>
        </w:rPr>
        <w:t>.</w:t>
      </w:r>
      <w:r>
        <w:rPr>
          <w:lang w:val="fr-FR"/>
        </w:rPr>
        <w:t>2 et 2</w:t>
      </w:r>
      <w:r w:rsidR="005644F4" w:rsidRPr="005644F4">
        <w:rPr>
          <w:lang w:val="fr-FR"/>
        </w:rPr>
        <w:t>.</w:t>
      </w:r>
      <w:r>
        <w:rPr>
          <w:lang w:val="fr-FR"/>
        </w:rPr>
        <w:t>8</w:t>
      </w:r>
      <w:r w:rsidR="005644F4" w:rsidRPr="005644F4">
        <w:rPr>
          <w:lang w:val="fr-FR"/>
        </w:rPr>
        <w:t>.</w:t>
      </w:r>
      <w:r>
        <w:rPr>
          <w:lang w:val="fr-FR"/>
        </w:rPr>
        <w:t>3</w:t>
      </w:r>
      <w:r w:rsidR="005644F4" w:rsidRPr="005644F4">
        <w:rPr>
          <w:lang w:val="fr-FR"/>
        </w:rPr>
        <w:t>.</w:t>
      </w:r>
      <w:r>
        <w:rPr>
          <w:lang w:val="fr-FR"/>
        </w:rPr>
        <w:t>2, que les effets connus sur l’homme doivent être pris en compte lors de l’affectation des groupes d’emballage aux matières toxiques et corrosives</w:t>
      </w:r>
      <w:r w:rsidR="005644F4" w:rsidRPr="005644F4">
        <w:rPr>
          <w:lang w:val="fr-FR"/>
        </w:rPr>
        <w:t>.</w:t>
      </w:r>
      <w:r>
        <w:rPr>
          <w:lang w:val="fr-FR"/>
        </w:rPr>
        <w:t xml:space="preserve"> Bien qu’il n’existe pas de critères quantitatifs à cet égard, il semble arbitraire de considérer un accident mortel comme anecdotique, d’autant plus que les facteurs coïncidents qui ont probablement déterminé l’issue de cet accident n’ont apparemment fait qu’empêcher une réaction appropriée de la victime à l’exposition et n’affectaient en rien la toxicité du TMAH</w:t>
      </w:r>
      <w:r w:rsidR="005644F4" w:rsidRPr="005644F4">
        <w:rPr>
          <w:lang w:val="fr-FR"/>
        </w:rPr>
        <w:t>.</w:t>
      </w:r>
    </w:p>
    <w:p w14:paraId="089E46E5" w14:textId="2DD5A3DD" w:rsidR="007005B2" w:rsidRPr="00C214D5" w:rsidRDefault="007005B2" w:rsidP="007005B2">
      <w:pPr>
        <w:pStyle w:val="SingleTxtG"/>
      </w:pPr>
      <w:r>
        <w:rPr>
          <w:lang w:val="fr-FR"/>
        </w:rPr>
        <w:t>8</w:t>
      </w:r>
      <w:r w:rsidR="005644F4" w:rsidRPr="005644F4">
        <w:rPr>
          <w:lang w:val="fr-FR"/>
        </w:rPr>
        <w:t>.</w:t>
      </w:r>
      <w:r>
        <w:rPr>
          <w:lang w:val="fr-FR"/>
        </w:rPr>
        <w:tab/>
        <w:t>Le Règlement type ayant été avant tout</w:t>
      </w:r>
      <w:r w:rsidRPr="0020132C">
        <w:rPr>
          <w:lang w:val="fr-FR"/>
        </w:rPr>
        <w:t xml:space="preserve"> élaboré</w:t>
      </w:r>
      <w:r>
        <w:rPr>
          <w:lang w:val="fr-FR"/>
        </w:rPr>
        <w:t xml:space="preserve"> pour assurer la sécurité des personnes et des biens et pour protéger l’environnement, l’expert des Pays-Bas considère qu’un décès causé par une exposition accidentelle est un fait très important, que l’on ne peut considérer comme anecdotique dans l’optique d’un classement</w:t>
      </w:r>
      <w:r w:rsidR="005644F4" w:rsidRPr="005644F4">
        <w:rPr>
          <w:lang w:val="fr-FR"/>
        </w:rPr>
        <w:t>.</w:t>
      </w:r>
      <w:r>
        <w:rPr>
          <w:lang w:val="fr-FR"/>
        </w:rPr>
        <w:t xml:space="preserve"> Il est donc proposé de maintenir la limite de concentration de TMAH pour le groupe d’emballage I à 8,75 %</w:t>
      </w:r>
      <w:r w:rsidR="005644F4" w:rsidRPr="005644F4">
        <w:rPr>
          <w:lang w:val="fr-FR"/>
        </w:rPr>
        <w:t>.</w:t>
      </w:r>
    </w:p>
    <w:p w14:paraId="3B1262EF" w14:textId="0C55896E" w:rsidR="007005B2" w:rsidRPr="00C214D5" w:rsidRDefault="007005B2" w:rsidP="007005B2">
      <w:pPr>
        <w:pStyle w:val="SingleTxtG"/>
      </w:pPr>
      <w:r>
        <w:rPr>
          <w:lang w:val="fr-FR"/>
        </w:rPr>
        <w:t>9</w:t>
      </w:r>
      <w:r w:rsidR="005644F4" w:rsidRPr="005644F4">
        <w:rPr>
          <w:lang w:val="fr-FR"/>
        </w:rPr>
        <w:t>.</w:t>
      </w:r>
      <w:r>
        <w:rPr>
          <w:lang w:val="fr-FR"/>
        </w:rPr>
        <w:tab/>
        <w:t>Lors de l’élaboration de ce document, il est apparu que l’épreuve de toxicité aiguë par voie cutanée avait été utilisée à tort comme critère de classement parce qu’elle avait été effectuée sur des rats et non sur des lapins</w:t>
      </w:r>
      <w:r w:rsidR="005644F4" w:rsidRPr="005644F4">
        <w:rPr>
          <w:lang w:val="fr-FR"/>
        </w:rPr>
        <w:t>.</w:t>
      </w:r>
      <w:r>
        <w:rPr>
          <w:lang w:val="fr-FR"/>
        </w:rPr>
        <w:t xml:space="preserve"> Par conséquent, les données correspondant à 2,38 % n’ont pas été appliquées correctement pour attribuer le groupe d’emballage II de la division 6</w:t>
      </w:r>
      <w:r w:rsidR="005644F4" w:rsidRPr="005644F4">
        <w:rPr>
          <w:lang w:val="fr-FR"/>
        </w:rPr>
        <w:t>.</w:t>
      </w:r>
      <w:r>
        <w:rPr>
          <w:lang w:val="fr-FR"/>
        </w:rPr>
        <w:t>1</w:t>
      </w:r>
      <w:r w:rsidR="005644F4" w:rsidRPr="005644F4">
        <w:rPr>
          <w:lang w:val="fr-FR"/>
        </w:rPr>
        <w:t>.</w:t>
      </w:r>
      <w:r>
        <w:rPr>
          <w:lang w:val="fr-FR"/>
        </w:rPr>
        <w:t xml:space="preserve"> Toutefois, cela ne modifie en rien la limite de concentration proposée pour le groupe d’emballage II, car on dispose de données sur l’attribution de limites pour les groupes I et III</w:t>
      </w:r>
      <w:r w:rsidR="005644F4" w:rsidRPr="005644F4">
        <w:rPr>
          <w:lang w:val="fr-FR"/>
        </w:rPr>
        <w:t>.</w:t>
      </w:r>
      <w:r>
        <w:rPr>
          <w:lang w:val="fr-FR"/>
        </w:rPr>
        <w:t xml:space="preserve"> La limite de concentration pour le groupe d’emballage II se situera donc entre ces deux limites</w:t>
      </w:r>
      <w:r w:rsidR="005644F4" w:rsidRPr="005644F4">
        <w:rPr>
          <w:lang w:val="fr-FR"/>
        </w:rPr>
        <w:t>.</w:t>
      </w:r>
      <w:r>
        <w:rPr>
          <w:lang w:val="fr-FR"/>
        </w:rPr>
        <w:t xml:space="preserve"> De plus, pour le groupe d’emballage II, il a été proposé de donner la priorité à la division 6</w:t>
      </w:r>
      <w:r w:rsidR="005644F4" w:rsidRPr="005644F4">
        <w:rPr>
          <w:lang w:val="fr-FR"/>
        </w:rPr>
        <w:t>.</w:t>
      </w:r>
      <w:r>
        <w:rPr>
          <w:lang w:val="fr-FR"/>
        </w:rPr>
        <w:t>1 sur la classe 8 qui ne respecte pas le tableau de hiérarchie des dangers</w:t>
      </w:r>
      <w:r w:rsidR="005644F4" w:rsidRPr="005644F4">
        <w:rPr>
          <w:lang w:val="fr-FR"/>
        </w:rPr>
        <w:t>.</w:t>
      </w:r>
      <w:r>
        <w:rPr>
          <w:lang w:val="fr-FR"/>
        </w:rPr>
        <w:t xml:space="preserve"> Pour ces deux raisons, il est proposé d’affecter la disposition spéciale</w:t>
      </w:r>
      <w:r w:rsidR="005644F4">
        <w:rPr>
          <w:lang w:val="fr-FR"/>
        </w:rPr>
        <w:t> </w:t>
      </w:r>
      <w:r>
        <w:rPr>
          <w:lang w:val="fr-FR"/>
        </w:rPr>
        <w:t>279 au groupe d’emballage II également</w:t>
      </w:r>
      <w:r w:rsidR="005644F4" w:rsidRPr="005644F4">
        <w:rPr>
          <w:lang w:val="fr-FR"/>
        </w:rPr>
        <w:t>.</w:t>
      </w:r>
    </w:p>
    <w:p w14:paraId="4B6A36F3" w14:textId="45B7D789" w:rsidR="007005B2" w:rsidRPr="00C214D5" w:rsidRDefault="007005B2" w:rsidP="007005B2">
      <w:pPr>
        <w:pStyle w:val="SingleTxtG"/>
      </w:pPr>
      <w:r>
        <w:rPr>
          <w:lang w:val="fr-FR"/>
        </w:rPr>
        <w:t>10</w:t>
      </w:r>
      <w:r w:rsidR="005644F4" w:rsidRPr="005644F4">
        <w:rPr>
          <w:lang w:val="fr-FR"/>
        </w:rPr>
        <w:t>.</w:t>
      </w:r>
      <w:r>
        <w:rPr>
          <w:lang w:val="fr-FR"/>
        </w:rPr>
        <w:tab/>
        <w:t>En outre, à la soixantième session, une observation a été formulée à propos du libellé utilisé dans la désignation officielle de transport des rubriques des groupes d’emballage I et II</w:t>
      </w:r>
      <w:r w:rsidR="005644F4" w:rsidRPr="005644F4">
        <w:rPr>
          <w:lang w:val="fr-FR"/>
        </w:rPr>
        <w:t>.</w:t>
      </w:r>
      <w:r>
        <w:rPr>
          <w:lang w:val="fr-FR"/>
        </w:rPr>
        <w:t xml:space="preserve"> Ces observations ont été pris en compte et le libellé de la rubrique du groupe d’emballage III a également été modifié en conséquence</w:t>
      </w:r>
      <w:r w:rsidR="005644F4" w:rsidRPr="005644F4">
        <w:rPr>
          <w:lang w:val="fr-FR"/>
        </w:rPr>
        <w:t>.</w:t>
      </w:r>
    </w:p>
    <w:p w14:paraId="44CAF719" w14:textId="66CA6CEF" w:rsidR="007005B2" w:rsidRPr="00C214D5" w:rsidRDefault="007005B2" w:rsidP="007005B2">
      <w:pPr>
        <w:pStyle w:val="SingleTxtG"/>
      </w:pPr>
      <w:r>
        <w:rPr>
          <w:lang w:val="fr-FR"/>
        </w:rPr>
        <w:t>11</w:t>
      </w:r>
      <w:r w:rsidR="005644F4" w:rsidRPr="005644F4">
        <w:rPr>
          <w:lang w:val="fr-FR"/>
        </w:rPr>
        <w:t>.</w:t>
      </w:r>
      <w:r>
        <w:rPr>
          <w:lang w:val="fr-FR"/>
        </w:rPr>
        <w:tab/>
        <w:t>Il a également été dit qu’une mesure transitoire serait nécessaire pour les modifications de la liste des marchandises dangereuses du Règlement type proposées</w:t>
      </w:r>
      <w:r w:rsidR="005644F4" w:rsidRPr="005644F4">
        <w:rPr>
          <w:lang w:val="fr-FR"/>
        </w:rPr>
        <w:t>.</w:t>
      </w:r>
      <w:r>
        <w:rPr>
          <w:lang w:val="fr-FR"/>
        </w:rPr>
        <w:t xml:space="preserve"> Cela a également été pris en compte dans la proposition révisée</w:t>
      </w:r>
      <w:r w:rsidR="005644F4" w:rsidRPr="005644F4">
        <w:rPr>
          <w:lang w:val="fr-FR"/>
        </w:rPr>
        <w:t>.</w:t>
      </w:r>
    </w:p>
    <w:p w14:paraId="3976465C" w14:textId="562FC7F5" w:rsidR="007005B2" w:rsidRPr="00C214D5" w:rsidRDefault="007005B2" w:rsidP="007005B2">
      <w:pPr>
        <w:pStyle w:val="SingleTxtG"/>
        <w:keepNext/>
        <w:keepLines/>
      </w:pPr>
      <w:r>
        <w:rPr>
          <w:lang w:val="fr-FR"/>
        </w:rPr>
        <w:t>12</w:t>
      </w:r>
      <w:r w:rsidR="005644F4" w:rsidRPr="005644F4">
        <w:rPr>
          <w:lang w:val="fr-FR"/>
        </w:rPr>
        <w:t>.</w:t>
      </w:r>
      <w:r>
        <w:rPr>
          <w:lang w:val="fr-FR"/>
        </w:rPr>
        <w:tab/>
        <w:t xml:space="preserve">Enfin, pour les TMAH solides, le classement et les conditions de transport associées proposés doivent trouver un écho dans les </w:t>
      </w:r>
      <w:proofErr w:type="spellStart"/>
      <w:r>
        <w:rPr>
          <w:lang w:val="fr-FR"/>
        </w:rPr>
        <w:t>Guiding</w:t>
      </w:r>
      <w:proofErr w:type="spellEnd"/>
      <w:r>
        <w:rPr>
          <w:lang w:val="fr-FR"/>
        </w:rPr>
        <w:t xml:space="preserve"> Principles</w:t>
      </w:r>
      <w:r w:rsidR="005644F4" w:rsidRPr="005644F4">
        <w:rPr>
          <w:lang w:val="fr-FR"/>
        </w:rPr>
        <w:t>.</w:t>
      </w:r>
      <w:r>
        <w:rPr>
          <w:lang w:val="fr-FR"/>
        </w:rPr>
        <w:t xml:space="preserve"> Dans le tableau 4</w:t>
      </w:r>
      <w:r w:rsidR="005644F4" w:rsidRPr="005644F4">
        <w:rPr>
          <w:lang w:val="fr-FR"/>
        </w:rPr>
        <w:t>.</w:t>
      </w:r>
      <w:r>
        <w:rPr>
          <w:lang w:val="fr-FR"/>
        </w:rPr>
        <w:t xml:space="preserve">2 desdits </w:t>
      </w:r>
      <w:proofErr w:type="spellStart"/>
      <w:r w:rsidRPr="00D372C7">
        <w:rPr>
          <w:lang w:val="fr-FR"/>
        </w:rPr>
        <w:t>Guiding</w:t>
      </w:r>
      <w:proofErr w:type="spellEnd"/>
      <w:r w:rsidRPr="00D372C7">
        <w:rPr>
          <w:lang w:val="fr-FR"/>
        </w:rPr>
        <w:t xml:space="preserve"> Principles</w:t>
      </w:r>
      <w:r>
        <w:rPr>
          <w:lang w:val="fr-FR"/>
        </w:rPr>
        <w:t>, où il est question du transport en grands récipients pour vrac (GRV) soumis à l’approbation de l’autorité compétente (IBC99), il convient d’ajouter le No ONU 3423, HYDROXYDE DE TETRAMETHYLAMMONIUM, SOLIDE</w:t>
      </w:r>
      <w:r w:rsidR="005644F4" w:rsidRPr="005644F4">
        <w:rPr>
          <w:lang w:val="fr-FR"/>
        </w:rPr>
        <w:t>.</w:t>
      </w:r>
    </w:p>
    <w:p w14:paraId="10FCCEF7" w14:textId="77777777" w:rsidR="007005B2" w:rsidRPr="00C214D5" w:rsidRDefault="007005B2" w:rsidP="007005B2">
      <w:pPr>
        <w:pStyle w:val="HChG"/>
      </w:pPr>
      <w:r>
        <w:rPr>
          <w:lang w:val="fr-FR"/>
        </w:rPr>
        <w:tab/>
      </w:r>
      <w:r>
        <w:rPr>
          <w:lang w:val="fr-FR"/>
        </w:rPr>
        <w:tab/>
        <w:t>Proposition</w:t>
      </w:r>
    </w:p>
    <w:p w14:paraId="4D9C8A82" w14:textId="258D5527" w:rsidR="007005B2" w:rsidRPr="00C214D5" w:rsidRDefault="007005B2" w:rsidP="007005B2">
      <w:pPr>
        <w:pStyle w:val="SingleTxtG"/>
      </w:pPr>
      <w:r>
        <w:rPr>
          <w:lang w:val="fr-FR"/>
        </w:rPr>
        <w:t>13</w:t>
      </w:r>
      <w:r w:rsidR="005644F4" w:rsidRPr="005644F4">
        <w:rPr>
          <w:lang w:val="fr-FR"/>
        </w:rPr>
        <w:t>.</w:t>
      </w:r>
      <w:r>
        <w:rPr>
          <w:lang w:val="fr-FR"/>
        </w:rPr>
        <w:tab/>
        <w:t>Compte tenu des modifications proposées ci-dessus, modifier le point 3</w:t>
      </w:r>
      <w:r w:rsidR="005644F4" w:rsidRPr="005644F4">
        <w:rPr>
          <w:lang w:val="fr-FR"/>
        </w:rPr>
        <w:t>.</w:t>
      </w:r>
      <w:r>
        <w:rPr>
          <w:lang w:val="fr-FR"/>
        </w:rPr>
        <w:t>2</w:t>
      </w:r>
      <w:r w:rsidR="005644F4" w:rsidRPr="005644F4">
        <w:rPr>
          <w:lang w:val="fr-FR"/>
        </w:rPr>
        <w:t>.</w:t>
      </w:r>
      <w:r>
        <w:rPr>
          <w:lang w:val="fr-FR"/>
        </w:rPr>
        <w:t xml:space="preserve">2 (Liste des marchandises dangereuses) comme suit (les modifications qu’il est proposé d’apporter figurent en caractères </w:t>
      </w:r>
      <w:r>
        <w:rPr>
          <w:u w:val="single"/>
          <w:lang w:val="fr-FR"/>
        </w:rPr>
        <w:t xml:space="preserve">soulignés </w:t>
      </w:r>
      <w:r>
        <w:rPr>
          <w:lang w:val="fr-FR"/>
        </w:rPr>
        <w:t xml:space="preserve">pour les ajouts et </w:t>
      </w:r>
      <w:r>
        <w:rPr>
          <w:strike/>
          <w:lang w:val="fr-FR"/>
        </w:rPr>
        <w:t xml:space="preserve">biffés </w:t>
      </w:r>
      <w:r>
        <w:rPr>
          <w:lang w:val="fr-FR"/>
        </w:rPr>
        <w:t>pour les suppressions) :</w:t>
      </w:r>
    </w:p>
    <w:tbl>
      <w:tblPr>
        <w:tblStyle w:val="TableGrid"/>
        <w:tblW w:w="9629" w:type="dxa"/>
        <w:tblLayout w:type="fixed"/>
        <w:tblLook w:val="04A0" w:firstRow="1" w:lastRow="0" w:firstColumn="1" w:lastColumn="0" w:noHBand="0" w:noVBand="1"/>
      </w:tblPr>
      <w:tblGrid>
        <w:gridCol w:w="421"/>
        <w:gridCol w:w="1730"/>
        <w:gridCol w:w="560"/>
        <w:gridCol w:w="742"/>
        <w:gridCol w:w="812"/>
        <w:gridCol w:w="938"/>
        <w:gridCol w:w="503"/>
        <w:gridCol w:w="644"/>
        <w:gridCol w:w="798"/>
        <w:gridCol w:w="826"/>
        <w:gridCol w:w="854"/>
        <w:gridCol w:w="801"/>
      </w:tblGrid>
      <w:tr w:rsidR="007005B2" w:rsidRPr="00C214D5" w14:paraId="066E508F" w14:textId="77777777" w:rsidTr="007005B2">
        <w:trPr>
          <w:trHeight w:val="444"/>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97A8096" w14:textId="77777777" w:rsidR="007005B2" w:rsidRPr="007005B2" w:rsidRDefault="007005B2" w:rsidP="007005B2">
            <w:pPr>
              <w:spacing w:before="40" w:after="40" w:line="200" w:lineRule="atLeast"/>
              <w:ind w:left="28" w:right="28"/>
              <w:jc w:val="center"/>
              <w:rPr>
                <w:b/>
                <w:bCs/>
                <w:iCs/>
                <w:sz w:val="14"/>
                <w:szCs w:val="14"/>
              </w:rPr>
            </w:pPr>
            <w:r w:rsidRPr="007005B2">
              <w:rPr>
                <w:b/>
                <w:bCs/>
                <w:iCs/>
                <w:sz w:val="14"/>
                <w:szCs w:val="14"/>
              </w:rPr>
              <w:t>No ONU</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BA3A86C" w14:textId="77777777" w:rsidR="007005B2" w:rsidRPr="007005B2" w:rsidRDefault="007005B2" w:rsidP="007005B2">
            <w:pPr>
              <w:spacing w:before="40" w:after="40" w:line="200" w:lineRule="atLeast"/>
              <w:ind w:left="28" w:right="28"/>
              <w:jc w:val="center"/>
              <w:rPr>
                <w:b/>
                <w:bCs/>
                <w:iCs/>
                <w:sz w:val="14"/>
                <w:szCs w:val="14"/>
                <w:lang w:val="en-GB"/>
              </w:rPr>
            </w:pPr>
            <w:r w:rsidRPr="007005B2">
              <w:rPr>
                <w:b/>
                <w:bCs/>
                <w:iCs/>
                <w:sz w:val="14"/>
                <w:szCs w:val="14"/>
              </w:rPr>
              <w:t>Nom et description</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0811E57" w14:textId="77777777" w:rsidR="007005B2" w:rsidRPr="007005B2" w:rsidRDefault="007005B2" w:rsidP="007005B2">
            <w:pPr>
              <w:spacing w:before="40" w:after="40" w:line="200" w:lineRule="atLeast"/>
              <w:ind w:left="28" w:right="28"/>
              <w:jc w:val="center"/>
              <w:rPr>
                <w:b/>
                <w:bCs/>
                <w:iCs/>
                <w:sz w:val="14"/>
                <w:szCs w:val="14"/>
                <w:lang w:val="en-GB"/>
              </w:rPr>
            </w:pPr>
            <w:r w:rsidRPr="007005B2">
              <w:rPr>
                <w:b/>
                <w:bCs/>
                <w:iCs/>
                <w:sz w:val="14"/>
                <w:szCs w:val="14"/>
              </w:rPr>
              <w:t>Classe</w:t>
            </w:r>
            <w:r w:rsidRPr="007005B2">
              <w:rPr>
                <w:b/>
                <w:bCs/>
                <w:iCs/>
                <w:sz w:val="14"/>
                <w:szCs w:val="14"/>
              </w:rPr>
              <w:br/>
              <w:t>ou division</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475A0AF" w14:textId="3AFB6271" w:rsidR="007005B2" w:rsidRPr="007005B2" w:rsidRDefault="007005B2" w:rsidP="007005B2">
            <w:pPr>
              <w:spacing w:before="40" w:after="40" w:line="200" w:lineRule="atLeast"/>
              <w:ind w:left="28" w:right="28"/>
              <w:jc w:val="center"/>
              <w:rPr>
                <w:b/>
                <w:bCs/>
                <w:iCs/>
                <w:sz w:val="14"/>
                <w:szCs w:val="14"/>
                <w:lang w:val="en-GB"/>
              </w:rPr>
            </w:pPr>
            <w:r w:rsidRPr="007005B2">
              <w:rPr>
                <w:b/>
                <w:bCs/>
                <w:iCs/>
                <w:sz w:val="14"/>
                <w:szCs w:val="14"/>
              </w:rPr>
              <w:t>Danger subsidiaire</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FA23270" w14:textId="77777777" w:rsidR="007005B2" w:rsidRPr="007005B2" w:rsidRDefault="007005B2" w:rsidP="007005B2">
            <w:pPr>
              <w:spacing w:before="40" w:after="40" w:line="200" w:lineRule="atLeast"/>
              <w:ind w:left="28" w:right="28"/>
              <w:jc w:val="center"/>
              <w:rPr>
                <w:b/>
                <w:bCs/>
                <w:iCs/>
                <w:sz w:val="14"/>
                <w:szCs w:val="14"/>
                <w:lang w:val="en-GB"/>
              </w:rPr>
            </w:pPr>
            <w:r w:rsidRPr="007005B2">
              <w:rPr>
                <w:b/>
                <w:bCs/>
                <w:iCs/>
                <w:sz w:val="14"/>
                <w:szCs w:val="14"/>
              </w:rPr>
              <w:t>Groupe d’emballage</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75DCDD" w14:textId="77777777" w:rsidR="007005B2" w:rsidRPr="007005B2" w:rsidRDefault="007005B2" w:rsidP="007005B2">
            <w:pPr>
              <w:spacing w:before="40" w:after="40" w:line="200" w:lineRule="atLeast"/>
              <w:ind w:left="28" w:right="28"/>
              <w:jc w:val="center"/>
              <w:rPr>
                <w:b/>
                <w:bCs/>
                <w:iCs/>
                <w:sz w:val="14"/>
                <w:szCs w:val="14"/>
                <w:lang w:val="en-GB"/>
              </w:rPr>
            </w:pPr>
            <w:r w:rsidRPr="007005B2">
              <w:rPr>
                <w:b/>
                <w:bCs/>
                <w:iCs/>
                <w:sz w:val="14"/>
                <w:szCs w:val="14"/>
              </w:rPr>
              <w:t>Dispositions spéciales</w:t>
            </w:r>
          </w:p>
        </w:tc>
        <w:tc>
          <w:tcPr>
            <w:tcW w:w="11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0A6CC9A" w14:textId="77777777" w:rsidR="007005B2" w:rsidRPr="007005B2" w:rsidRDefault="007005B2" w:rsidP="007005B2">
            <w:pPr>
              <w:spacing w:before="40" w:after="40" w:line="200" w:lineRule="atLeast"/>
              <w:ind w:left="28" w:right="28"/>
              <w:jc w:val="center"/>
              <w:rPr>
                <w:b/>
                <w:bCs/>
                <w:iCs/>
                <w:sz w:val="14"/>
                <w:szCs w:val="14"/>
                <w:lang w:val="en-GB"/>
              </w:rPr>
            </w:pPr>
            <w:r w:rsidRPr="007005B2">
              <w:rPr>
                <w:b/>
                <w:bCs/>
                <w:iCs/>
                <w:sz w:val="14"/>
                <w:szCs w:val="14"/>
              </w:rPr>
              <w:t>Quantités limitées et exceptées</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03D9E7" w14:textId="77777777" w:rsidR="007005B2" w:rsidRPr="007005B2" w:rsidRDefault="007005B2" w:rsidP="007005B2">
            <w:pPr>
              <w:spacing w:before="40" w:after="40" w:line="200" w:lineRule="atLeast"/>
              <w:ind w:left="28" w:right="28"/>
              <w:jc w:val="center"/>
              <w:rPr>
                <w:b/>
                <w:bCs/>
                <w:iCs/>
                <w:sz w:val="14"/>
                <w:szCs w:val="14"/>
                <w:lang w:val="en-GB"/>
              </w:rPr>
            </w:pPr>
            <w:r w:rsidRPr="007005B2">
              <w:rPr>
                <w:b/>
                <w:bCs/>
                <w:iCs/>
                <w:sz w:val="14"/>
                <w:szCs w:val="14"/>
              </w:rPr>
              <w:t>Emballages et GRV</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CB6855" w14:textId="77777777" w:rsidR="007005B2" w:rsidRPr="007005B2" w:rsidRDefault="007005B2" w:rsidP="007005B2">
            <w:pPr>
              <w:spacing w:before="40" w:after="40" w:line="200" w:lineRule="atLeast"/>
              <w:ind w:left="28" w:right="28"/>
              <w:jc w:val="center"/>
              <w:rPr>
                <w:b/>
                <w:bCs/>
                <w:iCs/>
                <w:sz w:val="14"/>
                <w:szCs w:val="14"/>
              </w:rPr>
            </w:pPr>
            <w:r w:rsidRPr="007005B2">
              <w:rPr>
                <w:b/>
                <w:bCs/>
                <w:iCs/>
                <w:sz w:val="14"/>
                <w:szCs w:val="14"/>
              </w:rPr>
              <w:t xml:space="preserve">Citernes mobiles </w:t>
            </w:r>
            <w:r w:rsidRPr="007005B2">
              <w:rPr>
                <w:b/>
                <w:bCs/>
                <w:iCs/>
                <w:sz w:val="14"/>
                <w:szCs w:val="14"/>
              </w:rPr>
              <w:br/>
              <w:t>et conteneurs pour vrac</w:t>
            </w:r>
          </w:p>
        </w:tc>
      </w:tr>
      <w:tr w:rsidR="007005B2" w:rsidRPr="008F2CA2" w14:paraId="42305B90" w14:textId="77777777" w:rsidTr="007005B2">
        <w:trPr>
          <w:trHeight w:val="195"/>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511542F5" w14:textId="77777777" w:rsidR="007005B2" w:rsidRPr="007005B2" w:rsidRDefault="007005B2" w:rsidP="007005B2">
            <w:pPr>
              <w:spacing w:before="40" w:after="40" w:line="200" w:lineRule="atLeast"/>
              <w:ind w:left="28" w:right="28"/>
              <w:jc w:val="center"/>
              <w:rPr>
                <w:b/>
                <w:bCs/>
                <w:iCs/>
                <w:sz w:val="14"/>
                <w:szCs w:val="14"/>
              </w:rPr>
            </w:pP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7B69602" w14:textId="77777777" w:rsidR="007005B2" w:rsidRPr="007005B2" w:rsidRDefault="007005B2" w:rsidP="007005B2">
            <w:pPr>
              <w:spacing w:before="40" w:after="40" w:line="200" w:lineRule="atLeast"/>
              <w:ind w:left="28" w:right="28"/>
              <w:jc w:val="center"/>
              <w:rPr>
                <w:b/>
                <w:bCs/>
                <w:iCs/>
                <w:sz w:val="14"/>
                <w:szCs w:val="14"/>
              </w:rPr>
            </w:pPr>
          </w:p>
        </w:tc>
        <w:tc>
          <w:tcPr>
            <w:tcW w:w="56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72A59EDE" w14:textId="77777777" w:rsidR="007005B2" w:rsidRPr="007005B2" w:rsidRDefault="007005B2" w:rsidP="007005B2">
            <w:pPr>
              <w:spacing w:before="40" w:after="40" w:line="200" w:lineRule="atLeast"/>
              <w:ind w:left="28" w:right="28"/>
              <w:jc w:val="center"/>
              <w:rPr>
                <w:b/>
                <w:bCs/>
                <w:iCs/>
                <w:sz w:val="14"/>
                <w:szCs w:val="14"/>
              </w:rPr>
            </w:pPr>
          </w:p>
        </w:tc>
        <w:tc>
          <w:tcPr>
            <w:tcW w:w="74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56CCAA2D" w14:textId="77777777" w:rsidR="007005B2" w:rsidRPr="007005B2" w:rsidRDefault="007005B2" w:rsidP="007005B2">
            <w:pPr>
              <w:spacing w:before="40" w:after="40" w:line="200" w:lineRule="atLeast"/>
              <w:ind w:left="28" w:right="28"/>
              <w:jc w:val="center"/>
              <w:rPr>
                <w:b/>
                <w:bCs/>
                <w:iCs/>
                <w:sz w:val="14"/>
                <w:szCs w:val="14"/>
              </w:rPr>
            </w:pPr>
          </w:p>
        </w:tc>
        <w:tc>
          <w:tcPr>
            <w:tcW w:w="81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04A9602F" w14:textId="77777777" w:rsidR="007005B2" w:rsidRPr="007005B2" w:rsidRDefault="007005B2" w:rsidP="007005B2">
            <w:pPr>
              <w:spacing w:before="40" w:after="40" w:line="200" w:lineRule="atLeast"/>
              <w:ind w:left="28" w:right="28"/>
              <w:jc w:val="center"/>
              <w:rPr>
                <w:b/>
                <w:bCs/>
                <w:iCs/>
                <w:sz w:val="14"/>
                <w:szCs w:val="14"/>
              </w:rPr>
            </w:pPr>
          </w:p>
        </w:tc>
        <w:tc>
          <w:tcPr>
            <w:tcW w:w="93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70DBAAC3" w14:textId="77777777" w:rsidR="007005B2" w:rsidRPr="007005B2" w:rsidRDefault="007005B2" w:rsidP="007005B2">
            <w:pPr>
              <w:spacing w:before="40" w:after="40" w:line="200" w:lineRule="atLeast"/>
              <w:ind w:left="28" w:right="28"/>
              <w:jc w:val="center"/>
              <w:rPr>
                <w:b/>
                <w:bCs/>
                <w:iCs/>
                <w:sz w:val="14"/>
                <w:szCs w:val="14"/>
              </w:rPr>
            </w:pPr>
          </w:p>
        </w:tc>
        <w:tc>
          <w:tcPr>
            <w:tcW w:w="1147"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632E3D1" w14:textId="77777777" w:rsidR="007005B2" w:rsidRPr="007005B2" w:rsidRDefault="007005B2" w:rsidP="007005B2">
            <w:pPr>
              <w:spacing w:before="40" w:after="40" w:line="200" w:lineRule="atLeast"/>
              <w:ind w:left="28" w:right="28"/>
              <w:jc w:val="center"/>
              <w:rPr>
                <w:b/>
                <w:bCs/>
                <w:iCs/>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A8ED5" w14:textId="77777777" w:rsidR="007005B2" w:rsidRPr="007005B2" w:rsidRDefault="007005B2" w:rsidP="007005B2">
            <w:pPr>
              <w:spacing w:before="40" w:after="40" w:line="200" w:lineRule="atLeast"/>
              <w:ind w:left="28" w:right="28"/>
              <w:jc w:val="center"/>
              <w:rPr>
                <w:b/>
                <w:bCs/>
                <w:iCs/>
                <w:sz w:val="14"/>
                <w:szCs w:val="14"/>
              </w:rPr>
            </w:pPr>
            <w:r w:rsidRPr="007005B2">
              <w:rPr>
                <w:b/>
                <w:bCs/>
                <w:iCs/>
                <w:spacing w:val="-1"/>
                <w:sz w:val="14"/>
                <w:szCs w:val="14"/>
              </w:rPr>
              <w:t>Instructions d’emballage</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66D48" w14:textId="77777777" w:rsidR="007005B2" w:rsidRPr="007005B2" w:rsidRDefault="007005B2" w:rsidP="007005B2">
            <w:pPr>
              <w:spacing w:before="40" w:after="40" w:line="200" w:lineRule="atLeast"/>
              <w:ind w:left="28" w:right="28"/>
              <w:jc w:val="center"/>
              <w:rPr>
                <w:b/>
                <w:bCs/>
                <w:iCs/>
                <w:sz w:val="14"/>
                <w:szCs w:val="14"/>
                <w:lang w:val="en-GB"/>
              </w:rPr>
            </w:pPr>
            <w:r w:rsidRPr="007005B2">
              <w:rPr>
                <w:b/>
                <w:bCs/>
                <w:iCs/>
                <w:sz w:val="14"/>
                <w:szCs w:val="14"/>
              </w:rPr>
              <w:t>Dispositions spéciales d’emballage</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B05DA" w14:textId="223F0CC6" w:rsidR="007005B2" w:rsidRPr="007005B2" w:rsidRDefault="007005B2" w:rsidP="007005B2">
            <w:pPr>
              <w:spacing w:before="40" w:after="40" w:line="200" w:lineRule="atLeast"/>
              <w:ind w:left="28" w:right="28"/>
              <w:jc w:val="center"/>
              <w:rPr>
                <w:b/>
                <w:bCs/>
                <w:iCs/>
                <w:sz w:val="14"/>
                <w:szCs w:val="14"/>
                <w:lang w:val="en-GB"/>
              </w:rPr>
            </w:pPr>
            <w:r w:rsidRPr="007005B2">
              <w:rPr>
                <w:b/>
                <w:bCs/>
                <w:iCs/>
                <w:sz w:val="14"/>
                <w:szCs w:val="14"/>
              </w:rPr>
              <w:t>Instructions</w:t>
            </w:r>
            <w:r w:rsidRPr="007005B2">
              <w:rPr>
                <w:b/>
                <w:bCs/>
                <w:iCs/>
                <w:sz w:val="14"/>
                <w:szCs w:val="14"/>
              </w:rPr>
              <w:br/>
              <w:t>de transport</w:t>
            </w:r>
          </w:p>
        </w:tc>
        <w:tc>
          <w:tcPr>
            <w:tcW w:w="8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C337F" w14:textId="77777777" w:rsidR="007005B2" w:rsidRPr="007005B2" w:rsidRDefault="007005B2" w:rsidP="007005B2">
            <w:pPr>
              <w:spacing w:before="40" w:after="40" w:line="200" w:lineRule="atLeast"/>
              <w:ind w:left="28" w:right="28"/>
              <w:jc w:val="center"/>
              <w:rPr>
                <w:b/>
                <w:bCs/>
                <w:iCs/>
                <w:sz w:val="14"/>
                <w:szCs w:val="14"/>
                <w:lang w:val="en-GB"/>
              </w:rPr>
            </w:pPr>
            <w:r w:rsidRPr="007005B2">
              <w:rPr>
                <w:b/>
                <w:bCs/>
                <w:iCs/>
                <w:sz w:val="14"/>
                <w:szCs w:val="14"/>
              </w:rPr>
              <w:t>Dispositions spéciales</w:t>
            </w:r>
          </w:p>
        </w:tc>
      </w:tr>
      <w:tr w:rsidR="007005B2" w:rsidRPr="008F2CA2" w14:paraId="6BEE86A3" w14:textId="77777777" w:rsidTr="007005B2">
        <w:trPr>
          <w:trHeight w:val="834"/>
        </w:trPr>
        <w:tc>
          <w:tcPr>
            <w:tcW w:w="421" w:type="dxa"/>
          </w:tcPr>
          <w:p w14:paraId="543587A4" w14:textId="77777777" w:rsidR="007005B2" w:rsidRPr="007005B2" w:rsidRDefault="007005B2" w:rsidP="007005B2">
            <w:pPr>
              <w:spacing w:before="40" w:after="40" w:line="200" w:lineRule="atLeast"/>
              <w:ind w:left="28" w:right="28"/>
              <w:jc w:val="both"/>
              <w:rPr>
                <w:sz w:val="16"/>
                <w:szCs w:val="16"/>
                <w:u w:val="single"/>
              </w:rPr>
            </w:pPr>
            <w:r w:rsidRPr="007005B2">
              <w:rPr>
                <w:sz w:val="16"/>
                <w:szCs w:val="16"/>
                <w:u w:val="single"/>
                <w:lang w:val="fr-FR"/>
              </w:rPr>
              <w:t>1835</w:t>
            </w:r>
          </w:p>
        </w:tc>
        <w:tc>
          <w:tcPr>
            <w:tcW w:w="1730" w:type="dxa"/>
          </w:tcPr>
          <w:p w14:paraId="62D48430" w14:textId="731D7475" w:rsidR="007005B2" w:rsidRPr="00413FD2" w:rsidRDefault="007005B2" w:rsidP="00413FD2">
            <w:pPr>
              <w:suppressAutoHyphens w:val="0"/>
              <w:spacing w:before="40" w:after="40" w:line="200" w:lineRule="atLeast"/>
              <w:ind w:left="28" w:right="28"/>
              <w:rPr>
                <w:sz w:val="16"/>
                <w:szCs w:val="16"/>
                <w:u w:val="single"/>
              </w:rPr>
            </w:pPr>
            <w:r w:rsidRPr="007005B2">
              <w:rPr>
                <w:sz w:val="16"/>
                <w:szCs w:val="16"/>
              </w:rPr>
              <w:t>HYDROXYDE DE TETRAMETHYLAM</w:t>
            </w:r>
            <w:r w:rsidR="005644F4">
              <w:rPr>
                <w:sz w:val="16"/>
                <w:szCs w:val="16"/>
              </w:rPr>
              <w:t>-</w:t>
            </w:r>
            <w:r w:rsidRPr="007005B2">
              <w:rPr>
                <w:sz w:val="16"/>
                <w:szCs w:val="16"/>
              </w:rPr>
              <w:t xml:space="preserve">MONIUM EN SOLUTION AQUEUSE </w:t>
            </w:r>
            <w:r w:rsidRPr="007005B2">
              <w:rPr>
                <w:sz w:val="16"/>
                <w:szCs w:val="16"/>
                <w:u w:val="single"/>
              </w:rPr>
              <w:t xml:space="preserve">contenant au moins 8,75 % d’hydroxyde de </w:t>
            </w:r>
            <w:proofErr w:type="spellStart"/>
            <w:r w:rsidRPr="007005B2">
              <w:rPr>
                <w:sz w:val="16"/>
                <w:szCs w:val="16"/>
                <w:u w:val="single"/>
              </w:rPr>
              <w:t>tétraméthylammonium</w:t>
            </w:r>
            <w:proofErr w:type="spellEnd"/>
            <w:r w:rsidRPr="007005B2">
              <w:rPr>
                <w:sz w:val="16"/>
                <w:szCs w:val="16"/>
                <w:u w:val="single"/>
              </w:rPr>
              <w:t xml:space="preserve"> </w:t>
            </w:r>
          </w:p>
        </w:tc>
        <w:tc>
          <w:tcPr>
            <w:tcW w:w="560" w:type="dxa"/>
          </w:tcPr>
          <w:p w14:paraId="0DE001C1" w14:textId="738FA154" w:rsidR="007005B2" w:rsidRPr="007005B2" w:rsidRDefault="007005B2" w:rsidP="007005B2">
            <w:pPr>
              <w:spacing w:before="40" w:after="40" w:line="200" w:lineRule="atLeast"/>
              <w:ind w:left="28" w:right="28"/>
              <w:jc w:val="center"/>
              <w:rPr>
                <w:sz w:val="16"/>
                <w:szCs w:val="16"/>
                <w:u w:val="single"/>
              </w:rPr>
            </w:pPr>
            <w:r w:rsidRPr="007005B2">
              <w:rPr>
                <w:sz w:val="16"/>
                <w:szCs w:val="16"/>
                <w:u w:val="single"/>
                <w:lang w:val="en-GB"/>
              </w:rPr>
              <w:t>6</w:t>
            </w:r>
            <w:r w:rsidR="005644F4" w:rsidRPr="005644F4">
              <w:rPr>
                <w:sz w:val="16"/>
                <w:szCs w:val="16"/>
                <w:u w:val="single"/>
                <w:lang w:val="en-GB"/>
              </w:rPr>
              <w:t>.</w:t>
            </w:r>
            <w:r w:rsidRPr="007005B2">
              <w:rPr>
                <w:sz w:val="16"/>
                <w:szCs w:val="16"/>
                <w:u w:val="single"/>
                <w:lang w:val="en-GB"/>
              </w:rPr>
              <w:t>1</w:t>
            </w:r>
          </w:p>
        </w:tc>
        <w:tc>
          <w:tcPr>
            <w:tcW w:w="742" w:type="dxa"/>
          </w:tcPr>
          <w:p w14:paraId="65AFF432" w14:textId="77777777" w:rsidR="007005B2" w:rsidRPr="007005B2" w:rsidRDefault="007005B2" w:rsidP="007005B2">
            <w:pPr>
              <w:spacing w:before="40" w:after="40" w:line="200" w:lineRule="atLeast"/>
              <w:ind w:left="28" w:right="28"/>
              <w:jc w:val="center"/>
              <w:rPr>
                <w:sz w:val="16"/>
                <w:szCs w:val="16"/>
                <w:u w:val="single"/>
              </w:rPr>
            </w:pPr>
            <w:r w:rsidRPr="007005B2">
              <w:rPr>
                <w:sz w:val="16"/>
                <w:szCs w:val="16"/>
                <w:u w:val="single"/>
                <w:lang w:val="en-GB"/>
              </w:rPr>
              <w:t>8</w:t>
            </w:r>
          </w:p>
        </w:tc>
        <w:tc>
          <w:tcPr>
            <w:tcW w:w="812" w:type="dxa"/>
          </w:tcPr>
          <w:p w14:paraId="2A380D03"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u w:val="single"/>
                <w:lang w:val="en-GB"/>
              </w:rPr>
              <w:t>I</w:t>
            </w:r>
          </w:p>
        </w:tc>
        <w:tc>
          <w:tcPr>
            <w:tcW w:w="938" w:type="dxa"/>
          </w:tcPr>
          <w:p w14:paraId="435806AE"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u w:val="single"/>
                <w:lang w:val="en-GB"/>
              </w:rPr>
              <w:t>279</w:t>
            </w:r>
          </w:p>
          <w:p w14:paraId="23050BD7"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u w:val="single"/>
                <w:lang w:val="en-GB"/>
              </w:rPr>
              <w:t>XXX</w:t>
            </w:r>
          </w:p>
        </w:tc>
        <w:tc>
          <w:tcPr>
            <w:tcW w:w="503" w:type="dxa"/>
          </w:tcPr>
          <w:p w14:paraId="13A40DA7" w14:textId="77777777" w:rsidR="007005B2" w:rsidRPr="007005B2" w:rsidRDefault="007005B2" w:rsidP="007005B2">
            <w:pPr>
              <w:spacing w:before="40" w:after="40" w:line="200" w:lineRule="atLeast"/>
              <w:ind w:left="28" w:right="28"/>
              <w:jc w:val="center"/>
              <w:rPr>
                <w:sz w:val="16"/>
                <w:szCs w:val="16"/>
                <w:u w:val="single"/>
              </w:rPr>
            </w:pPr>
            <w:r w:rsidRPr="007005B2">
              <w:rPr>
                <w:sz w:val="16"/>
                <w:szCs w:val="16"/>
                <w:u w:val="single"/>
                <w:lang w:val="en-GB"/>
              </w:rPr>
              <w:t>0</w:t>
            </w:r>
          </w:p>
        </w:tc>
        <w:tc>
          <w:tcPr>
            <w:tcW w:w="644" w:type="dxa"/>
          </w:tcPr>
          <w:p w14:paraId="17AC6B47"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u w:val="single"/>
                <w:lang w:val="en-GB"/>
              </w:rPr>
              <w:t>E5</w:t>
            </w:r>
          </w:p>
        </w:tc>
        <w:tc>
          <w:tcPr>
            <w:tcW w:w="798" w:type="dxa"/>
          </w:tcPr>
          <w:p w14:paraId="23F6D768" w14:textId="6F05F010" w:rsidR="007005B2" w:rsidRPr="005644F4" w:rsidRDefault="007005B2" w:rsidP="007005B2">
            <w:pPr>
              <w:spacing w:before="40" w:after="40" w:line="200" w:lineRule="atLeast"/>
              <w:ind w:left="28" w:right="28"/>
              <w:jc w:val="center"/>
              <w:rPr>
                <w:b/>
                <w:bCs/>
                <w:sz w:val="16"/>
                <w:szCs w:val="16"/>
                <w:u w:val="single"/>
                <w:lang w:val="en-GB"/>
              </w:rPr>
            </w:pPr>
            <w:r w:rsidRPr="007005B2">
              <w:rPr>
                <w:sz w:val="16"/>
                <w:szCs w:val="16"/>
                <w:u w:val="single"/>
                <w:lang w:val="en-GB"/>
              </w:rPr>
              <w:t>P001</w:t>
            </w:r>
          </w:p>
        </w:tc>
        <w:tc>
          <w:tcPr>
            <w:tcW w:w="826" w:type="dxa"/>
          </w:tcPr>
          <w:p w14:paraId="4FB27E08" w14:textId="77777777" w:rsidR="007005B2" w:rsidRPr="007005B2" w:rsidRDefault="007005B2" w:rsidP="007005B2">
            <w:pPr>
              <w:spacing w:before="40" w:after="40" w:line="200" w:lineRule="atLeast"/>
              <w:ind w:left="28" w:right="28"/>
              <w:jc w:val="center"/>
              <w:rPr>
                <w:sz w:val="16"/>
                <w:szCs w:val="16"/>
                <w:u w:val="single"/>
                <w:lang w:val="en-GB"/>
              </w:rPr>
            </w:pPr>
          </w:p>
        </w:tc>
        <w:tc>
          <w:tcPr>
            <w:tcW w:w="854" w:type="dxa"/>
          </w:tcPr>
          <w:p w14:paraId="0D99DD2A"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u w:val="single"/>
                <w:lang w:val="en-GB"/>
              </w:rPr>
              <w:t>T14</w:t>
            </w:r>
          </w:p>
        </w:tc>
        <w:tc>
          <w:tcPr>
            <w:tcW w:w="801" w:type="dxa"/>
          </w:tcPr>
          <w:p w14:paraId="62C64915"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u w:val="single"/>
                <w:lang w:val="en-GB"/>
              </w:rPr>
              <w:t>TP2</w:t>
            </w:r>
          </w:p>
        </w:tc>
      </w:tr>
      <w:tr w:rsidR="007005B2" w:rsidRPr="008F2CA2" w14:paraId="5B15198B" w14:textId="77777777" w:rsidTr="007005B2">
        <w:trPr>
          <w:trHeight w:val="834"/>
        </w:trPr>
        <w:tc>
          <w:tcPr>
            <w:tcW w:w="421" w:type="dxa"/>
          </w:tcPr>
          <w:p w14:paraId="38B01D84" w14:textId="77777777" w:rsidR="007005B2" w:rsidRPr="007005B2" w:rsidRDefault="007005B2" w:rsidP="007005B2">
            <w:pPr>
              <w:spacing w:before="40" w:after="40" w:line="200" w:lineRule="atLeast"/>
              <w:ind w:left="28" w:right="28"/>
              <w:jc w:val="both"/>
              <w:rPr>
                <w:sz w:val="16"/>
                <w:szCs w:val="16"/>
              </w:rPr>
            </w:pPr>
            <w:r w:rsidRPr="007005B2">
              <w:rPr>
                <w:sz w:val="16"/>
                <w:szCs w:val="16"/>
                <w:lang w:val="fr-FR"/>
              </w:rPr>
              <w:t>1835</w:t>
            </w:r>
          </w:p>
        </w:tc>
        <w:tc>
          <w:tcPr>
            <w:tcW w:w="1730" w:type="dxa"/>
          </w:tcPr>
          <w:p w14:paraId="77E387B1" w14:textId="274DCEDE" w:rsidR="007005B2" w:rsidRPr="007005B2" w:rsidRDefault="007005B2" w:rsidP="00413FD2">
            <w:pPr>
              <w:suppressAutoHyphens w:val="0"/>
              <w:spacing w:before="40" w:after="40" w:line="200" w:lineRule="atLeast"/>
              <w:ind w:left="28" w:right="28"/>
              <w:rPr>
                <w:sz w:val="16"/>
                <w:szCs w:val="16"/>
              </w:rPr>
            </w:pPr>
            <w:r w:rsidRPr="007005B2">
              <w:rPr>
                <w:sz w:val="16"/>
                <w:szCs w:val="16"/>
              </w:rPr>
              <w:t>HYDROXIDE DE TETRAMETHYLAM</w:t>
            </w:r>
            <w:r w:rsidR="005644F4">
              <w:rPr>
                <w:sz w:val="16"/>
                <w:szCs w:val="16"/>
              </w:rPr>
              <w:t>-</w:t>
            </w:r>
            <w:r w:rsidRPr="007005B2">
              <w:rPr>
                <w:sz w:val="16"/>
                <w:szCs w:val="16"/>
              </w:rPr>
              <w:t xml:space="preserve">MONIUM EN SOLUTION AQUEUSE </w:t>
            </w:r>
            <w:r w:rsidRPr="007005B2">
              <w:rPr>
                <w:sz w:val="16"/>
                <w:szCs w:val="16"/>
                <w:u w:val="single"/>
              </w:rPr>
              <w:t xml:space="preserve">contenant plus de 2,38 % mais moins de 8,75 % d’hydroxyde de </w:t>
            </w:r>
            <w:proofErr w:type="spellStart"/>
            <w:r w:rsidRPr="007005B2">
              <w:rPr>
                <w:sz w:val="16"/>
                <w:szCs w:val="16"/>
                <w:u w:val="single"/>
              </w:rPr>
              <w:t>tétraméthylammonium</w:t>
            </w:r>
            <w:proofErr w:type="spellEnd"/>
          </w:p>
        </w:tc>
        <w:tc>
          <w:tcPr>
            <w:tcW w:w="560" w:type="dxa"/>
          </w:tcPr>
          <w:p w14:paraId="6ED98C41" w14:textId="2573FEEB" w:rsidR="007005B2" w:rsidRPr="007005B2" w:rsidRDefault="007005B2" w:rsidP="007005B2">
            <w:pPr>
              <w:spacing w:before="40" w:after="40" w:line="200" w:lineRule="atLeast"/>
              <w:ind w:left="28" w:right="28"/>
              <w:jc w:val="center"/>
              <w:rPr>
                <w:sz w:val="16"/>
                <w:szCs w:val="16"/>
                <w:u w:val="single"/>
              </w:rPr>
            </w:pPr>
            <w:r w:rsidRPr="007005B2">
              <w:rPr>
                <w:sz w:val="16"/>
                <w:szCs w:val="16"/>
                <w:u w:val="single"/>
                <w:lang w:val="en-GB"/>
              </w:rPr>
              <w:t>6</w:t>
            </w:r>
            <w:r w:rsidR="005644F4" w:rsidRPr="005644F4">
              <w:rPr>
                <w:sz w:val="16"/>
                <w:szCs w:val="16"/>
                <w:u w:val="single"/>
                <w:lang w:val="en-GB"/>
              </w:rPr>
              <w:t>.</w:t>
            </w:r>
            <w:r w:rsidRPr="007005B2">
              <w:rPr>
                <w:sz w:val="16"/>
                <w:szCs w:val="16"/>
                <w:u w:val="single"/>
                <w:lang w:val="en-GB"/>
              </w:rPr>
              <w:t>1</w:t>
            </w:r>
            <w:r w:rsidRPr="007005B2">
              <w:rPr>
                <w:strike/>
                <w:sz w:val="16"/>
                <w:szCs w:val="16"/>
                <w:lang w:val="en-GB"/>
              </w:rPr>
              <w:t>8</w:t>
            </w:r>
          </w:p>
        </w:tc>
        <w:tc>
          <w:tcPr>
            <w:tcW w:w="742" w:type="dxa"/>
          </w:tcPr>
          <w:p w14:paraId="2AE69CAA" w14:textId="77777777" w:rsidR="007005B2" w:rsidRPr="007005B2" w:rsidRDefault="007005B2" w:rsidP="007005B2">
            <w:pPr>
              <w:spacing w:before="40" w:after="40" w:line="200" w:lineRule="atLeast"/>
              <w:ind w:left="28" w:right="28"/>
              <w:jc w:val="center"/>
              <w:rPr>
                <w:sz w:val="16"/>
                <w:szCs w:val="16"/>
                <w:u w:val="single"/>
              </w:rPr>
            </w:pPr>
            <w:r w:rsidRPr="007005B2">
              <w:rPr>
                <w:sz w:val="16"/>
                <w:szCs w:val="16"/>
                <w:u w:val="single"/>
                <w:lang w:val="en-GB"/>
              </w:rPr>
              <w:t>8</w:t>
            </w:r>
          </w:p>
        </w:tc>
        <w:tc>
          <w:tcPr>
            <w:tcW w:w="812" w:type="dxa"/>
          </w:tcPr>
          <w:p w14:paraId="6C14F3C1"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lang w:val="en-GB"/>
              </w:rPr>
              <w:t>II</w:t>
            </w:r>
          </w:p>
        </w:tc>
        <w:tc>
          <w:tcPr>
            <w:tcW w:w="938" w:type="dxa"/>
          </w:tcPr>
          <w:p w14:paraId="7AD836AF"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u w:val="single"/>
                <w:lang w:val="en-GB"/>
              </w:rPr>
              <w:t>279</w:t>
            </w:r>
          </w:p>
          <w:p w14:paraId="53B6D647"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u w:val="single"/>
                <w:lang w:val="en-GB"/>
              </w:rPr>
              <w:t>XXX</w:t>
            </w:r>
          </w:p>
        </w:tc>
        <w:tc>
          <w:tcPr>
            <w:tcW w:w="503" w:type="dxa"/>
          </w:tcPr>
          <w:p w14:paraId="284741A1" w14:textId="77777777" w:rsidR="007005B2" w:rsidRPr="007005B2" w:rsidRDefault="007005B2" w:rsidP="007005B2">
            <w:pPr>
              <w:spacing w:before="40" w:after="40" w:line="200" w:lineRule="atLeast"/>
              <w:ind w:left="28" w:right="28"/>
              <w:jc w:val="center"/>
              <w:rPr>
                <w:sz w:val="16"/>
                <w:szCs w:val="16"/>
                <w:lang w:val="en-GB"/>
              </w:rPr>
            </w:pPr>
            <w:r w:rsidRPr="007005B2">
              <w:rPr>
                <w:strike/>
                <w:sz w:val="16"/>
                <w:szCs w:val="16"/>
                <w:lang w:val="en-GB"/>
              </w:rPr>
              <w:t>1 L</w:t>
            </w:r>
            <w:r w:rsidRPr="007005B2">
              <w:rPr>
                <w:sz w:val="16"/>
                <w:szCs w:val="16"/>
                <w:lang w:val="en-GB"/>
              </w:rPr>
              <w:t xml:space="preserve"> </w:t>
            </w:r>
            <w:r w:rsidRPr="007005B2">
              <w:rPr>
                <w:sz w:val="16"/>
                <w:szCs w:val="16"/>
                <w:u w:val="single"/>
                <w:lang w:val="en-GB"/>
              </w:rPr>
              <w:t>100 ml</w:t>
            </w:r>
          </w:p>
        </w:tc>
        <w:tc>
          <w:tcPr>
            <w:tcW w:w="644" w:type="dxa"/>
          </w:tcPr>
          <w:p w14:paraId="50AD7D2D" w14:textId="77777777" w:rsidR="007005B2" w:rsidRPr="007005B2" w:rsidRDefault="007005B2" w:rsidP="007005B2">
            <w:pPr>
              <w:spacing w:before="40" w:after="40" w:line="200" w:lineRule="atLeast"/>
              <w:ind w:left="28" w:right="28"/>
              <w:jc w:val="center"/>
              <w:rPr>
                <w:sz w:val="16"/>
                <w:szCs w:val="16"/>
                <w:lang w:val="en-GB"/>
              </w:rPr>
            </w:pPr>
            <w:r w:rsidRPr="007005B2">
              <w:rPr>
                <w:strike/>
                <w:sz w:val="16"/>
                <w:szCs w:val="16"/>
                <w:lang w:val="en-GB"/>
              </w:rPr>
              <w:t>E2</w:t>
            </w:r>
            <w:r w:rsidRPr="007005B2">
              <w:rPr>
                <w:sz w:val="16"/>
                <w:szCs w:val="16"/>
                <w:lang w:val="en-GB"/>
              </w:rPr>
              <w:t xml:space="preserve"> </w:t>
            </w:r>
            <w:r w:rsidRPr="007005B2">
              <w:rPr>
                <w:sz w:val="16"/>
                <w:szCs w:val="16"/>
                <w:u w:val="single"/>
                <w:lang w:val="en-GB"/>
              </w:rPr>
              <w:t>E4</w:t>
            </w:r>
          </w:p>
        </w:tc>
        <w:tc>
          <w:tcPr>
            <w:tcW w:w="798" w:type="dxa"/>
          </w:tcPr>
          <w:p w14:paraId="2AA81053"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lang w:val="en-GB"/>
              </w:rPr>
              <w:t>P001</w:t>
            </w:r>
          </w:p>
          <w:p w14:paraId="0C8705FD"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lang w:val="en-GB"/>
              </w:rPr>
              <w:t>IBC02</w:t>
            </w:r>
          </w:p>
        </w:tc>
        <w:tc>
          <w:tcPr>
            <w:tcW w:w="826" w:type="dxa"/>
          </w:tcPr>
          <w:p w14:paraId="32FD797A" w14:textId="77777777" w:rsidR="007005B2" w:rsidRPr="007005B2" w:rsidRDefault="007005B2" w:rsidP="007005B2">
            <w:pPr>
              <w:spacing w:before="40" w:after="40" w:line="200" w:lineRule="atLeast"/>
              <w:ind w:left="28" w:right="28"/>
              <w:jc w:val="center"/>
              <w:rPr>
                <w:sz w:val="16"/>
                <w:szCs w:val="16"/>
                <w:lang w:val="en-GB"/>
              </w:rPr>
            </w:pPr>
          </w:p>
        </w:tc>
        <w:tc>
          <w:tcPr>
            <w:tcW w:w="854" w:type="dxa"/>
          </w:tcPr>
          <w:p w14:paraId="412A0A7F"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lang w:val="en-GB"/>
              </w:rPr>
              <w:t>T7</w:t>
            </w:r>
          </w:p>
        </w:tc>
        <w:tc>
          <w:tcPr>
            <w:tcW w:w="801" w:type="dxa"/>
          </w:tcPr>
          <w:p w14:paraId="04E1876D"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lang w:val="en-GB"/>
              </w:rPr>
              <w:t>TP2</w:t>
            </w:r>
          </w:p>
        </w:tc>
      </w:tr>
      <w:tr w:rsidR="007005B2" w:rsidRPr="008F2CA2" w14:paraId="08DA378C" w14:textId="77777777" w:rsidTr="007005B2">
        <w:trPr>
          <w:trHeight w:val="834"/>
        </w:trPr>
        <w:tc>
          <w:tcPr>
            <w:tcW w:w="421" w:type="dxa"/>
          </w:tcPr>
          <w:p w14:paraId="5381C522" w14:textId="77777777" w:rsidR="007005B2" w:rsidRPr="007005B2" w:rsidRDefault="007005B2" w:rsidP="007005B2">
            <w:pPr>
              <w:spacing w:before="40" w:after="40" w:line="200" w:lineRule="atLeast"/>
              <w:ind w:left="28" w:right="28"/>
              <w:jc w:val="both"/>
              <w:rPr>
                <w:sz w:val="16"/>
                <w:szCs w:val="16"/>
                <w:u w:val="single"/>
              </w:rPr>
            </w:pPr>
            <w:bookmarkStart w:id="0" w:name="_Hlk97306208"/>
            <w:r w:rsidRPr="007005B2">
              <w:rPr>
                <w:sz w:val="16"/>
                <w:szCs w:val="16"/>
                <w:lang w:val="fr-FR"/>
              </w:rPr>
              <w:t>1835</w:t>
            </w:r>
          </w:p>
        </w:tc>
        <w:tc>
          <w:tcPr>
            <w:tcW w:w="1730" w:type="dxa"/>
          </w:tcPr>
          <w:p w14:paraId="75B156C5" w14:textId="0B4ABB2C" w:rsidR="007005B2" w:rsidRPr="007005B2" w:rsidRDefault="007005B2" w:rsidP="007005B2">
            <w:pPr>
              <w:suppressAutoHyphens w:val="0"/>
              <w:spacing w:before="40" w:after="40" w:line="200" w:lineRule="atLeast"/>
              <w:ind w:left="28" w:right="28"/>
              <w:rPr>
                <w:sz w:val="16"/>
                <w:szCs w:val="16"/>
              </w:rPr>
            </w:pPr>
            <w:r w:rsidRPr="007005B2">
              <w:rPr>
                <w:sz w:val="16"/>
                <w:szCs w:val="16"/>
              </w:rPr>
              <w:t>HYDROXIDE DE TETRAMETHYLAM</w:t>
            </w:r>
            <w:r w:rsidR="005644F4">
              <w:rPr>
                <w:sz w:val="16"/>
                <w:szCs w:val="16"/>
              </w:rPr>
              <w:t>-</w:t>
            </w:r>
            <w:r w:rsidRPr="007005B2">
              <w:rPr>
                <w:sz w:val="16"/>
                <w:szCs w:val="16"/>
              </w:rPr>
              <w:t xml:space="preserve">MONIUM EN SOLUTION AQUEUSE contenant au plus 2,38 % d’hydroxyde de </w:t>
            </w:r>
            <w:proofErr w:type="spellStart"/>
            <w:r w:rsidRPr="007005B2">
              <w:rPr>
                <w:sz w:val="16"/>
                <w:szCs w:val="16"/>
              </w:rPr>
              <w:t>tétraméthylammonium</w:t>
            </w:r>
            <w:proofErr w:type="spellEnd"/>
          </w:p>
        </w:tc>
        <w:tc>
          <w:tcPr>
            <w:tcW w:w="560" w:type="dxa"/>
          </w:tcPr>
          <w:p w14:paraId="2F5AC126" w14:textId="77777777" w:rsidR="007005B2" w:rsidRPr="007005B2" w:rsidRDefault="007005B2" w:rsidP="007005B2">
            <w:pPr>
              <w:spacing w:before="40" w:after="40" w:line="200" w:lineRule="atLeast"/>
              <w:ind w:left="28" w:right="28"/>
              <w:jc w:val="center"/>
              <w:rPr>
                <w:sz w:val="16"/>
                <w:szCs w:val="16"/>
                <w:u w:val="single"/>
              </w:rPr>
            </w:pPr>
            <w:r w:rsidRPr="007005B2">
              <w:rPr>
                <w:sz w:val="16"/>
                <w:szCs w:val="16"/>
                <w:lang w:val="en-GB"/>
              </w:rPr>
              <w:t>8</w:t>
            </w:r>
          </w:p>
        </w:tc>
        <w:tc>
          <w:tcPr>
            <w:tcW w:w="742" w:type="dxa"/>
          </w:tcPr>
          <w:p w14:paraId="47B092C4" w14:textId="77777777" w:rsidR="007005B2" w:rsidRPr="007005B2" w:rsidRDefault="007005B2" w:rsidP="007005B2">
            <w:pPr>
              <w:spacing w:before="40" w:after="40" w:line="200" w:lineRule="atLeast"/>
              <w:ind w:left="28" w:right="28"/>
              <w:jc w:val="center"/>
              <w:rPr>
                <w:sz w:val="16"/>
                <w:szCs w:val="16"/>
                <w:u w:val="single"/>
                <w:lang w:val="en-GB"/>
              </w:rPr>
            </w:pPr>
          </w:p>
        </w:tc>
        <w:tc>
          <w:tcPr>
            <w:tcW w:w="812" w:type="dxa"/>
          </w:tcPr>
          <w:p w14:paraId="5BFB3960"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lang w:val="en-GB"/>
              </w:rPr>
              <w:t>III</w:t>
            </w:r>
          </w:p>
        </w:tc>
        <w:tc>
          <w:tcPr>
            <w:tcW w:w="938" w:type="dxa"/>
          </w:tcPr>
          <w:p w14:paraId="4FD4FF5A"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lang w:val="en-GB"/>
              </w:rPr>
              <w:t>223</w:t>
            </w:r>
          </w:p>
          <w:p w14:paraId="0B12B8A9" w14:textId="173BBC5B" w:rsidR="007005B2" w:rsidRPr="00413FD2" w:rsidRDefault="007005B2" w:rsidP="007005B2">
            <w:pPr>
              <w:spacing w:before="40" w:after="40" w:line="200" w:lineRule="atLeast"/>
              <w:ind w:left="28" w:right="28"/>
              <w:jc w:val="center"/>
              <w:rPr>
                <w:sz w:val="16"/>
                <w:szCs w:val="16"/>
                <w:lang w:val="en-GB"/>
              </w:rPr>
            </w:pPr>
            <w:r w:rsidRPr="007005B2">
              <w:rPr>
                <w:sz w:val="16"/>
                <w:szCs w:val="16"/>
                <w:u w:val="single"/>
                <w:lang w:val="en-GB"/>
              </w:rPr>
              <w:t>XXX</w:t>
            </w:r>
          </w:p>
        </w:tc>
        <w:tc>
          <w:tcPr>
            <w:tcW w:w="503" w:type="dxa"/>
          </w:tcPr>
          <w:p w14:paraId="6842F113"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lang w:val="en-GB"/>
              </w:rPr>
              <w:t>5 L</w:t>
            </w:r>
          </w:p>
        </w:tc>
        <w:tc>
          <w:tcPr>
            <w:tcW w:w="644" w:type="dxa"/>
          </w:tcPr>
          <w:p w14:paraId="6B276341"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lang w:val="en-GB"/>
              </w:rPr>
              <w:t>E1</w:t>
            </w:r>
          </w:p>
        </w:tc>
        <w:tc>
          <w:tcPr>
            <w:tcW w:w="798" w:type="dxa"/>
          </w:tcPr>
          <w:p w14:paraId="6117B065"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lang w:val="en-GB"/>
              </w:rPr>
              <w:t>P001</w:t>
            </w:r>
          </w:p>
          <w:p w14:paraId="64D6EF3A"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lang w:val="en-GB"/>
              </w:rPr>
              <w:t>IBC03</w:t>
            </w:r>
          </w:p>
          <w:p w14:paraId="24A46A6D"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lang w:val="en-GB"/>
              </w:rPr>
              <w:t>LP01</w:t>
            </w:r>
          </w:p>
        </w:tc>
        <w:tc>
          <w:tcPr>
            <w:tcW w:w="826" w:type="dxa"/>
          </w:tcPr>
          <w:p w14:paraId="52938FB8" w14:textId="77777777" w:rsidR="007005B2" w:rsidRPr="007005B2" w:rsidRDefault="007005B2" w:rsidP="007005B2">
            <w:pPr>
              <w:spacing w:before="40" w:after="40" w:line="200" w:lineRule="atLeast"/>
              <w:ind w:left="28" w:right="28"/>
              <w:jc w:val="center"/>
              <w:rPr>
                <w:sz w:val="16"/>
                <w:szCs w:val="16"/>
                <w:u w:val="single"/>
                <w:lang w:val="en-GB"/>
              </w:rPr>
            </w:pPr>
          </w:p>
        </w:tc>
        <w:tc>
          <w:tcPr>
            <w:tcW w:w="854" w:type="dxa"/>
          </w:tcPr>
          <w:p w14:paraId="01FD618F"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lang w:val="en-GB"/>
              </w:rPr>
              <w:t>T7</w:t>
            </w:r>
          </w:p>
        </w:tc>
        <w:tc>
          <w:tcPr>
            <w:tcW w:w="801" w:type="dxa"/>
          </w:tcPr>
          <w:p w14:paraId="70946B03"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lang w:val="en-GB"/>
              </w:rPr>
              <w:t>TP2</w:t>
            </w:r>
          </w:p>
        </w:tc>
      </w:tr>
      <w:bookmarkEnd w:id="0"/>
      <w:tr w:rsidR="007005B2" w:rsidRPr="008F2CA2" w14:paraId="5253709F" w14:textId="77777777" w:rsidTr="007005B2">
        <w:tc>
          <w:tcPr>
            <w:tcW w:w="421" w:type="dxa"/>
            <w:hideMark/>
          </w:tcPr>
          <w:p w14:paraId="3691BE2B" w14:textId="77777777" w:rsidR="007005B2" w:rsidRPr="007005B2" w:rsidRDefault="007005B2" w:rsidP="007005B2">
            <w:pPr>
              <w:spacing w:before="40" w:after="40" w:line="200" w:lineRule="atLeast"/>
              <w:ind w:left="28" w:right="28"/>
              <w:jc w:val="both"/>
              <w:rPr>
                <w:sz w:val="16"/>
                <w:szCs w:val="16"/>
              </w:rPr>
            </w:pPr>
            <w:r w:rsidRPr="007005B2">
              <w:rPr>
                <w:sz w:val="16"/>
                <w:szCs w:val="16"/>
                <w:lang w:val="fr-FR"/>
              </w:rPr>
              <w:t>3423</w:t>
            </w:r>
          </w:p>
        </w:tc>
        <w:tc>
          <w:tcPr>
            <w:tcW w:w="1730" w:type="dxa"/>
            <w:hideMark/>
          </w:tcPr>
          <w:p w14:paraId="103935F7" w14:textId="4CFB404E" w:rsidR="007005B2" w:rsidRPr="007005B2" w:rsidRDefault="007005B2" w:rsidP="007005B2">
            <w:pPr>
              <w:spacing w:before="40" w:after="40" w:line="200" w:lineRule="atLeast"/>
              <w:ind w:left="28" w:right="28"/>
              <w:rPr>
                <w:sz w:val="16"/>
                <w:szCs w:val="16"/>
                <w:lang w:val="en-GB"/>
              </w:rPr>
            </w:pPr>
            <w:r w:rsidRPr="007005B2">
              <w:rPr>
                <w:sz w:val="16"/>
                <w:szCs w:val="16"/>
                <w:lang w:val="en-GB"/>
              </w:rPr>
              <w:t>HYDROXIDE DE TETRAMETHYLAM</w:t>
            </w:r>
            <w:r w:rsidR="005644F4">
              <w:rPr>
                <w:sz w:val="16"/>
                <w:szCs w:val="16"/>
                <w:lang w:val="en-GB"/>
              </w:rPr>
              <w:t>-</w:t>
            </w:r>
            <w:r w:rsidRPr="007005B2">
              <w:rPr>
                <w:sz w:val="16"/>
                <w:szCs w:val="16"/>
                <w:lang w:val="en-GB"/>
              </w:rPr>
              <w:t>MONIUM, SOLIDE</w:t>
            </w:r>
          </w:p>
        </w:tc>
        <w:tc>
          <w:tcPr>
            <w:tcW w:w="560" w:type="dxa"/>
            <w:hideMark/>
          </w:tcPr>
          <w:p w14:paraId="7DD7FD00" w14:textId="289B7BF5" w:rsidR="007005B2" w:rsidRPr="007005B2" w:rsidRDefault="007005B2" w:rsidP="007005B2">
            <w:pPr>
              <w:spacing w:before="40" w:after="40" w:line="200" w:lineRule="atLeast"/>
              <w:ind w:left="28" w:right="28"/>
              <w:jc w:val="center"/>
              <w:rPr>
                <w:sz w:val="16"/>
                <w:szCs w:val="16"/>
                <w:u w:val="single"/>
              </w:rPr>
            </w:pPr>
            <w:r w:rsidRPr="007005B2">
              <w:rPr>
                <w:sz w:val="16"/>
                <w:szCs w:val="16"/>
                <w:u w:val="single"/>
                <w:lang w:val="en-GB"/>
              </w:rPr>
              <w:t>6</w:t>
            </w:r>
            <w:r w:rsidR="005644F4" w:rsidRPr="005644F4">
              <w:rPr>
                <w:sz w:val="16"/>
                <w:szCs w:val="16"/>
                <w:u w:val="single"/>
                <w:lang w:val="en-GB"/>
              </w:rPr>
              <w:t>.</w:t>
            </w:r>
            <w:r w:rsidRPr="007005B2">
              <w:rPr>
                <w:sz w:val="16"/>
                <w:szCs w:val="16"/>
                <w:u w:val="single"/>
                <w:lang w:val="en-GB"/>
              </w:rPr>
              <w:t>1</w:t>
            </w:r>
            <w:r w:rsidRPr="007005B2">
              <w:rPr>
                <w:strike/>
                <w:sz w:val="16"/>
                <w:szCs w:val="16"/>
                <w:lang w:val="en-GB"/>
              </w:rPr>
              <w:t>8</w:t>
            </w:r>
          </w:p>
        </w:tc>
        <w:tc>
          <w:tcPr>
            <w:tcW w:w="742" w:type="dxa"/>
          </w:tcPr>
          <w:p w14:paraId="6211D2A6" w14:textId="77777777" w:rsidR="007005B2" w:rsidRPr="007005B2" w:rsidRDefault="007005B2" w:rsidP="007005B2">
            <w:pPr>
              <w:spacing w:before="40" w:after="40" w:line="200" w:lineRule="atLeast"/>
              <w:ind w:left="28" w:right="28"/>
              <w:jc w:val="center"/>
              <w:rPr>
                <w:sz w:val="16"/>
                <w:szCs w:val="16"/>
                <w:u w:val="single"/>
              </w:rPr>
            </w:pPr>
            <w:r w:rsidRPr="007005B2">
              <w:rPr>
                <w:sz w:val="16"/>
                <w:szCs w:val="16"/>
                <w:u w:val="single"/>
                <w:lang w:val="en-GB"/>
              </w:rPr>
              <w:t>8</w:t>
            </w:r>
          </w:p>
        </w:tc>
        <w:tc>
          <w:tcPr>
            <w:tcW w:w="812" w:type="dxa"/>
            <w:hideMark/>
          </w:tcPr>
          <w:p w14:paraId="60CB08A3"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lang w:val="en-GB"/>
              </w:rPr>
              <w:t>I</w:t>
            </w:r>
            <w:r w:rsidRPr="007005B2">
              <w:rPr>
                <w:strike/>
                <w:sz w:val="16"/>
                <w:szCs w:val="16"/>
                <w:lang w:val="en-GB"/>
              </w:rPr>
              <w:t>I</w:t>
            </w:r>
          </w:p>
        </w:tc>
        <w:tc>
          <w:tcPr>
            <w:tcW w:w="938" w:type="dxa"/>
            <w:hideMark/>
          </w:tcPr>
          <w:p w14:paraId="6817495A"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u w:val="single"/>
                <w:lang w:val="en-GB"/>
              </w:rPr>
              <w:t>279</w:t>
            </w:r>
          </w:p>
          <w:p w14:paraId="6065F05D"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u w:val="single"/>
                <w:lang w:val="en-GB"/>
              </w:rPr>
              <w:t>XXX</w:t>
            </w:r>
          </w:p>
        </w:tc>
        <w:tc>
          <w:tcPr>
            <w:tcW w:w="503" w:type="dxa"/>
            <w:hideMark/>
          </w:tcPr>
          <w:p w14:paraId="41C3047D" w14:textId="77777777" w:rsidR="007005B2" w:rsidRPr="007005B2" w:rsidRDefault="007005B2" w:rsidP="007005B2">
            <w:pPr>
              <w:spacing w:before="40" w:after="40" w:line="200" w:lineRule="atLeast"/>
              <w:ind w:left="28" w:right="28"/>
              <w:jc w:val="center"/>
              <w:rPr>
                <w:sz w:val="16"/>
                <w:szCs w:val="16"/>
                <w:lang w:val="en-GB"/>
              </w:rPr>
            </w:pPr>
            <w:r w:rsidRPr="007005B2">
              <w:rPr>
                <w:strike/>
                <w:sz w:val="16"/>
                <w:szCs w:val="16"/>
                <w:lang w:val="en-GB"/>
              </w:rPr>
              <w:t>1 kg</w:t>
            </w:r>
            <w:r w:rsidRPr="007005B2">
              <w:rPr>
                <w:sz w:val="16"/>
                <w:szCs w:val="16"/>
                <w:lang w:val="en-GB"/>
              </w:rPr>
              <w:t xml:space="preserve"> </w:t>
            </w:r>
            <w:r w:rsidRPr="007005B2">
              <w:rPr>
                <w:sz w:val="16"/>
                <w:szCs w:val="16"/>
                <w:u w:val="single"/>
                <w:lang w:val="en-GB"/>
              </w:rPr>
              <w:t>0</w:t>
            </w:r>
          </w:p>
        </w:tc>
        <w:tc>
          <w:tcPr>
            <w:tcW w:w="644" w:type="dxa"/>
            <w:hideMark/>
          </w:tcPr>
          <w:p w14:paraId="71900E0B" w14:textId="77777777" w:rsidR="007005B2" w:rsidRPr="007005B2" w:rsidRDefault="007005B2" w:rsidP="007005B2">
            <w:pPr>
              <w:spacing w:before="40" w:after="40" w:line="200" w:lineRule="atLeast"/>
              <w:ind w:left="28" w:right="28"/>
              <w:jc w:val="center"/>
              <w:rPr>
                <w:sz w:val="16"/>
                <w:szCs w:val="16"/>
                <w:lang w:val="en-GB"/>
              </w:rPr>
            </w:pPr>
            <w:r w:rsidRPr="007005B2">
              <w:rPr>
                <w:strike/>
                <w:sz w:val="16"/>
                <w:szCs w:val="16"/>
                <w:lang w:val="en-GB"/>
              </w:rPr>
              <w:t>E2</w:t>
            </w:r>
            <w:r w:rsidRPr="007005B2">
              <w:rPr>
                <w:sz w:val="16"/>
                <w:szCs w:val="16"/>
                <w:lang w:val="en-GB"/>
              </w:rPr>
              <w:t xml:space="preserve"> </w:t>
            </w:r>
            <w:r w:rsidRPr="007005B2">
              <w:rPr>
                <w:sz w:val="16"/>
                <w:szCs w:val="16"/>
                <w:u w:val="single"/>
                <w:lang w:val="en-GB"/>
              </w:rPr>
              <w:t>E5</w:t>
            </w:r>
          </w:p>
        </w:tc>
        <w:tc>
          <w:tcPr>
            <w:tcW w:w="798" w:type="dxa"/>
            <w:hideMark/>
          </w:tcPr>
          <w:p w14:paraId="3E77A5A5"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lang w:val="en-GB"/>
              </w:rPr>
              <w:t>P002</w:t>
            </w:r>
          </w:p>
          <w:p w14:paraId="0F1A8948" w14:textId="77777777" w:rsidR="007005B2" w:rsidRPr="007005B2" w:rsidRDefault="007005B2" w:rsidP="007005B2">
            <w:pPr>
              <w:spacing w:before="40" w:after="40" w:line="200" w:lineRule="atLeast"/>
              <w:ind w:left="28" w:right="28"/>
              <w:jc w:val="center"/>
              <w:rPr>
                <w:strike/>
                <w:sz w:val="16"/>
                <w:szCs w:val="16"/>
                <w:lang w:val="en-GB"/>
              </w:rPr>
            </w:pPr>
            <w:r w:rsidRPr="007005B2">
              <w:rPr>
                <w:strike/>
                <w:sz w:val="16"/>
                <w:szCs w:val="16"/>
                <w:lang w:val="en-GB"/>
              </w:rPr>
              <w:t>IBC08</w:t>
            </w:r>
          </w:p>
          <w:p w14:paraId="08113693" w14:textId="77777777" w:rsidR="007005B2" w:rsidRPr="007005B2" w:rsidRDefault="007005B2" w:rsidP="007005B2">
            <w:pPr>
              <w:spacing w:before="40" w:after="40" w:line="200" w:lineRule="atLeast"/>
              <w:ind w:left="28" w:right="28"/>
              <w:jc w:val="center"/>
              <w:rPr>
                <w:sz w:val="16"/>
                <w:szCs w:val="16"/>
                <w:u w:val="single"/>
                <w:lang w:val="en-GB"/>
              </w:rPr>
            </w:pPr>
            <w:r w:rsidRPr="007005B2">
              <w:rPr>
                <w:sz w:val="16"/>
                <w:szCs w:val="16"/>
                <w:u w:val="single"/>
                <w:lang w:val="en-GB"/>
              </w:rPr>
              <w:t>IBC99</w:t>
            </w:r>
          </w:p>
        </w:tc>
        <w:tc>
          <w:tcPr>
            <w:tcW w:w="826" w:type="dxa"/>
            <w:hideMark/>
          </w:tcPr>
          <w:p w14:paraId="17674759" w14:textId="77777777" w:rsidR="007005B2" w:rsidRPr="007005B2" w:rsidRDefault="007005B2" w:rsidP="007005B2">
            <w:pPr>
              <w:spacing w:before="40" w:after="40" w:line="200" w:lineRule="atLeast"/>
              <w:ind w:left="28" w:right="28"/>
              <w:jc w:val="center"/>
              <w:rPr>
                <w:strike/>
                <w:sz w:val="16"/>
                <w:szCs w:val="16"/>
                <w:lang w:val="en-GB"/>
              </w:rPr>
            </w:pPr>
            <w:r w:rsidRPr="007005B2">
              <w:rPr>
                <w:strike/>
                <w:sz w:val="16"/>
                <w:szCs w:val="16"/>
                <w:lang w:val="en-GB"/>
              </w:rPr>
              <w:t>B2, B4</w:t>
            </w:r>
          </w:p>
        </w:tc>
        <w:tc>
          <w:tcPr>
            <w:tcW w:w="854" w:type="dxa"/>
            <w:hideMark/>
          </w:tcPr>
          <w:p w14:paraId="7028DFAB" w14:textId="77777777" w:rsidR="007005B2" w:rsidRPr="007005B2" w:rsidRDefault="007005B2" w:rsidP="007005B2">
            <w:pPr>
              <w:spacing w:before="40" w:after="40" w:line="200" w:lineRule="atLeast"/>
              <w:ind w:left="28" w:right="28"/>
              <w:jc w:val="center"/>
              <w:rPr>
                <w:sz w:val="16"/>
                <w:szCs w:val="16"/>
                <w:lang w:val="en-GB"/>
              </w:rPr>
            </w:pPr>
            <w:r w:rsidRPr="007005B2">
              <w:rPr>
                <w:strike/>
                <w:sz w:val="16"/>
                <w:szCs w:val="16"/>
                <w:lang w:val="en-GB"/>
              </w:rPr>
              <w:t>T3</w:t>
            </w:r>
            <w:r w:rsidRPr="007005B2">
              <w:rPr>
                <w:sz w:val="16"/>
                <w:szCs w:val="16"/>
                <w:lang w:val="en-GB"/>
              </w:rPr>
              <w:t xml:space="preserve"> </w:t>
            </w:r>
            <w:r w:rsidRPr="007005B2">
              <w:rPr>
                <w:sz w:val="16"/>
                <w:szCs w:val="16"/>
                <w:u w:val="single"/>
                <w:lang w:val="en-GB"/>
              </w:rPr>
              <w:t>T6</w:t>
            </w:r>
          </w:p>
        </w:tc>
        <w:tc>
          <w:tcPr>
            <w:tcW w:w="801" w:type="dxa"/>
            <w:hideMark/>
          </w:tcPr>
          <w:p w14:paraId="6B19A81E" w14:textId="77777777" w:rsidR="007005B2" w:rsidRPr="007005B2" w:rsidRDefault="007005B2" w:rsidP="007005B2">
            <w:pPr>
              <w:spacing w:before="40" w:after="40" w:line="200" w:lineRule="atLeast"/>
              <w:ind w:left="28" w:right="28"/>
              <w:jc w:val="center"/>
              <w:rPr>
                <w:sz w:val="16"/>
                <w:szCs w:val="16"/>
                <w:lang w:val="en-GB"/>
              </w:rPr>
            </w:pPr>
            <w:r w:rsidRPr="007005B2">
              <w:rPr>
                <w:sz w:val="16"/>
                <w:szCs w:val="16"/>
                <w:lang w:val="en-GB"/>
              </w:rPr>
              <w:t>TP33</w:t>
            </w:r>
          </w:p>
        </w:tc>
      </w:tr>
    </w:tbl>
    <w:p w14:paraId="661468FD" w14:textId="5D1F9610" w:rsidR="007005B2" w:rsidRPr="00C214D5" w:rsidRDefault="007005B2" w:rsidP="007005B2">
      <w:pPr>
        <w:pStyle w:val="SingleTxtG"/>
        <w:spacing w:before="240"/>
      </w:pPr>
      <w:r>
        <w:rPr>
          <w:lang w:val="fr-FR"/>
        </w:rPr>
        <w:t>14</w:t>
      </w:r>
      <w:r w:rsidR="005644F4" w:rsidRPr="005644F4">
        <w:rPr>
          <w:lang w:val="fr-FR"/>
        </w:rPr>
        <w:t>.</w:t>
      </w:r>
      <w:r>
        <w:rPr>
          <w:lang w:val="fr-FR"/>
        </w:rPr>
        <w:tab/>
        <w:t>Au point 3</w:t>
      </w:r>
      <w:r w:rsidR="005644F4" w:rsidRPr="005644F4">
        <w:rPr>
          <w:lang w:val="fr-FR"/>
        </w:rPr>
        <w:t>.</w:t>
      </w:r>
      <w:r>
        <w:rPr>
          <w:lang w:val="fr-FR"/>
        </w:rPr>
        <w:t>3, ajouter une nouvelle disposition spéciale XXX pour mettre en place une période transitoire, comme suit :</w:t>
      </w:r>
    </w:p>
    <w:p w14:paraId="380C9AF6" w14:textId="5AB21CDD" w:rsidR="007005B2" w:rsidRPr="00C74073" w:rsidRDefault="007005B2" w:rsidP="007005B2">
      <w:pPr>
        <w:pStyle w:val="Default"/>
        <w:spacing w:after="120" w:line="240" w:lineRule="atLeast"/>
        <w:ind w:left="2835" w:right="1134" w:hanging="1134"/>
        <w:jc w:val="both"/>
        <w:rPr>
          <w:color w:val="auto"/>
          <w:sz w:val="20"/>
          <w:szCs w:val="20"/>
        </w:rPr>
      </w:pPr>
      <w:r>
        <w:rPr>
          <w:sz w:val="20"/>
          <w:szCs w:val="20"/>
          <w:lang w:val="fr-FR"/>
        </w:rPr>
        <w:t>« </w:t>
      </w:r>
      <w:r w:rsidRPr="00C74073">
        <w:rPr>
          <w:sz w:val="20"/>
          <w:szCs w:val="20"/>
          <w:lang w:val="fr-FR"/>
        </w:rPr>
        <w:t>XXX</w:t>
      </w:r>
      <w:r w:rsidRPr="00C74073">
        <w:rPr>
          <w:sz w:val="20"/>
          <w:szCs w:val="20"/>
          <w:lang w:val="fr-FR"/>
        </w:rPr>
        <w:tab/>
        <w:t>Les dispositions du 3</w:t>
      </w:r>
      <w:r w:rsidR="005644F4" w:rsidRPr="005644F4">
        <w:rPr>
          <w:sz w:val="20"/>
          <w:szCs w:val="20"/>
          <w:lang w:val="fr-FR"/>
        </w:rPr>
        <w:t>.</w:t>
      </w:r>
      <w:r w:rsidRPr="00C74073">
        <w:rPr>
          <w:sz w:val="20"/>
          <w:szCs w:val="20"/>
          <w:lang w:val="fr-FR"/>
        </w:rPr>
        <w:t>2</w:t>
      </w:r>
      <w:r w:rsidR="005644F4" w:rsidRPr="005644F4">
        <w:rPr>
          <w:sz w:val="20"/>
          <w:szCs w:val="20"/>
          <w:lang w:val="fr-FR"/>
        </w:rPr>
        <w:t>.</w:t>
      </w:r>
      <w:r w:rsidRPr="00C74073">
        <w:rPr>
          <w:sz w:val="20"/>
          <w:szCs w:val="20"/>
          <w:lang w:val="fr-FR"/>
        </w:rPr>
        <w:t xml:space="preserve">2 </w:t>
      </w:r>
      <w:proofErr w:type="gramStart"/>
      <w:r w:rsidRPr="00C74073">
        <w:rPr>
          <w:sz w:val="20"/>
          <w:szCs w:val="20"/>
          <w:lang w:val="fr-FR"/>
        </w:rPr>
        <w:t>figurant</w:t>
      </w:r>
      <w:proofErr w:type="gramEnd"/>
      <w:r w:rsidRPr="00C74073">
        <w:rPr>
          <w:sz w:val="20"/>
          <w:szCs w:val="20"/>
          <w:lang w:val="fr-FR"/>
        </w:rPr>
        <w:t xml:space="preserve"> dans la vingt-deuxième édition révisée des Recommandations relatives au transport des marchandises dangereuses, Règlement type, peuvent continuer à être appliquées jusqu</w:t>
      </w:r>
      <w:r>
        <w:rPr>
          <w:sz w:val="20"/>
          <w:szCs w:val="20"/>
          <w:lang w:val="fr-FR"/>
        </w:rPr>
        <w:t>’</w:t>
      </w:r>
      <w:r w:rsidRPr="00C74073">
        <w:rPr>
          <w:sz w:val="20"/>
          <w:szCs w:val="20"/>
          <w:lang w:val="fr-FR"/>
        </w:rPr>
        <w:t>au 31 décembre 2026</w:t>
      </w:r>
      <w:r w:rsidR="005644F4" w:rsidRPr="005644F4">
        <w:rPr>
          <w:sz w:val="20"/>
          <w:szCs w:val="20"/>
          <w:lang w:val="fr-FR"/>
        </w:rPr>
        <w:t>.</w:t>
      </w:r>
      <w:r>
        <w:rPr>
          <w:sz w:val="20"/>
          <w:szCs w:val="20"/>
          <w:lang w:val="fr-FR"/>
        </w:rPr>
        <w:t> »</w:t>
      </w:r>
      <w:r w:rsidR="005644F4" w:rsidRPr="005644F4">
        <w:rPr>
          <w:sz w:val="20"/>
          <w:szCs w:val="20"/>
          <w:lang w:val="fr-FR"/>
        </w:rPr>
        <w:t>.</w:t>
      </w:r>
    </w:p>
    <w:p w14:paraId="56A19C2B" w14:textId="5671646D" w:rsidR="007005B2" w:rsidRPr="00C214D5" w:rsidRDefault="007005B2" w:rsidP="007005B2">
      <w:pPr>
        <w:pStyle w:val="SingleTxtG"/>
        <w:keepNext/>
      </w:pPr>
      <w:r>
        <w:rPr>
          <w:lang w:val="fr-FR"/>
        </w:rPr>
        <w:t>15</w:t>
      </w:r>
      <w:r w:rsidR="005644F4" w:rsidRPr="005644F4">
        <w:rPr>
          <w:lang w:val="fr-FR"/>
        </w:rPr>
        <w:t>.</w:t>
      </w:r>
      <w:r>
        <w:rPr>
          <w:lang w:val="fr-FR"/>
        </w:rPr>
        <w:tab/>
        <w:t>Ajouter au tableau 4</w:t>
      </w:r>
      <w:r w:rsidR="005644F4" w:rsidRPr="005644F4">
        <w:rPr>
          <w:lang w:val="fr-FR"/>
        </w:rPr>
        <w:t>.</w:t>
      </w:r>
      <w:r>
        <w:rPr>
          <w:lang w:val="fr-FR"/>
        </w:rPr>
        <w:t xml:space="preserve">2 des </w:t>
      </w:r>
      <w:proofErr w:type="spellStart"/>
      <w:r>
        <w:rPr>
          <w:lang w:val="fr-FR"/>
        </w:rPr>
        <w:t>Guiding</w:t>
      </w:r>
      <w:proofErr w:type="spellEnd"/>
      <w:r>
        <w:rPr>
          <w:lang w:val="fr-FR"/>
        </w:rPr>
        <w:t xml:space="preserve"> Principles la ligne suivante (les ajouts proposés figurent en caractères </w:t>
      </w:r>
      <w:r>
        <w:rPr>
          <w:u w:val="single"/>
          <w:lang w:val="fr-FR"/>
        </w:rPr>
        <w:t>soulignés</w:t>
      </w:r>
      <w:r>
        <w:rPr>
          <w:lang w:val="fr-FR"/>
        </w:rPr>
        <w:t>) :</w:t>
      </w:r>
    </w:p>
    <w:p w14:paraId="10F0FE6F" w14:textId="7EF14A4D" w:rsidR="007005B2" w:rsidRPr="007005B2" w:rsidRDefault="007005B2" w:rsidP="007005B2">
      <w:pPr>
        <w:keepNext/>
        <w:tabs>
          <w:tab w:val="left" w:pos="1701"/>
        </w:tabs>
        <w:spacing w:after="120"/>
        <w:ind w:left="1134" w:right="1134"/>
        <w:jc w:val="both"/>
        <w:rPr>
          <w:lang w:val="en-US"/>
        </w:rPr>
      </w:pPr>
      <w:r w:rsidRPr="00C214D5">
        <w:rPr>
          <w:b/>
          <w:bCs/>
          <w:lang w:val="en-US"/>
        </w:rPr>
        <w:t>Table 4</w:t>
      </w:r>
      <w:r w:rsidR="005644F4" w:rsidRPr="005644F4">
        <w:rPr>
          <w:b/>
          <w:bCs/>
          <w:lang w:val="en-US"/>
        </w:rPr>
        <w:t>.</w:t>
      </w:r>
      <w:r w:rsidRPr="00C214D5">
        <w:rPr>
          <w:b/>
          <w:bCs/>
          <w:lang w:val="en-US"/>
        </w:rPr>
        <w:t>2: Substances allowed for transport in IBCs subject to approval by the competent authority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4128"/>
        <w:gridCol w:w="1134"/>
        <w:gridCol w:w="525"/>
        <w:gridCol w:w="1176"/>
      </w:tblGrid>
      <w:tr w:rsidR="007005B2" w:rsidRPr="00B85F85" w14:paraId="6B42E122" w14:textId="77777777" w:rsidTr="00F920C4">
        <w:trPr>
          <w:trHeight w:val="257"/>
        </w:trPr>
        <w:tc>
          <w:tcPr>
            <w:tcW w:w="692" w:type="dxa"/>
          </w:tcPr>
          <w:p w14:paraId="085D8F84" w14:textId="77777777" w:rsidR="007005B2" w:rsidRPr="00B85F85" w:rsidRDefault="007005B2" w:rsidP="007005B2">
            <w:pPr>
              <w:pStyle w:val="Default"/>
              <w:keepNext/>
              <w:rPr>
                <w:sz w:val="18"/>
                <w:szCs w:val="18"/>
                <w:lang w:val="en-GB"/>
              </w:rPr>
            </w:pPr>
            <w:r w:rsidRPr="00B85F85">
              <w:rPr>
                <w:b/>
                <w:bCs/>
                <w:sz w:val="18"/>
                <w:szCs w:val="18"/>
                <w:lang w:val="en-GB"/>
              </w:rPr>
              <w:t xml:space="preserve">UN </w:t>
            </w:r>
          </w:p>
        </w:tc>
        <w:tc>
          <w:tcPr>
            <w:tcW w:w="4128" w:type="dxa"/>
          </w:tcPr>
          <w:p w14:paraId="08576E5C" w14:textId="77777777" w:rsidR="007005B2" w:rsidRPr="00B85F85" w:rsidRDefault="007005B2" w:rsidP="007005B2">
            <w:pPr>
              <w:pStyle w:val="Default"/>
              <w:keepNext/>
              <w:rPr>
                <w:sz w:val="18"/>
                <w:szCs w:val="18"/>
                <w:lang w:val="en-GB"/>
              </w:rPr>
            </w:pPr>
            <w:r w:rsidRPr="00B85F85">
              <w:rPr>
                <w:b/>
                <w:bCs/>
                <w:sz w:val="18"/>
                <w:szCs w:val="18"/>
                <w:lang w:val="en-GB"/>
              </w:rPr>
              <w:t xml:space="preserve">Name </w:t>
            </w:r>
          </w:p>
        </w:tc>
        <w:tc>
          <w:tcPr>
            <w:tcW w:w="1134" w:type="dxa"/>
          </w:tcPr>
          <w:p w14:paraId="1D3163C4" w14:textId="19F3EA1A" w:rsidR="007005B2" w:rsidRPr="00B85F85" w:rsidRDefault="007005B2" w:rsidP="007005B2">
            <w:pPr>
              <w:pStyle w:val="Default"/>
              <w:keepNext/>
              <w:rPr>
                <w:sz w:val="18"/>
                <w:szCs w:val="18"/>
                <w:lang w:val="en-GB"/>
              </w:rPr>
            </w:pPr>
            <w:r w:rsidRPr="00B85F85">
              <w:rPr>
                <w:b/>
                <w:bCs/>
                <w:sz w:val="18"/>
                <w:szCs w:val="18"/>
                <w:lang w:val="en-GB"/>
              </w:rPr>
              <w:t>Class/Div</w:t>
            </w:r>
            <w:r w:rsidR="005644F4" w:rsidRPr="005644F4">
              <w:rPr>
                <w:b/>
                <w:bCs/>
                <w:sz w:val="18"/>
                <w:szCs w:val="18"/>
                <w:lang w:val="en-GB"/>
              </w:rPr>
              <w:t>.</w:t>
            </w:r>
            <w:r w:rsidRPr="00B85F85">
              <w:rPr>
                <w:b/>
                <w:bCs/>
                <w:sz w:val="18"/>
                <w:szCs w:val="18"/>
                <w:lang w:val="en-GB"/>
              </w:rPr>
              <w:t xml:space="preserve"> </w:t>
            </w:r>
          </w:p>
        </w:tc>
        <w:tc>
          <w:tcPr>
            <w:tcW w:w="525" w:type="dxa"/>
          </w:tcPr>
          <w:p w14:paraId="0ACD0D5B" w14:textId="77777777" w:rsidR="007005B2" w:rsidRPr="00B85F85" w:rsidRDefault="007005B2" w:rsidP="007005B2">
            <w:pPr>
              <w:pStyle w:val="Default"/>
              <w:keepNext/>
              <w:rPr>
                <w:sz w:val="18"/>
                <w:szCs w:val="18"/>
                <w:lang w:val="en-GB"/>
              </w:rPr>
            </w:pPr>
            <w:r w:rsidRPr="00B85F85">
              <w:rPr>
                <w:b/>
                <w:bCs/>
                <w:sz w:val="18"/>
                <w:szCs w:val="18"/>
                <w:lang w:val="en-GB"/>
              </w:rPr>
              <w:t xml:space="preserve">PG </w:t>
            </w:r>
          </w:p>
        </w:tc>
        <w:tc>
          <w:tcPr>
            <w:tcW w:w="1176" w:type="dxa"/>
          </w:tcPr>
          <w:p w14:paraId="7786038B" w14:textId="77777777" w:rsidR="007005B2" w:rsidRPr="00B85F85" w:rsidRDefault="007005B2" w:rsidP="007005B2">
            <w:pPr>
              <w:pStyle w:val="Default"/>
              <w:keepNext/>
              <w:rPr>
                <w:sz w:val="18"/>
                <w:szCs w:val="18"/>
                <w:lang w:val="en-GB"/>
              </w:rPr>
            </w:pPr>
            <w:r w:rsidRPr="00B85F85">
              <w:rPr>
                <w:b/>
                <w:bCs/>
                <w:sz w:val="18"/>
                <w:szCs w:val="18"/>
                <w:lang w:val="en-GB"/>
              </w:rPr>
              <w:t xml:space="preserve">Subsidiary hazard(s) </w:t>
            </w:r>
          </w:p>
        </w:tc>
      </w:tr>
      <w:tr w:rsidR="007005B2" w:rsidRPr="00B85F85" w14:paraId="6D285454" w14:textId="77777777" w:rsidTr="00F920C4">
        <w:trPr>
          <w:trHeight w:val="134"/>
        </w:trPr>
        <w:tc>
          <w:tcPr>
            <w:tcW w:w="692" w:type="dxa"/>
          </w:tcPr>
          <w:p w14:paraId="7FC3B615" w14:textId="77777777" w:rsidR="007005B2" w:rsidRPr="00B85F85" w:rsidRDefault="007005B2" w:rsidP="007005B2">
            <w:pPr>
              <w:pStyle w:val="Default"/>
              <w:keepNext/>
              <w:rPr>
                <w:sz w:val="18"/>
                <w:szCs w:val="18"/>
                <w:u w:val="single"/>
              </w:rPr>
            </w:pPr>
            <w:r w:rsidRPr="00B85F85">
              <w:rPr>
                <w:sz w:val="18"/>
                <w:szCs w:val="18"/>
                <w:u w:val="single"/>
                <w:lang w:val="fr-FR"/>
              </w:rPr>
              <w:t>3423</w:t>
            </w:r>
            <w:r w:rsidRPr="00B85F85">
              <w:rPr>
                <w:sz w:val="18"/>
                <w:szCs w:val="18"/>
                <w:lang w:val="fr-FR"/>
              </w:rPr>
              <w:t xml:space="preserve"> </w:t>
            </w:r>
          </w:p>
        </w:tc>
        <w:tc>
          <w:tcPr>
            <w:tcW w:w="4128" w:type="dxa"/>
          </w:tcPr>
          <w:p w14:paraId="122D30A7" w14:textId="77777777" w:rsidR="007005B2" w:rsidRPr="00B85F85" w:rsidRDefault="007005B2" w:rsidP="007005B2">
            <w:pPr>
              <w:keepNext/>
              <w:suppressAutoHyphens w:val="0"/>
              <w:spacing w:line="240" w:lineRule="auto"/>
              <w:rPr>
                <w:sz w:val="18"/>
                <w:szCs w:val="18"/>
                <w:u w:val="single"/>
              </w:rPr>
            </w:pPr>
            <w:r w:rsidRPr="00B85F85">
              <w:rPr>
                <w:rFonts w:asciiTheme="majorBidi" w:hAnsiTheme="majorBidi" w:cstheme="majorBidi"/>
                <w:sz w:val="18"/>
                <w:szCs w:val="18"/>
                <w:u w:val="single"/>
              </w:rPr>
              <w:t>TETRAMETHYLAMMONIUM HYDROXIDE, SOLID</w:t>
            </w:r>
          </w:p>
        </w:tc>
        <w:tc>
          <w:tcPr>
            <w:tcW w:w="1134" w:type="dxa"/>
          </w:tcPr>
          <w:p w14:paraId="6AB0353B" w14:textId="71933B53" w:rsidR="007005B2" w:rsidRPr="00B85F85" w:rsidRDefault="007005B2" w:rsidP="007005B2">
            <w:pPr>
              <w:pStyle w:val="Default"/>
              <w:keepNext/>
              <w:rPr>
                <w:sz w:val="18"/>
                <w:szCs w:val="18"/>
                <w:u w:val="single"/>
              </w:rPr>
            </w:pPr>
            <w:r w:rsidRPr="00B85F85">
              <w:rPr>
                <w:sz w:val="18"/>
                <w:szCs w:val="18"/>
                <w:u w:val="single"/>
                <w:lang w:val="fr-FR"/>
              </w:rPr>
              <w:t>6</w:t>
            </w:r>
            <w:r w:rsidR="005644F4" w:rsidRPr="005644F4">
              <w:rPr>
                <w:sz w:val="18"/>
                <w:szCs w:val="18"/>
                <w:u w:val="single"/>
                <w:lang w:val="fr-FR"/>
              </w:rPr>
              <w:t>.</w:t>
            </w:r>
            <w:r w:rsidRPr="00B85F85">
              <w:rPr>
                <w:sz w:val="18"/>
                <w:szCs w:val="18"/>
                <w:u w:val="single"/>
                <w:lang w:val="fr-FR"/>
              </w:rPr>
              <w:t>1</w:t>
            </w:r>
          </w:p>
        </w:tc>
        <w:tc>
          <w:tcPr>
            <w:tcW w:w="525" w:type="dxa"/>
          </w:tcPr>
          <w:p w14:paraId="04F70BFA" w14:textId="77777777" w:rsidR="007005B2" w:rsidRPr="00B85F85" w:rsidRDefault="007005B2" w:rsidP="007005B2">
            <w:pPr>
              <w:pStyle w:val="Default"/>
              <w:keepNext/>
              <w:rPr>
                <w:sz w:val="18"/>
                <w:szCs w:val="18"/>
                <w:u w:val="single"/>
                <w:lang w:val="en-GB"/>
              </w:rPr>
            </w:pPr>
            <w:r w:rsidRPr="00B85F85">
              <w:rPr>
                <w:sz w:val="18"/>
                <w:szCs w:val="18"/>
                <w:u w:val="single"/>
                <w:lang w:val="en-GB"/>
              </w:rPr>
              <w:t>I</w:t>
            </w:r>
          </w:p>
        </w:tc>
        <w:tc>
          <w:tcPr>
            <w:tcW w:w="1176" w:type="dxa"/>
          </w:tcPr>
          <w:p w14:paraId="14932CBF" w14:textId="77777777" w:rsidR="007005B2" w:rsidRPr="00B85F85" w:rsidRDefault="007005B2" w:rsidP="007005B2">
            <w:pPr>
              <w:pStyle w:val="Default"/>
              <w:keepNext/>
              <w:rPr>
                <w:sz w:val="18"/>
                <w:szCs w:val="18"/>
                <w:u w:val="single"/>
              </w:rPr>
            </w:pPr>
            <w:r w:rsidRPr="00B85F85">
              <w:rPr>
                <w:sz w:val="18"/>
                <w:szCs w:val="18"/>
                <w:u w:val="single"/>
                <w:lang w:val="fr-FR"/>
              </w:rPr>
              <w:t>8</w:t>
            </w:r>
            <w:r w:rsidRPr="00B85F85">
              <w:rPr>
                <w:sz w:val="18"/>
                <w:szCs w:val="18"/>
                <w:lang w:val="fr-FR"/>
              </w:rPr>
              <w:t xml:space="preserve"> </w:t>
            </w:r>
          </w:p>
        </w:tc>
      </w:tr>
    </w:tbl>
    <w:p w14:paraId="4A248A9E" w14:textId="2E9C8B6C" w:rsidR="00446FE5" w:rsidRPr="007005B2" w:rsidRDefault="007005B2" w:rsidP="007005B2">
      <w:pPr>
        <w:pStyle w:val="SingleTxtG"/>
        <w:spacing w:before="240" w:after="0"/>
        <w:jc w:val="center"/>
        <w:rPr>
          <w:u w:val="single"/>
        </w:rPr>
      </w:pPr>
      <w:r>
        <w:rPr>
          <w:u w:val="single"/>
        </w:rPr>
        <w:tab/>
      </w:r>
      <w:r>
        <w:rPr>
          <w:u w:val="single"/>
        </w:rPr>
        <w:tab/>
      </w:r>
      <w:r>
        <w:rPr>
          <w:u w:val="single"/>
        </w:rPr>
        <w:tab/>
      </w:r>
    </w:p>
    <w:sectPr w:rsidR="00446FE5" w:rsidRPr="007005B2" w:rsidSect="007005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F55C" w14:textId="77777777" w:rsidR="00E76B83" w:rsidRDefault="00E76B83" w:rsidP="00F95C08">
      <w:pPr>
        <w:spacing w:line="240" w:lineRule="auto"/>
      </w:pPr>
    </w:p>
  </w:endnote>
  <w:endnote w:type="continuationSeparator" w:id="0">
    <w:p w14:paraId="70BD64D1" w14:textId="77777777" w:rsidR="00E76B83" w:rsidRPr="00AC3823" w:rsidRDefault="00E76B83" w:rsidP="00AC3823">
      <w:pPr>
        <w:pStyle w:val="Footer"/>
      </w:pPr>
    </w:p>
  </w:endnote>
  <w:endnote w:type="continuationNotice" w:id="1">
    <w:p w14:paraId="7FDC88CE" w14:textId="77777777" w:rsidR="00E76B83" w:rsidRDefault="00E76B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4BEC" w14:textId="509A5291" w:rsidR="007005B2" w:rsidRPr="007005B2" w:rsidRDefault="007005B2" w:rsidP="007005B2">
    <w:pPr>
      <w:pStyle w:val="Footer"/>
      <w:tabs>
        <w:tab w:val="right" w:pos="9638"/>
      </w:tabs>
    </w:pPr>
    <w:r w:rsidRPr="007005B2">
      <w:rPr>
        <w:b/>
        <w:sz w:val="18"/>
      </w:rPr>
      <w:fldChar w:fldCharType="begin"/>
    </w:r>
    <w:r w:rsidRPr="007005B2">
      <w:rPr>
        <w:b/>
        <w:sz w:val="18"/>
      </w:rPr>
      <w:instrText xml:space="preserve"> PAGE  \* MERGEFORMAT </w:instrText>
    </w:r>
    <w:r w:rsidRPr="007005B2">
      <w:rPr>
        <w:b/>
        <w:sz w:val="18"/>
      </w:rPr>
      <w:fldChar w:fldCharType="separate"/>
    </w:r>
    <w:r w:rsidRPr="007005B2">
      <w:rPr>
        <w:b/>
        <w:noProof/>
        <w:sz w:val="18"/>
      </w:rPr>
      <w:t>2</w:t>
    </w:r>
    <w:r w:rsidRPr="007005B2">
      <w:rPr>
        <w:b/>
        <w:sz w:val="18"/>
      </w:rPr>
      <w:fldChar w:fldCharType="end"/>
    </w:r>
    <w:r>
      <w:rPr>
        <w:b/>
        <w:sz w:val="18"/>
      </w:rPr>
      <w:tab/>
    </w:r>
    <w:r>
      <w:t>GE</w:t>
    </w:r>
    <w:r w:rsidR="005644F4" w:rsidRPr="005644F4">
      <w:t>.</w:t>
    </w:r>
    <w:r>
      <w:t>22-14011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9252" w14:textId="01847B4A" w:rsidR="007005B2" w:rsidRPr="007005B2" w:rsidRDefault="007005B2" w:rsidP="007005B2">
    <w:pPr>
      <w:pStyle w:val="Footer"/>
      <w:tabs>
        <w:tab w:val="right" w:pos="9638"/>
      </w:tabs>
      <w:rPr>
        <w:b/>
        <w:sz w:val="18"/>
      </w:rPr>
    </w:pPr>
    <w:r>
      <w:t>GE</w:t>
    </w:r>
    <w:r w:rsidR="005644F4" w:rsidRPr="005644F4">
      <w:t>.</w:t>
    </w:r>
    <w:r>
      <w:t>22-14011</w:t>
    </w:r>
    <w:r>
      <w:tab/>
    </w:r>
    <w:r w:rsidRPr="007005B2">
      <w:rPr>
        <w:b/>
        <w:sz w:val="18"/>
      </w:rPr>
      <w:fldChar w:fldCharType="begin"/>
    </w:r>
    <w:r w:rsidRPr="007005B2">
      <w:rPr>
        <w:b/>
        <w:sz w:val="18"/>
      </w:rPr>
      <w:instrText xml:space="preserve"> PAGE  \* MERGEFORMAT </w:instrText>
    </w:r>
    <w:r w:rsidRPr="007005B2">
      <w:rPr>
        <w:b/>
        <w:sz w:val="18"/>
      </w:rPr>
      <w:fldChar w:fldCharType="separate"/>
    </w:r>
    <w:r w:rsidRPr="007005B2">
      <w:rPr>
        <w:b/>
        <w:noProof/>
        <w:sz w:val="18"/>
      </w:rPr>
      <w:t>3</w:t>
    </w:r>
    <w:r w:rsidRPr="007005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5505" w14:textId="3E6C3D28" w:rsidR="0068456F" w:rsidRPr="007005B2" w:rsidRDefault="007005B2" w:rsidP="007005B2">
    <w:pPr>
      <w:pStyle w:val="Footer"/>
      <w:spacing w:before="120"/>
      <w:rPr>
        <w:sz w:val="20"/>
      </w:rPr>
    </w:pPr>
    <w:r>
      <w:rPr>
        <w:sz w:val="20"/>
      </w:rPr>
      <w:t>GE</w:t>
    </w:r>
    <w:r w:rsidR="005644F4" w:rsidRPr="005644F4">
      <w:rPr>
        <w:sz w:val="20"/>
      </w:rPr>
      <w:t>.</w:t>
    </w:r>
    <w:r w:rsidR="0068456F">
      <w:rPr>
        <w:noProof/>
        <w:lang w:eastAsia="fr-CH"/>
      </w:rPr>
      <w:drawing>
        <wp:anchor distT="0" distB="0" distL="114300" distR="114300" simplePos="0" relativeHeight="251659264" behindDoc="0" locked="0" layoutInCell="1" allowOverlap="0" wp14:anchorId="45875A81" wp14:editId="67BDF91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14011  (</w:t>
    </w:r>
    <w:proofErr w:type="gramEnd"/>
    <w:r>
      <w:rPr>
        <w:sz w:val="20"/>
      </w:rPr>
      <w:t>F)</w:t>
    </w:r>
    <w:r>
      <w:rPr>
        <w:noProof/>
        <w:sz w:val="20"/>
      </w:rPr>
      <w:drawing>
        <wp:anchor distT="0" distB="0" distL="114300" distR="114300" simplePos="0" relativeHeight="251660288" behindDoc="0" locked="0" layoutInCell="1" allowOverlap="1" wp14:anchorId="667B7A40" wp14:editId="7C65BF7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121022    121022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8F16" w14:textId="77777777" w:rsidR="00E76B83" w:rsidRPr="00AC3823" w:rsidRDefault="00E76B83" w:rsidP="00AC3823">
      <w:pPr>
        <w:pStyle w:val="Footer"/>
        <w:tabs>
          <w:tab w:val="right" w:pos="2155"/>
        </w:tabs>
        <w:spacing w:after="80" w:line="240" w:lineRule="atLeast"/>
        <w:ind w:left="680"/>
        <w:rPr>
          <w:u w:val="single"/>
        </w:rPr>
      </w:pPr>
      <w:r>
        <w:rPr>
          <w:u w:val="single"/>
        </w:rPr>
        <w:tab/>
      </w:r>
    </w:p>
  </w:footnote>
  <w:footnote w:type="continuationSeparator" w:id="0">
    <w:p w14:paraId="1024BC8E" w14:textId="77777777" w:rsidR="00E76B83" w:rsidRPr="00AC3823" w:rsidRDefault="00E76B83" w:rsidP="00AC3823">
      <w:pPr>
        <w:pStyle w:val="Footer"/>
        <w:tabs>
          <w:tab w:val="right" w:pos="2155"/>
        </w:tabs>
        <w:spacing w:after="80" w:line="240" w:lineRule="atLeast"/>
        <w:ind w:left="680"/>
        <w:rPr>
          <w:u w:val="single"/>
        </w:rPr>
      </w:pPr>
      <w:r>
        <w:rPr>
          <w:u w:val="single"/>
        </w:rPr>
        <w:tab/>
      </w:r>
    </w:p>
  </w:footnote>
  <w:footnote w:type="continuationNotice" w:id="1">
    <w:p w14:paraId="128EF401" w14:textId="77777777" w:rsidR="00E76B83" w:rsidRPr="00AC3823" w:rsidRDefault="00E76B83">
      <w:pPr>
        <w:spacing w:line="240" w:lineRule="auto"/>
        <w:rPr>
          <w:sz w:val="2"/>
          <w:szCs w:val="2"/>
        </w:rPr>
      </w:pPr>
    </w:p>
  </w:footnote>
  <w:footnote w:id="2">
    <w:p w14:paraId="7E4C4000" w14:textId="6AEC017C" w:rsidR="007005B2" w:rsidRPr="007005B2" w:rsidRDefault="007005B2">
      <w:pPr>
        <w:pStyle w:val="FootnoteText"/>
      </w:pPr>
      <w:r>
        <w:rPr>
          <w:rStyle w:val="FootnoteReference"/>
        </w:rPr>
        <w:tab/>
      </w:r>
      <w:r w:rsidRPr="007005B2">
        <w:rPr>
          <w:rStyle w:val="FootnoteReference"/>
          <w:sz w:val="20"/>
          <w:vertAlign w:val="baseline"/>
        </w:rPr>
        <w:t>*</w:t>
      </w:r>
      <w:r>
        <w:rPr>
          <w:rStyle w:val="FootnoteReference"/>
          <w:sz w:val="20"/>
          <w:vertAlign w:val="baseline"/>
        </w:rPr>
        <w:tab/>
      </w:r>
      <w:r>
        <w:rPr>
          <w:lang w:val="fr-FR"/>
        </w:rPr>
        <w:t>A/75/6 (Sect</w:t>
      </w:r>
      <w:r w:rsidR="005644F4" w:rsidRPr="005644F4">
        <w:rPr>
          <w:lang w:val="fr-FR"/>
        </w:rPr>
        <w:t>.</w:t>
      </w:r>
      <w:r>
        <w:rPr>
          <w:lang w:val="fr-FR"/>
        </w:rPr>
        <w:t xml:space="preserve"> 20), par</w:t>
      </w:r>
      <w:r w:rsidR="005644F4" w:rsidRPr="005644F4">
        <w:rPr>
          <w:lang w:val="fr-FR"/>
        </w:rPr>
        <w:t>.</w:t>
      </w:r>
      <w:r>
        <w:rPr>
          <w:lang w:val="fr-FR"/>
        </w:rPr>
        <w:t xml:space="preserve"> 20</w:t>
      </w:r>
      <w:r w:rsidR="005644F4" w:rsidRPr="005644F4">
        <w:rPr>
          <w:lang w:val="fr-FR"/>
        </w:rPr>
        <w:t>.</w:t>
      </w:r>
      <w:r>
        <w:rPr>
          <w:lang w:val="fr-FR"/>
        </w:rPr>
        <w:t>51</w:t>
      </w:r>
      <w:r w:rsidR="005644F4" w:rsidRPr="005644F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AF3F" w14:textId="5516F2BD" w:rsidR="007005B2" w:rsidRPr="007005B2" w:rsidRDefault="00E76B83">
    <w:pPr>
      <w:pStyle w:val="Header"/>
    </w:pPr>
    <w:r>
      <w:fldChar w:fldCharType="begin"/>
    </w:r>
    <w:r>
      <w:instrText xml:space="preserve"> TITLE  \* MERGEFORMAT </w:instrText>
    </w:r>
    <w:r>
      <w:fldChar w:fldCharType="separate"/>
    </w:r>
    <w:r w:rsidR="00EA3E9E">
      <w:t>ST/SG/AC.10/C.3/2022/68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9915" w14:textId="644AD2A9" w:rsidR="007005B2" w:rsidRPr="007005B2" w:rsidRDefault="00E76B83" w:rsidP="007005B2">
    <w:pPr>
      <w:pStyle w:val="Header"/>
      <w:jc w:val="right"/>
    </w:pPr>
    <w:r>
      <w:fldChar w:fldCharType="begin"/>
    </w:r>
    <w:r>
      <w:instrText xml:space="preserve"> TITLE  \* MERGEFORMAT </w:instrText>
    </w:r>
    <w:r>
      <w:fldChar w:fldCharType="separate"/>
    </w:r>
    <w:r w:rsidR="00EA3E9E">
      <w:t>ST/SG/AC.10/C.3/2022/68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AB"/>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13FD2"/>
    <w:rsid w:val="00441C3B"/>
    <w:rsid w:val="00446FE5"/>
    <w:rsid w:val="00452396"/>
    <w:rsid w:val="004E468C"/>
    <w:rsid w:val="005505B7"/>
    <w:rsid w:val="005644F4"/>
    <w:rsid w:val="00573BE5"/>
    <w:rsid w:val="00584DC4"/>
    <w:rsid w:val="00586ED3"/>
    <w:rsid w:val="00596AA9"/>
    <w:rsid w:val="00600179"/>
    <w:rsid w:val="0068456F"/>
    <w:rsid w:val="007005B2"/>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5A77"/>
    <w:rsid w:val="00B765F7"/>
    <w:rsid w:val="00BA0CA9"/>
    <w:rsid w:val="00C02897"/>
    <w:rsid w:val="00C800AB"/>
    <w:rsid w:val="00D3439C"/>
    <w:rsid w:val="00DB1831"/>
    <w:rsid w:val="00DD3BFD"/>
    <w:rsid w:val="00DF6678"/>
    <w:rsid w:val="00E76B83"/>
    <w:rsid w:val="00EA3E9E"/>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42FAA"/>
  <w15:docId w15:val="{B02841EB-DA15-4295-BCA7-5D5D90D1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7005B2"/>
    <w:rPr>
      <w:rFonts w:ascii="Times New Roman" w:eastAsiaTheme="minorHAnsi" w:hAnsi="Times New Roman" w:cs="Times New Roman"/>
      <w:b/>
      <w:sz w:val="28"/>
      <w:szCs w:val="20"/>
      <w:lang w:eastAsia="en-US"/>
    </w:rPr>
  </w:style>
  <w:style w:type="character" w:customStyle="1" w:styleId="H1GChar">
    <w:name w:val="_ H_1_G Char"/>
    <w:link w:val="H1G"/>
    <w:rsid w:val="007005B2"/>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7005B2"/>
    <w:rPr>
      <w:rFonts w:ascii="Times New Roman" w:eastAsiaTheme="minorHAnsi" w:hAnsi="Times New Roman" w:cs="Times New Roman"/>
      <w:sz w:val="20"/>
      <w:szCs w:val="20"/>
      <w:lang w:eastAsia="en-US"/>
    </w:rPr>
  </w:style>
  <w:style w:type="paragraph" w:customStyle="1" w:styleId="Default">
    <w:name w:val="Default"/>
    <w:rsid w:val="007005B2"/>
    <w:pPr>
      <w:autoSpaceDE w:val="0"/>
      <w:autoSpaceDN w:val="0"/>
      <w:adjustRightInd w:val="0"/>
      <w:spacing w:after="0" w:line="240" w:lineRule="auto"/>
    </w:pPr>
    <w:rPr>
      <w:rFonts w:ascii="Times New Roman" w:hAnsi="Times New Roman" w:cs="Times New Roma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F5412B4-B4D7-4BDF-96BD-1AB80193413D}"/>
</file>

<file path=customXml/itemProps2.xml><?xml version="1.0" encoding="utf-8"?>
<ds:datastoreItem xmlns:ds="http://schemas.openxmlformats.org/officeDocument/2006/customXml" ds:itemID="{7CFB9C31-D9AC-465B-B540-5CED00141DFA}"/>
</file>

<file path=customXml/itemProps3.xml><?xml version="1.0" encoding="utf-8"?>
<ds:datastoreItem xmlns:ds="http://schemas.openxmlformats.org/officeDocument/2006/customXml" ds:itemID="{6D298F3A-DEE5-4003-B018-8484FA10B722}"/>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ST/SG/AC.10/C.3/2022/68</vt:lpstr>
    </vt:vector>
  </TitlesOfParts>
  <Company>DCM</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ST/SG/AC.10/C.3/2022/68</dc:title>
  <dc:subject/>
  <dc:creator>Maud DARICHE</dc:creator>
  <cp:keywords/>
  <cp:lastModifiedBy>Laurence Berthet</cp:lastModifiedBy>
  <cp:revision>3</cp:revision>
  <cp:lastPrinted>2022-10-12T14:36:00Z</cp:lastPrinted>
  <dcterms:created xsi:type="dcterms:W3CDTF">2022-10-12T14:36:00Z</dcterms:created>
  <dcterms:modified xsi:type="dcterms:W3CDTF">2022-10-12T14:36:00Z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