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4ED8E745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50C6A1B" w14:textId="77777777" w:rsidR="00132EA9" w:rsidRPr="00DB58B5" w:rsidRDefault="00132EA9" w:rsidP="00B05CD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4F658C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8F7A098" w14:textId="70A0BA6D" w:rsidR="00132EA9" w:rsidRPr="00DB58B5" w:rsidRDefault="00B05CDF" w:rsidP="00B05CDF">
            <w:pPr>
              <w:jc w:val="right"/>
            </w:pPr>
            <w:r w:rsidRPr="00B05CDF">
              <w:rPr>
                <w:sz w:val="40"/>
              </w:rPr>
              <w:t>ST</w:t>
            </w:r>
            <w:r>
              <w:t>/SG/AC.10/C.3/2022/64</w:t>
            </w:r>
          </w:p>
        </w:tc>
      </w:tr>
      <w:tr w:rsidR="00132EA9" w:rsidRPr="00DB58B5" w14:paraId="7E105355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22D2C3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8622477" wp14:editId="281DC37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0708C2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DD857BE" w14:textId="2C69078C" w:rsidR="00132EA9" w:rsidRDefault="00B05CDF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672F80A4" w14:textId="77777777" w:rsidR="00B05CDF" w:rsidRDefault="00B05CDF" w:rsidP="00B05CDF">
            <w:pPr>
              <w:spacing w:line="240" w:lineRule="exact"/>
            </w:pPr>
            <w:r>
              <w:t>6 septembre 2022</w:t>
            </w:r>
          </w:p>
          <w:p w14:paraId="0D85E92E" w14:textId="77777777" w:rsidR="00B05CDF" w:rsidRDefault="00B05CDF" w:rsidP="00B05CDF">
            <w:pPr>
              <w:spacing w:line="240" w:lineRule="exact"/>
            </w:pPr>
            <w:r>
              <w:t>Français</w:t>
            </w:r>
          </w:p>
          <w:p w14:paraId="0AE7EA33" w14:textId="2EF62910" w:rsidR="00B05CDF" w:rsidRPr="00DB58B5" w:rsidRDefault="00B05CDF" w:rsidP="00B05CDF">
            <w:pPr>
              <w:spacing w:line="240" w:lineRule="exact"/>
            </w:pPr>
            <w:r>
              <w:t>Original : anglais</w:t>
            </w:r>
          </w:p>
        </w:tc>
      </w:tr>
    </w:tbl>
    <w:p w14:paraId="1EECD8CC" w14:textId="77777777" w:rsidR="00B05CDF" w:rsidRPr="00440C6E" w:rsidRDefault="00B05CDF" w:rsidP="00B05CDF">
      <w:pPr>
        <w:spacing w:before="120"/>
        <w:rPr>
          <w:b/>
          <w:bCs/>
          <w:sz w:val="24"/>
          <w:szCs w:val="24"/>
          <w:lang w:val="fr-FR"/>
        </w:rPr>
      </w:pPr>
      <w:r w:rsidRPr="00440C6E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 w:rsidRPr="00440C6E">
        <w:rPr>
          <w:b/>
          <w:bCs/>
          <w:sz w:val="24"/>
          <w:szCs w:val="24"/>
          <w:lang w:val="fr-FR"/>
        </w:rPr>
        <w:br/>
        <w:t xml:space="preserve">et du Système général harmonisé de classification </w:t>
      </w:r>
      <w:r w:rsidRPr="00440C6E">
        <w:rPr>
          <w:b/>
          <w:bCs/>
          <w:sz w:val="24"/>
          <w:szCs w:val="24"/>
          <w:lang w:val="fr-FR"/>
        </w:rPr>
        <w:br/>
        <w:t>et d’étiquetage des produits chimiques</w:t>
      </w:r>
    </w:p>
    <w:p w14:paraId="7F45C4A0" w14:textId="77777777" w:rsidR="00B05CDF" w:rsidRPr="00EA204D" w:rsidRDefault="00B05CDF" w:rsidP="00B05CDF">
      <w:pPr>
        <w:spacing w:before="120"/>
        <w:rPr>
          <w:rFonts w:ascii="Helv" w:hAnsi="Helv" w:cs="Helv"/>
          <w:b/>
          <w:color w:val="000000"/>
          <w:lang w:val="fr-FR"/>
        </w:rPr>
      </w:pPr>
      <w:r w:rsidRPr="00EA204D">
        <w:rPr>
          <w:b/>
          <w:bCs/>
          <w:lang w:val="fr-FR"/>
        </w:rPr>
        <w:t>Sous-Comité d</w:t>
      </w:r>
      <w:r>
        <w:rPr>
          <w:b/>
          <w:bCs/>
          <w:lang w:val="fr-FR"/>
        </w:rPr>
        <w:t>’</w:t>
      </w:r>
      <w:r w:rsidRPr="00EA204D">
        <w:rPr>
          <w:b/>
          <w:bCs/>
          <w:lang w:val="fr-FR"/>
        </w:rPr>
        <w:t>experts du transport des marchandises dangereuses</w:t>
      </w:r>
    </w:p>
    <w:p w14:paraId="32952902" w14:textId="77777777" w:rsidR="00B05CDF" w:rsidRPr="00EA204D" w:rsidRDefault="00B05CDF" w:rsidP="00B05CDF">
      <w:pPr>
        <w:spacing w:before="120"/>
        <w:rPr>
          <w:b/>
          <w:lang w:val="fr-FR"/>
        </w:rPr>
      </w:pPr>
      <w:r w:rsidRPr="00EA204D">
        <w:rPr>
          <w:b/>
          <w:bCs/>
          <w:lang w:val="fr-FR"/>
        </w:rPr>
        <w:t>Soixante et unième session</w:t>
      </w:r>
    </w:p>
    <w:p w14:paraId="1F53075F" w14:textId="77777777" w:rsidR="00B05CDF" w:rsidRPr="00EA204D" w:rsidRDefault="00B05CDF" w:rsidP="00B05CDF">
      <w:pPr>
        <w:rPr>
          <w:lang w:val="fr-FR"/>
        </w:rPr>
      </w:pPr>
      <w:r w:rsidRPr="00EA204D">
        <w:rPr>
          <w:lang w:val="fr-FR"/>
        </w:rPr>
        <w:t xml:space="preserve">Genève, 28 novembre-6 décembre 2022 </w:t>
      </w:r>
    </w:p>
    <w:p w14:paraId="4F4E9297" w14:textId="77777777" w:rsidR="00B05CDF" w:rsidRPr="00EA204D" w:rsidRDefault="00B05CDF" w:rsidP="00B05CDF">
      <w:pPr>
        <w:rPr>
          <w:lang w:val="fr-FR"/>
        </w:rPr>
      </w:pPr>
      <w:r w:rsidRPr="00EA204D">
        <w:rPr>
          <w:lang w:val="fr-FR"/>
        </w:rPr>
        <w:t>Point 3 de l</w:t>
      </w:r>
      <w:r>
        <w:rPr>
          <w:lang w:val="fr-FR"/>
        </w:rPr>
        <w:t>’</w:t>
      </w:r>
      <w:r w:rsidRPr="00EA204D">
        <w:rPr>
          <w:lang w:val="fr-FR"/>
        </w:rPr>
        <w:t>ordre du jour provisoire</w:t>
      </w:r>
    </w:p>
    <w:p w14:paraId="6FA73213" w14:textId="18EEDB57" w:rsidR="00B05CDF" w:rsidRPr="00EA204D" w:rsidRDefault="00B05CDF" w:rsidP="00B05CDF">
      <w:pPr>
        <w:rPr>
          <w:b/>
          <w:bCs/>
          <w:lang w:val="fr-FR"/>
        </w:rPr>
      </w:pPr>
      <w:r w:rsidRPr="00EA204D">
        <w:rPr>
          <w:b/>
          <w:bCs/>
          <w:lang w:val="fr-FR"/>
        </w:rPr>
        <w:t>Inscription, classement et emballage</w:t>
      </w:r>
    </w:p>
    <w:p w14:paraId="7C38FA69" w14:textId="1E616902" w:rsidR="00B05CDF" w:rsidRPr="00EA204D" w:rsidRDefault="00B05CDF" w:rsidP="00B05CDF">
      <w:pPr>
        <w:pStyle w:val="HChG"/>
        <w:rPr>
          <w:bCs/>
          <w:lang w:val="fr-FR"/>
        </w:rPr>
      </w:pPr>
      <w:r w:rsidRPr="00EA204D">
        <w:rPr>
          <w:lang w:val="fr-FR"/>
        </w:rPr>
        <w:tab/>
      </w:r>
      <w:r w:rsidRPr="00EA204D">
        <w:rPr>
          <w:lang w:val="fr-FR"/>
        </w:rPr>
        <w:tab/>
      </w:r>
      <w:r w:rsidRPr="00EA204D">
        <w:rPr>
          <w:lang w:val="fr-FR"/>
        </w:rPr>
        <w:tab/>
        <w:t xml:space="preserve">Épreuves du feu prescrites dans les dispositions </w:t>
      </w:r>
      <w:r>
        <w:rPr>
          <w:lang w:val="fr-FR"/>
        </w:rPr>
        <w:br/>
      </w:r>
      <w:proofErr w:type="gramStart"/>
      <w:r w:rsidRPr="00EA204D">
        <w:rPr>
          <w:lang w:val="fr-FR"/>
        </w:rPr>
        <w:t>spéciales</w:t>
      </w:r>
      <w:proofErr w:type="gramEnd"/>
      <w:r w:rsidRPr="00EA204D">
        <w:rPr>
          <w:lang w:val="fr-FR"/>
        </w:rPr>
        <w:t xml:space="preserve"> 283 et </w:t>
      </w:r>
      <w:r w:rsidRPr="00EA204D">
        <w:rPr>
          <w:bCs/>
          <w:lang w:val="fr-FR"/>
        </w:rPr>
        <w:t>371</w:t>
      </w:r>
    </w:p>
    <w:p w14:paraId="30EB838F" w14:textId="17D296EC" w:rsidR="00B05CDF" w:rsidRPr="00EA204D" w:rsidRDefault="00B05CDF" w:rsidP="00B05CDF">
      <w:pPr>
        <w:pStyle w:val="H1G"/>
        <w:rPr>
          <w:bCs/>
          <w:lang w:val="fr-FR"/>
        </w:rPr>
      </w:pPr>
      <w:r w:rsidRPr="00EA204D">
        <w:rPr>
          <w:lang w:val="fr-FR"/>
        </w:rPr>
        <w:tab/>
      </w:r>
      <w:r w:rsidRPr="00EA204D">
        <w:rPr>
          <w:lang w:val="fr-FR"/>
        </w:rPr>
        <w:tab/>
        <w:t>Communication de l</w:t>
      </w:r>
      <w:r>
        <w:rPr>
          <w:lang w:val="fr-FR"/>
        </w:rPr>
        <w:t>’</w:t>
      </w:r>
      <w:r w:rsidRPr="00EA204D">
        <w:rPr>
          <w:lang w:val="fr-FR"/>
        </w:rPr>
        <w:t>expert de la Chine</w:t>
      </w:r>
      <w:r w:rsidRPr="00B05CD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622D0B3" w14:textId="77777777" w:rsidR="00B05CDF" w:rsidRPr="00EA204D" w:rsidRDefault="00B05CDF" w:rsidP="00B05CDF">
      <w:pPr>
        <w:pStyle w:val="HChG"/>
        <w:rPr>
          <w:lang w:val="fr-FR"/>
        </w:rPr>
      </w:pPr>
      <w:r w:rsidRPr="00EA204D">
        <w:rPr>
          <w:lang w:val="fr-FR"/>
        </w:rPr>
        <w:tab/>
      </w:r>
      <w:r w:rsidRPr="00EA204D">
        <w:rPr>
          <w:lang w:val="fr-FR"/>
        </w:rPr>
        <w:tab/>
        <w:t>Introduction</w:t>
      </w:r>
    </w:p>
    <w:p w14:paraId="10AD555F" w14:textId="77777777" w:rsidR="00B05CDF" w:rsidRPr="00EA204D" w:rsidRDefault="00B05CDF" w:rsidP="00B05CDF">
      <w:pPr>
        <w:pStyle w:val="SingleTxtG"/>
        <w:rPr>
          <w:lang w:val="fr-FR"/>
        </w:rPr>
      </w:pPr>
      <w:r w:rsidRPr="00EA204D">
        <w:rPr>
          <w:lang w:val="fr-FR"/>
        </w:rPr>
        <w:t>1.</w:t>
      </w:r>
      <w:r w:rsidRPr="00EA204D">
        <w:rPr>
          <w:lang w:val="fr-FR"/>
        </w:rPr>
        <w:tab/>
        <w:t>Des épreuves du feu sont prescrites dans les dispositions spéciales 283 et 371 affectées à la rubrique ONU 3164, OBJETS SOUS PRESSION PNEUMATIQUE ou HYDRAULIQUE (contenant un gaz non inflammable). Lors de l</w:t>
      </w:r>
      <w:r>
        <w:rPr>
          <w:lang w:val="fr-FR"/>
        </w:rPr>
        <w:t>’</w:t>
      </w:r>
      <w:r w:rsidRPr="00EA204D">
        <w:rPr>
          <w:lang w:val="fr-FR"/>
        </w:rPr>
        <w:t>examen de ces deux épreuves du feu, les experts de la Chine ont constaté que certaines modifications pouvaient y être apportées.</w:t>
      </w:r>
    </w:p>
    <w:p w14:paraId="64B0D807" w14:textId="77777777" w:rsidR="00B05CDF" w:rsidRPr="00EA204D" w:rsidRDefault="00B05CDF" w:rsidP="00B05CDF">
      <w:pPr>
        <w:pStyle w:val="H1G"/>
        <w:rPr>
          <w:lang w:val="fr-FR"/>
        </w:rPr>
      </w:pPr>
      <w:r w:rsidRPr="00EA204D">
        <w:rPr>
          <w:lang w:val="fr-FR"/>
        </w:rPr>
        <w:tab/>
      </w:r>
      <w:r w:rsidRPr="00EA204D">
        <w:rPr>
          <w:lang w:val="fr-FR"/>
        </w:rPr>
        <w:tab/>
      </w:r>
      <w:r w:rsidRPr="00EA204D">
        <w:rPr>
          <w:bCs/>
          <w:lang w:val="fr-FR"/>
        </w:rPr>
        <w:t>Proposition 1 : amendement de la disposition spéciale 37</w:t>
      </w:r>
      <w:r w:rsidRPr="00EA204D">
        <w:rPr>
          <w:lang w:val="fr-FR"/>
        </w:rPr>
        <w:t>1</w:t>
      </w:r>
    </w:p>
    <w:p w14:paraId="6F5C7F6C" w14:textId="783B7428" w:rsidR="00B05CDF" w:rsidRPr="00EA204D" w:rsidRDefault="00B05CDF" w:rsidP="00B05CDF">
      <w:pPr>
        <w:pStyle w:val="SingleTxtG"/>
        <w:rPr>
          <w:lang w:val="fr-FR"/>
        </w:rPr>
      </w:pPr>
      <w:r w:rsidRPr="00EA204D">
        <w:rPr>
          <w:lang w:val="fr-FR"/>
        </w:rPr>
        <w:t>2.</w:t>
      </w:r>
      <w:r w:rsidRPr="00EA204D">
        <w:rPr>
          <w:lang w:val="fr-FR"/>
        </w:rPr>
        <w:tab/>
        <w:t>La disposition spéciale 371 contient des dispositions visant à déterminer si les objets contenant un petit récipient à pression muni d</w:t>
      </w:r>
      <w:r>
        <w:rPr>
          <w:lang w:val="fr-FR"/>
        </w:rPr>
        <w:t>’</w:t>
      </w:r>
      <w:r w:rsidRPr="00EA204D">
        <w:rPr>
          <w:lang w:val="fr-FR"/>
        </w:rPr>
        <w:t>un dispositif de détente peuvent être</w:t>
      </w:r>
      <w:r w:rsidRPr="00B05CDF">
        <w:rPr>
          <w:lang w:val="fr-FR"/>
        </w:rPr>
        <w:t xml:space="preserve"> </w:t>
      </w:r>
      <w:r w:rsidRPr="00A704C3">
        <w:rPr>
          <w:lang w:val="fr-FR"/>
        </w:rPr>
        <w:t xml:space="preserve">transportés sous la rubrique </w:t>
      </w:r>
      <w:r w:rsidRPr="00EA204D">
        <w:rPr>
          <w:lang w:val="fr-FR"/>
        </w:rPr>
        <w:t>ONU 3164. L</w:t>
      </w:r>
      <w:r>
        <w:rPr>
          <w:lang w:val="fr-FR"/>
        </w:rPr>
        <w:t>’</w:t>
      </w:r>
      <w:r w:rsidRPr="00EA204D">
        <w:rPr>
          <w:lang w:val="fr-FR"/>
        </w:rPr>
        <w:t>alinéa f) du paragraphe</w:t>
      </w:r>
      <w:r>
        <w:rPr>
          <w:lang w:val="fr-FR"/>
        </w:rPr>
        <w:t> </w:t>
      </w:r>
      <w:r w:rsidRPr="00EA204D">
        <w:rPr>
          <w:lang w:val="fr-FR"/>
        </w:rPr>
        <w:t>1 de la disposition spéciale</w:t>
      </w:r>
      <w:r>
        <w:rPr>
          <w:lang w:val="fr-FR"/>
        </w:rPr>
        <w:t> </w:t>
      </w:r>
      <w:r w:rsidRPr="00EA204D">
        <w:rPr>
          <w:lang w:val="fr-FR"/>
        </w:rPr>
        <w:t>371 prescrit une épreuve du feu pour laquelle ce sont les dispositions des 16.6.1.2 à l</w:t>
      </w:r>
      <w:r>
        <w:rPr>
          <w:lang w:val="fr-FR"/>
        </w:rPr>
        <w:t>’</w:t>
      </w:r>
      <w:r w:rsidRPr="00EA204D">
        <w:rPr>
          <w:lang w:val="fr-FR"/>
        </w:rPr>
        <w:t>exception de l</w:t>
      </w:r>
      <w:r>
        <w:rPr>
          <w:lang w:val="fr-FR"/>
        </w:rPr>
        <w:t>’</w:t>
      </w:r>
      <w:r w:rsidRPr="00EA204D">
        <w:rPr>
          <w:lang w:val="fr-FR"/>
        </w:rPr>
        <w:t>alinéa g), 16.6.1.3.1 à 16.6.1.3.6, 16.6.1.3.7 b) et 16.6.1.3.8 du Manuel d</w:t>
      </w:r>
      <w:r>
        <w:rPr>
          <w:lang w:val="fr-FR"/>
        </w:rPr>
        <w:t>’</w:t>
      </w:r>
      <w:r w:rsidRPr="00EA204D">
        <w:rPr>
          <w:lang w:val="fr-FR"/>
        </w:rPr>
        <w:t>épreuves et de critères qui s</w:t>
      </w:r>
      <w:r>
        <w:rPr>
          <w:lang w:val="fr-FR"/>
        </w:rPr>
        <w:t>’</w:t>
      </w:r>
      <w:r w:rsidRPr="00EA204D">
        <w:rPr>
          <w:lang w:val="fr-FR"/>
        </w:rPr>
        <w:t>appliquent.</w:t>
      </w:r>
    </w:p>
    <w:p w14:paraId="4A914E3E" w14:textId="77777777" w:rsidR="00B05CDF" w:rsidRPr="00EA204D" w:rsidRDefault="00B05CDF" w:rsidP="00B05CDF">
      <w:pPr>
        <w:pStyle w:val="SingleTxtG"/>
        <w:rPr>
          <w:lang w:val="fr-FR"/>
        </w:rPr>
      </w:pPr>
      <w:r w:rsidRPr="00EA204D">
        <w:rPr>
          <w:lang w:val="fr-FR"/>
        </w:rPr>
        <w:t>3.</w:t>
      </w:r>
      <w:r w:rsidRPr="00EA204D">
        <w:rPr>
          <w:lang w:val="fr-FR"/>
        </w:rPr>
        <w:tab/>
      </w:r>
      <w:r>
        <w:rPr>
          <w:lang w:val="fr-FR"/>
        </w:rPr>
        <w:t>Toutefois</w:t>
      </w:r>
      <w:r w:rsidRPr="00EA204D">
        <w:rPr>
          <w:lang w:val="fr-FR"/>
        </w:rPr>
        <w:t>, la disposition du paragraphe 16.6.1.3.5 du Manuel d</w:t>
      </w:r>
      <w:r>
        <w:rPr>
          <w:lang w:val="fr-FR"/>
        </w:rPr>
        <w:t>’</w:t>
      </w:r>
      <w:r w:rsidRPr="00EA204D">
        <w:rPr>
          <w:lang w:val="fr-FR"/>
        </w:rPr>
        <w:t>épreuves et de critères semble inutile et devrait être supprimée.</w:t>
      </w:r>
    </w:p>
    <w:p w14:paraId="43736BAD" w14:textId="77777777" w:rsidR="00B05CDF" w:rsidRPr="00EA204D" w:rsidRDefault="00B05CDF" w:rsidP="00B83BB7">
      <w:pPr>
        <w:pStyle w:val="H1G"/>
        <w:rPr>
          <w:lang w:val="fr-FR"/>
        </w:rPr>
      </w:pPr>
      <w:r w:rsidRPr="00EA204D">
        <w:rPr>
          <w:lang w:val="fr-FR"/>
        </w:rPr>
        <w:lastRenderedPageBreak/>
        <w:tab/>
      </w:r>
      <w:r w:rsidRPr="00EA204D">
        <w:rPr>
          <w:lang w:val="fr-FR"/>
        </w:rPr>
        <w:tab/>
      </w:r>
      <w:r w:rsidRPr="00EA204D">
        <w:rPr>
          <w:bCs/>
          <w:lang w:val="fr-FR"/>
        </w:rPr>
        <w:t>Justification</w:t>
      </w:r>
    </w:p>
    <w:p w14:paraId="3DF6ACCE" w14:textId="77777777" w:rsidR="00B05CDF" w:rsidRPr="00EA204D" w:rsidRDefault="00B05CDF" w:rsidP="00B83BB7">
      <w:pPr>
        <w:pStyle w:val="SingleTxtG"/>
        <w:keepNext/>
        <w:keepLines/>
        <w:rPr>
          <w:lang w:val="fr-FR"/>
        </w:rPr>
      </w:pPr>
      <w:r w:rsidRPr="00EA204D">
        <w:rPr>
          <w:lang w:val="fr-FR"/>
        </w:rPr>
        <w:t>4.</w:t>
      </w:r>
      <w:r w:rsidRPr="00EA204D">
        <w:rPr>
          <w:lang w:val="fr-FR"/>
        </w:rPr>
        <w:tab/>
        <w:t>D</w:t>
      </w:r>
      <w:r>
        <w:rPr>
          <w:lang w:val="fr-FR"/>
        </w:rPr>
        <w:t>’</w:t>
      </w:r>
      <w:r w:rsidRPr="00EA204D">
        <w:rPr>
          <w:lang w:val="fr-FR"/>
        </w:rPr>
        <w:t>une part, le 16.6.1.3.5 du Manuel d</w:t>
      </w:r>
      <w:r>
        <w:rPr>
          <w:lang w:val="fr-FR"/>
        </w:rPr>
        <w:t>’</w:t>
      </w:r>
      <w:r w:rsidRPr="00EA204D">
        <w:rPr>
          <w:lang w:val="fr-FR"/>
        </w:rPr>
        <w:t xml:space="preserve">épreuves et de critères contient </w:t>
      </w:r>
      <w:r>
        <w:rPr>
          <w:lang w:val="fr-FR"/>
        </w:rPr>
        <w:t xml:space="preserve">une </w:t>
      </w:r>
      <w:r w:rsidRPr="00EA204D">
        <w:rPr>
          <w:lang w:val="fr-FR"/>
        </w:rPr>
        <w:t xml:space="preserve">disposition relative à la manière </w:t>
      </w:r>
      <w:r>
        <w:rPr>
          <w:lang w:val="fr-FR"/>
        </w:rPr>
        <w:t>d’</w:t>
      </w:r>
      <w:r w:rsidRPr="00AA4069">
        <w:rPr>
          <w:lang w:val="fr-FR"/>
        </w:rPr>
        <w:t>install</w:t>
      </w:r>
      <w:r>
        <w:rPr>
          <w:lang w:val="fr-FR"/>
        </w:rPr>
        <w:t xml:space="preserve">er </w:t>
      </w:r>
      <w:r w:rsidRPr="00EA204D">
        <w:rPr>
          <w:lang w:val="fr-FR"/>
        </w:rPr>
        <w:t xml:space="preserve">les </w:t>
      </w:r>
      <w:r w:rsidRPr="00A704C3">
        <w:rPr>
          <w:lang w:val="fr-FR"/>
        </w:rPr>
        <w:t>écrans témoins</w:t>
      </w:r>
      <w:r w:rsidRPr="00EA204D">
        <w:rPr>
          <w:lang w:val="fr-FR"/>
        </w:rPr>
        <w:t>. Mais pour les appareillages et les matériaux,</w:t>
      </w:r>
      <w:r>
        <w:rPr>
          <w:lang w:val="fr-FR"/>
        </w:rPr>
        <w:t xml:space="preserve"> il est déjà indiqué que, par exception, les dispositions de</w:t>
      </w:r>
      <w:r w:rsidRPr="00EA204D">
        <w:rPr>
          <w:lang w:val="fr-FR"/>
        </w:rPr>
        <w:t xml:space="preserve"> l</w:t>
      </w:r>
      <w:r>
        <w:rPr>
          <w:lang w:val="fr-FR"/>
        </w:rPr>
        <w:t>’</w:t>
      </w:r>
      <w:r w:rsidRPr="00EA204D">
        <w:rPr>
          <w:lang w:val="fr-FR"/>
        </w:rPr>
        <w:t xml:space="preserve">alinéa g) du 16.6.1.2 concernant les écrans témoins </w:t>
      </w:r>
      <w:r w:rsidRPr="00711D72">
        <w:rPr>
          <w:lang w:val="fr-FR"/>
        </w:rPr>
        <w:t>ne s</w:t>
      </w:r>
      <w:r>
        <w:rPr>
          <w:lang w:val="fr-FR"/>
        </w:rPr>
        <w:t>’</w:t>
      </w:r>
      <w:r w:rsidRPr="00711D72">
        <w:rPr>
          <w:lang w:val="fr-FR"/>
        </w:rPr>
        <w:t>appliquent</w:t>
      </w:r>
      <w:r>
        <w:rPr>
          <w:lang w:val="fr-FR"/>
        </w:rPr>
        <w:t xml:space="preserve"> pas, ce qui</w:t>
      </w:r>
      <w:r w:rsidRPr="00EA204D">
        <w:rPr>
          <w:lang w:val="fr-FR"/>
        </w:rPr>
        <w:t xml:space="preserve"> </w:t>
      </w:r>
      <w:r>
        <w:rPr>
          <w:lang w:val="fr-FR"/>
        </w:rPr>
        <w:t xml:space="preserve">signifie </w:t>
      </w:r>
      <w:r w:rsidRPr="00EA204D">
        <w:rPr>
          <w:lang w:val="fr-FR"/>
        </w:rPr>
        <w:t>qu</w:t>
      </w:r>
      <w:r>
        <w:rPr>
          <w:lang w:val="fr-FR"/>
        </w:rPr>
        <w:t>’</w:t>
      </w:r>
      <w:r w:rsidRPr="00EA204D">
        <w:rPr>
          <w:lang w:val="fr-FR"/>
        </w:rPr>
        <w:t>un écran témoin n</w:t>
      </w:r>
      <w:r>
        <w:rPr>
          <w:lang w:val="fr-FR"/>
        </w:rPr>
        <w:t>’</w:t>
      </w:r>
      <w:r w:rsidRPr="00EA204D">
        <w:rPr>
          <w:lang w:val="fr-FR"/>
        </w:rPr>
        <w:t xml:space="preserve">est </w:t>
      </w:r>
      <w:r>
        <w:rPr>
          <w:lang w:val="fr-FR"/>
        </w:rPr>
        <w:t xml:space="preserve">pas </w:t>
      </w:r>
      <w:r w:rsidRPr="00EA204D">
        <w:rPr>
          <w:lang w:val="fr-FR"/>
        </w:rPr>
        <w:t xml:space="preserve">requis. Il y a une contradiction entre </w:t>
      </w:r>
      <w:r w:rsidRPr="00711D72">
        <w:rPr>
          <w:lang w:val="fr-FR"/>
        </w:rPr>
        <w:t>le fait de rendre</w:t>
      </w:r>
      <w:r w:rsidRPr="00B05CDF">
        <w:rPr>
          <w:lang w:val="fr-FR"/>
        </w:rPr>
        <w:t xml:space="preserve"> </w:t>
      </w:r>
      <w:r w:rsidRPr="00EA204D">
        <w:rPr>
          <w:lang w:val="fr-FR"/>
        </w:rPr>
        <w:t>applica</w:t>
      </w:r>
      <w:r>
        <w:rPr>
          <w:lang w:val="fr-FR"/>
        </w:rPr>
        <w:t xml:space="preserve">ble le </w:t>
      </w:r>
      <w:r w:rsidRPr="00EA204D">
        <w:rPr>
          <w:lang w:val="fr-FR"/>
        </w:rPr>
        <w:t xml:space="preserve">point 16.6.1.3.5 et celui de prévoir une exception concernant </w:t>
      </w:r>
      <w:r>
        <w:rPr>
          <w:lang w:val="fr-FR"/>
        </w:rPr>
        <w:t xml:space="preserve">l’application de </w:t>
      </w:r>
      <w:r w:rsidRPr="00EA204D">
        <w:rPr>
          <w:lang w:val="fr-FR"/>
        </w:rPr>
        <w:t>l</w:t>
      </w:r>
      <w:r>
        <w:rPr>
          <w:lang w:val="fr-FR"/>
        </w:rPr>
        <w:t>’</w:t>
      </w:r>
      <w:r w:rsidRPr="00EA204D">
        <w:rPr>
          <w:lang w:val="fr-FR"/>
        </w:rPr>
        <w:t>alinéa g) du 16.6.1.3.2.</w:t>
      </w:r>
    </w:p>
    <w:p w14:paraId="3B503653" w14:textId="77777777" w:rsidR="00B05CDF" w:rsidRPr="00EA204D" w:rsidRDefault="00B05CDF" w:rsidP="00B05CDF">
      <w:pPr>
        <w:pStyle w:val="SingleTxtG"/>
        <w:rPr>
          <w:lang w:val="fr-FR"/>
        </w:rPr>
      </w:pPr>
      <w:r w:rsidRPr="00EA204D">
        <w:rPr>
          <w:lang w:val="fr-FR"/>
        </w:rPr>
        <w:t>5.</w:t>
      </w:r>
      <w:r w:rsidRPr="00EA204D">
        <w:rPr>
          <w:lang w:val="fr-FR"/>
        </w:rPr>
        <w:tab/>
      </w:r>
      <w:r>
        <w:rPr>
          <w:lang w:val="fr-FR"/>
        </w:rPr>
        <w:t>D’autre part</w:t>
      </w:r>
      <w:r w:rsidRPr="00EA204D">
        <w:rPr>
          <w:lang w:val="fr-FR"/>
        </w:rPr>
        <w:t>, l</w:t>
      </w:r>
      <w:r>
        <w:rPr>
          <w:lang w:val="fr-FR"/>
        </w:rPr>
        <w:t>’</w:t>
      </w:r>
      <w:r w:rsidRPr="00EA204D">
        <w:rPr>
          <w:lang w:val="fr-FR"/>
        </w:rPr>
        <w:t>alinéa f) du premier paragraphe de la disposition spéciale 371 prévoit que l</w:t>
      </w:r>
      <w:r>
        <w:rPr>
          <w:lang w:val="fr-FR"/>
        </w:rPr>
        <w:t>’</w:t>
      </w:r>
      <w:r w:rsidRPr="00EA204D">
        <w:rPr>
          <w:lang w:val="fr-FR"/>
        </w:rPr>
        <w:t>objet ou ses fragments ne doivent pas être propulsés à plus de 10 mètres. Le fait que l</w:t>
      </w:r>
      <w:r>
        <w:rPr>
          <w:lang w:val="fr-FR"/>
        </w:rPr>
        <w:t>’</w:t>
      </w:r>
      <w:r w:rsidRPr="00EA204D">
        <w:rPr>
          <w:lang w:val="fr-FR"/>
        </w:rPr>
        <w:t xml:space="preserve">objet </w:t>
      </w:r>
      <w:r w:rsidRPr="00711D72">
        <w:rPr>
          <w:lang w:val="fr-FR"/>
        </w:rPr>
        <w:t>propulsé</w:t>
      </w:r>
      <w:r>
        <w:rPr>
          <w:lang w:val="fr-FR"/>
        </w:rPr>
        <w:t xml:space="preserve"> </w:t>
      </w:r>
      <w:r w:rsidRPr="00EA204D">
        <w:rPr>
          <w:lang w:val="fr-FR"/>
        </w:rPr>
        <w:t xml:space="preserve">puisse </w:t>
      </w:r>
      <w:r>
        <w:rPr>
          <w:lang w:val="fr-FR"/>
        </w:rPr>
        <w:t xml:space="preserve">ou non </w:t>
      </w:r>
      <w:r w:rsidRPr="00EA204D">
        <w:rPr>
          <w:lang w:val="fr-FR"/>
        </w:rPr>
        <w:t>perforer l</w:t>
      </w:r>
      <w:r>
        <w:rPr>
          <w:lang w:val="fr-FR"/>
        </w:rPr>
        <w:t>’</w:t>
      </w:r>
      <w:r w:rsidRPr="00EA204D">
        <w:rPr>
          <w:lang w:val="fr-FR"/>
        </w:rPr>
        <w:t>écran témoin n</w:t>
      </w:r>
      <w:r>
        <w:rPr>
          <w:lang w:val="fr-FR"/>
        </w:rPr>
        <w:t>’</w:t>
      </w:r>
      <w:r w:rsidRPr="00EA204D">
        <w:rPr>
          <w:lang w:val="fr-FR"/>
        </w:rPr>
        <w:t xml:space="preserve">est pas un facteur </w:t>
      </w:r>
      <w:r>
        <w:rPr>
          <w:lang w:val="fr-FR"/>
        </w:rPr>
        <w:t>à</w:t>
      </w:r>
      <w:r w:rsidRPr="00EA204D">
        <w:rPr>
          <w:lang w:val="fr-FR"/>
        </w:rPr>
        <w:t xml:space="preserve"> évalu</w:t>
      </w:r>
      <w:r>
        <w:rPr>
          <w:lang w:val="fr-FR"/>
        </w:rPr>
        <w:t>er</w:t>
      </w:r>
      <w:r w:rsidRPr="00EA204D">
        <w:rPr>
          <w:lang w:val="fr-FR"/>
        </w:rPr>
        <w:t>. Et l</w:t>
      </w:r>
      <w:r>
        <w:rPr>
          <w:lang w:val="fr-FR"/>
        </w:rPr>
        <w:t xml:space="preserve">’installation </w:t>
      </w:r>
      <w:r w:rsidRPr="00EA204D">
        <w:rPr>
          <w:lang w:val="fr-FR"/>
        </w:rPr>
        <w:t>d</w:t>
      </w:r>
      <w:r>
        <w:rPr>
          <w:lang w:val="fr-FR"/>
        </w:rPr>
        <w:t>’</w:t>
      </w:r>
      <w:r w:rsidRPr="00EA204D">
        <w:rPr>
          <w:lang w:val="fr-FR"/>
        </w:rPr>
        <w:t>un écran témoin à 4 m</w:t>
      </w:r>
      <w:r>
        <w:rPr>
          <w:lang w:val="fr-FR"/>
        </w:rPr>
        <w:t>ètres</w:t>
      </w:r>
      <w:r w:rsidRPr="00EA204D">
        <w:rPr>
          <w:lang w:val="fr-FR"/>
        </w:rPr>
        <w:t>, comme le prescrit le paragraphe 16.6.1.3.5 du Manuel d</w:t>
      </w:r>
      <w:r>
        <w:rPr>
          <w:lang w:val="fr-FR"/>
        </w:rPr>
        <w:t>’</w:t>
      </w:r>
      <w:r w:rsidRPr="00EA204D">
        <w:rPr>
          <w:lang w:val="fr-FR"/>
        </w:rPr>
        <w:t>épreuves et de critères, empêche la projection de l</w:t>
      </w:r>
      <w:r>
        <w:rPr>
          <w:lang w:val="fr-FR"/>
        </w:rPr>
        <w:t>’</w:t>
      </w:r>
      <w:r w:rsidRPr="00EA204D">
        <w:rPr>
          <w:lang w:val="fr-FR"/>
        </w:rPr>
        <w:t>objet ou de ses fragments et influe sur le résultat de l</w:t>
      </w:r>
      <w:r>
        <w:rPr>
          <w:lang w:val="fr-FR"/>
        </w:rPr>
        <w:t>’</w:t>
      </w:r>
      <w:r w:rsidRPr="00EA204D">
        <w:rPr>
          <w:lang w:val="fr-FR"/>
        </w:rPr>
        <w:t>épreuve. L</w:t>
      </w:r>
      <w:r>
        <w:rPr>
          <w:lang w:val="fr-FR"/>
        </w:rPr>
        <w:t>’</w:t>
      </w:r>
      <w:r w:rsidRPr="00EA204D">
        <w:rPr>
          <w:lang w:val="fr-FR"/>
        </w:rPr>
        <w:t xml:space="preserve">écran témoin est inutile et </w:t>
      </w:r>
      <w:proofErr w:type="gramStart"/>
      <w:r w:rsidRPr="00EA204D">
        <w:rPr>
          <w:lang w:val="fr-FR"/>
        </w:rPr>
        <w:t>a</w:t>
      </w:r>
      <w:proofErr w:type="gramEnd"/>
      <w:r w:rsidRPr="00EA204D">
        <w:rPr>
          <w:lang w:val="fr-FR"/>
        </w:rPr>
        <w:t xml:space="preserve"> des </w:t>
      </w:r>
      <w:r>
        <w:rPr>
          <w:lang w:val="fr-FR"/>
        </w:rPr>
        <w:t>conséqu</w:t>
      </w:r>
      <w:r w:rsidRPr="00EA204D">
        <w:rPr>
          <w:lang w:val="fr-FR"/>
        </w:rPr>
        <w:t xml:space="preserve">ences négatives </w:t>
      </w:r>
      <w:r>
        <w:rPr>
          <w:lang w:val="fr-FR"/>
        </w:rPr>
        <w:t>pour l’</w:t>
      </w:r>
      <w:r w:rsidRPr="000B09AE">
        <w:rPr>
          <w:lang w:val="fr-FR"/>
        </w:rPr>
        <w:t xml:space="preserve">épreuve </w:t>
      </w:r>
      <w:r w:rsidRPr="00EA204D">
        <w:rPr>
          <w:lang w:val="fr-FR"/>
        </w:rPr>
        <w:t>dans ce cas.</w:t>
      </w:r>
    </w:p>
    <w:p w14:paraId="0F40DFAD" w14:textId="77777777" w:rsidR="00B05CDF" w:rsidRPr="00EA204D" w:rsidRDefault="00B05CDF" w:rsidP="00B05CDF">
      <w:pPr>
        <w:pStyle w:val="SingleTxtG"/>
        <w:rPr>
          <w:lang w:val="fr-FR"/>
        </w:rPr>
      </w:pPr>
      <w:r w:rsidRPr="00EA204D">
        <w:rPr>
          <w:lang w:val="fr-FR"/>
        </w:rPr>
        <w:t>6.</w:t>
      </w:r>
      <w:r w:rsidRPr="00EA204D">
        <w:rPr>
          <w:lang w:val="fr-FR"/>
        </w:rPr>
        <w:tab/>
        <w:t xml:space="preserve">En conséquence, les experts de la Chine proposent que le paragraphe 16.6.1.3.5 soit supprimé des dispositions </w:t>
      </w:r>
      <w:r w:rsidRPr="000567B5">
        <w:rPr>
          <w:lang w:val="fr-FR"/>
        </w:rPr>
        <w:t>applicables</w:t>
      </w:r>
      <w:r w:rsidRPr="00EA204D">
        <w:rPr>
          <w:lang w:val="fr-FR"/>
        </w:rPr>
        <w:t>.</w:t>
      </w:r>
    </w:p>
    <w:p w14:paraId="46D1BB4D" w14:textId="77777777" w:rsidR="00B05CDF" w:rsidRPr="00EA204D" w:rsidRDefault="00B05CDF" w:rsidP="00B05CDF">
      <w:pPr>
        <w:pStyle w:val="HChG"/>
        <w:rPr>
          <w:lang w:val="fr-FR"/>
        </w:rPr>
      </w:pPr>
      <w:r w:rsidRPr="00EA204D">
        <w:rPr>
          <w:lang w:val="fr-FR"/>
        </w:rPr>
        <w:tab/>
      </w:r>
      <w:r w:rsidRPr="00EA204D">
        <w:rPr>
          <w:lang w:val="fr-FR"/>
        </w:rPr>
        <w:tab/>
        <w:t>Proposition</w:t>
      </w:r>
    </w:p>
    <w:p w14:paraId="770B4F70" w14:textId="77777777" w:rsidR="00B05CDF" w:rsidRPr="00EA204D" w:rsidRDefault="00B05CDF" w:rsidP="00B05CDF">
      <w:pPr>
        <w:pStyle w:val="SingleTxtG"/>
        <w:rPr>
          <w:lang w:val="fr-FR"/>
        </w:rPr>
      </w:pPr>
      <w:r w:rsidRPr="00EA204D">
        <w:rPr>
          <w:lang w:val="fr-FR"/>
        </w:rPr>
        <w:t>7.</w:t>
      </w:r>
      <w:r w:rsidRPr="00EA204D">
        <w:rPr>
          <w:lang w:val="fr-FR"/>
        </w:rPr>
        <w:tab/>
        <w:t>Il est proposé de modifier comme suit l</w:t>
      </w:r>
      <w:r>
        <w:rPr>
          <w:lang w:val="fr-FR"/>
        </w:rPr>
        <w:t>’</w:t>
      </w:r>
      <w:r w:rsidRPr="00EA204D">
        <w:rPr>
          <w:lang w:val="fr-FR"/>
        </w:rPr>
        <w:t xml:space="preserve">alinéa f) du premier paragraphe de la disposition spéciale 371 (les ajouts figurent en caractères </w:t>
      </w:r>
      <w:r w:rsidRPr="00EA204D">
        <w:rPr>
          <w:b/>
          <w:bCs/>
          <w:u w:val="single"/>
          <w:lang w:val="fr-FR"/>
        </w:rPr>
        <w:t>gras soulignés</w:t>
      </w:r>
      <w:r w:rsidRPr="00EA204D">
        <w:rPr>
          <w:lang w:val="fr-FR"/>
        </w:rPr>
        <w:t>) :</w:t>
      </w:r>
    </w:p>
    <w:p w14:paraId="07F36D0F" w14:textId="7DDBC925" w:rsidR="00B05CDF" w:rsidRPr="00EA204D" w:rsidRDefault="00B05CDF" w:rsidP="00B05CDF">
      <w:pPr>
        <w:pStyle w:val="SingleTxtG"/>
        <w:ind w:leftChars="850" w:left="2269" w:rightChars="540" w:right="1080" w:hanging="569"/>
        <w:rPr>
          <w:lang w:val="fr-FR"/>
        </w:rPr>
      </w:pPr>
      <w:r>
        <w:rPr>
          <w:lang w:val="fr-FR"/>
        </w:rPr>
        <w:t>« </w:t>
      </w:r>
      <w:proofErr w:type="gramStart"/>
      <w:r w:rsidRPr="00EA204D">
        <w:rPr>
          <w:lang w:val="fr-FR"/>
        </w:rPr>
        <w:t>f</w:t>
      </w:r>
      <w:proofErr w:type="gramEnd"/>
      <w:r w:rsidRPr="00EA204D">
        <w:rPr>
          <w:lang w:val="fr-FR"/>
        </w:rPr>
        <w:t>)</w:t>
      </w:r>
      <w:r w:rsidRPr="00EA204D">
        <w:rPr>
          <w:lang w:val="fr-FR"/>
        </w:rPr>
        <w:tab/>
        <w:t>Le modèle type de l</w:t>
      </w:r>
      <w:r>
        <w:rPr>
          <w:lang w:val="fr-FR"/>
        </w:rPr>
        <w:t>’</w:t>
      </w:r>
      <w:r w:rsidRPr="00EA204D">
        <w:rPr>
          <w:lang w:val="fr-FR"/>
        </w:rPr>
        <w:t xml:space="preserve">objet doit être soumis à une épreuve du feu </w:t>
      </w:r>
      <w:r>
        <w:rPr>
          <w:lang w:val="fr-FR"/>
        </w:rPr>
        <w:t>p</w:t>
      </w:r>
      <w:r w:rsidRPr="00EA204D">
        <w:rPr>
          <w:lang w:val="fr-FR"/>
        </w:rPr>
        <w:t>our laquelle ce sont les dispositions des 16.6.1.2 à l</w:t>
      </w:r>
      <w:r>
        <w:rPr>
          <w:lang w:val="fr-FR"/>
        </w:rPr>
        <w:t>’</w:t>
      </w:r>
      <w:r w:rsidRPr="00EA204D">
        <w:rPr>
          <w:lang w:val="fr-FR"/>
        </w:rPr>
        <w:t>exception de l</w:t>
      </w:r>
      <w:r>
        <w:rPr>
          <w:lang w:val="fr-FR"/>
        </w:rPr>
        <w:t>’</w:t>
      </w:r>
      <w:r w:rsidRPr="00EA204D">
        <w:rPr>
          <w:lang w:val="fr-FR"/>
        </w:rPr>
        <w:t xml:space="preserve">alinéa g), 16.6.1.3.1 à </w:t>
      </w:r>
      <w:r w:rsidRPr="00EA204D">
        <w:rPr>
          <w:b/>
          <w:bCs/>
          <w:u w:val="single"/>
          <w:lang w:val="fr-FR"/>
        </w:rPr>
        <w:t xml:space="preserve">16.6.1.3.4, </w:t>
      </w:r>
      <w:r w:rsidRPr="00EA204D">
        <w:rPr>
          <w:lang w:val="fr-FR"/>
        </w:rPr>
        <w:t>16.6.1.3.6, 16.6.1.3.7 b) et 16.6.1.3.8 du Manuel d</w:t>
      </w:r>
      <w:r>
        <w:rPr>
          <w:lang w:val="fr-FR"/>
        </w:rPr>
        <w:t>’</w:t>
      </w:r>
      <w:r w:rsidRPr="00EA204D">
        <w:rPr>
          <w:lang w:val="fr-FR"/>
        </w:rPr>
        <w:t>épreuves et de critères qui s</w:t>
      </w:r>
      <w:r>
        <w:rPr>
          <w:lang w:val="fr-FR"/>
        </w:rPr>
        <w:t>’</w:t>
      </w:r>
      <w:r w:rsidRPr="00EA204D">
        <w:rPr>
          <w:lang w:val="fr-FR"/>
        </w:rPr>
        <w:t>appliquent. Il doit être démontré que l</w:t>
      </w:r>
      <w:r>
        <w:rPr>
          <w:lang w:val="fr-FR"/>
        </w:rPr>
        <w:t>’</w:t>
      </w:r>
      <w:r w:rsidRPr="00EA204D">
        <w:rPr>
          <w:lang w:val="fr-FR"/>
        </w:rPr>
        <w:t>objet perd sa pression par l</w:t>
      </w:r>
      <w:r>
        <w:rPr>
          <w:lang w:val="fr-FR"/>
        </w:rPr>
        <w:t>’</w:t>
      </w:r>
      <w:r w:rsidRPr="00EA204D">
        <w:rPr>
          <w:lang w:val="fr-FR"/>
        </w:rPr>
        <w:t>intermédiaire d</w:t>
      </w:r>
      <w:r>
        <w:rPr>
          <w:lang w:val="fr-FR"/>
        </w:rPr>
        <w:t>’</w:t>
      </w:r>
      <w:r w:rsidRPr="00EA204D">
        <w:rPr>
          <w:lang w:val="fr-FR"/>
        </w:rPr>
        <w:t xml:space="preserve">un joint </w:t>
      </w:r>
      <w:proofErr w:type="spellStart"/>
      <w:r w:rsidRPr="00EA204D">
        <w:rPr>
          <w:lang w:val="fr-FR"/>
        </w:rPr>
        <w:t>pyrodégradable</w:t>
      </w:r>
      <w:proofErr w:type="spellEnd"/>
      <w:r w:rsidRPr="00EA204D">
        <w:rPr>
          <w:lang w:val="fr-FR"/>
        </w:rPr>
        <w:t xml:space="preserve"> ou d</w:t>
      </w:r>
      <w:r>
        <w:rPr>
          <w:lang w:val="fr-FR"/>
        </w:rPr>
        <w:t>’</w:t>
      </w:r>
      <w:r w:rsidRPr="00EA204D">
        <w:rPr>
          <w:lang w:val="fr-FR"/>
        </w:rPr>
        <w:t xml:space="preserve">un autre dispositif de décompression, </w:t>
      </w:r>
      <w:proofErr w:type="gramStart"/>
      <w:r w:rsidRPr="00EA204D">
        <w:rPr>
          <w:lang w:val="fr-FR"/>
        </w:rPr>
        <w:t>de manière à ce</w:t>
      </w:r>
      <w:proofErr w:type="gramEnd"/>
      <w:r w:rsidRPr="00EA204D">
        <w:rPr>
          <w:lang w:val="fr-FR"/>
        </w:rPr>
        <w:t xml:space="preserve"> qu</w:t>
      </w:r>
      <w:r>
        <w:rPr>
          <w:lang w:val="fr-FR"/>
        </w:rPr>
        <w:t>’</w:t>
      </w:r>
      <w:r w:rsidRPr="00EA204D">
        <w:rPr>
          <w:lang w:val="fr-FR"/>
        </w:rPr>
        <w:t>il ne se fragmente pas et à ce que cet objet ou ses fragments ne soient pas propulsés à plus de 10 mètres</w:t>
      </w:r>
      <w:r>
        <w:rPr>
          <w:lang w:val="fr-FR"/>
        </w:rPr>
        <w:t xml:space="preserve"> </w:t>
      </w:r>
      <w:r w:rsidRPr="00EA204D">
        <w:rPr>
          <w:lang w:val="fr-FR"/>
        </w:rPr>
        <w:t>;</w:t>
      </w:r>
      <w:r>
        <w:rPr>
          <w:lang w:val="fr-FR"/>
        </w:rPr>
        <w:t> ».</w:t>
      </w:r>
    </w:p>
    <w:p w14:paraId="20AB852F" w14:textId="77777777" w:rsidR="00B05CDF" w:rsidRPr="00EA204D" w:rsidRDefault="00B05CDF" w:rsidP="00B05CDF">
      <w:pPr>
        <w:pStyle w:val="H1G"/>
        <w:rPr>
          <w:lang w:val="fr-FR"/>
        </w:rPr>
      </w:pPr>
      <w:r w:rsidRPr="00EA204D">
        <w:rPr>
          <w:lang w:val="fr-FR"/>
        </w:rPr>
        <w:tab/>
      </w:r>
      <w:r w:rsidRPr="00EA204D">
        <w:rPr>
          <w:lang w:val="fr-FR"/>
        </w:rPr>
        <w:tab/>
        <w:t>Proposition 2 : amendement envisageable à la disposition spéciale 283</w:t>
      </w:r>
    </w:p>
    <w:p w14:paraId="6F212068" w14:textId="2D73503D" w:rsidR="00B05CDF" w:rsidRPr="00EA204D" w:rsidRDefault="00B05CDF" w:rsidP="00B05CDF">
      <w:pPr>
        <w:pStyle w:val="SingleTxtG"/>
        <w:rPr>
          <w:lang w:val="fr-FR"/>
        </w:rPr>
      </w:pPr>
      <w:r w:rsidRPr="00EA204D">
        <w:rPr>
          <w:lang w:val="fr-FR"/>
        </w:rPr>
        <w:t>8.</w:t>
      </w:r>
      <w:r w:rsidRPr="00EA204D">
        <w:rPr>
          <w:lang w:val="fr-FR"/>
        </w:rPr>
        <w:tab/>
        <w:t>La disposition spéciale 283 contient des prescriptions relatives à l</w:t>
      </w:r>
      <w:r>
        <w:rPr>
          <w:lang w:val="fr-FR"/>
        </w:rPr>
        <w:t>’</w:t>
      </w:r>
      <w:r w:rsidRPr="00EA204D">
        <w:rPr>
          <w:lang w:val="fr-FR"/>
        </w:rPr>
        <w:t xml:space="preserve">exemption </w:t>
      </w:r>
      <w:r>
        <w:rPr>
          <w:lang w:val="fr-FR"/>
        </w:rPr>
        <w:t xml:space="preserve">applicable à certains </w:t>
      </w:r>
      <w:r w:rsidRPr="00933DC3">
        <w:rPr>
          <w:lang w:val="fr-FR"/>
        </w:rPr>
        <w:t>objets sous pression pneumatique ou hydraulique contenant un gaz ininflammable classé</w:t>
      </w:r>
      <w:r>
        <w:rPr>
          <w:lang w:val="fr-FR"/>
        </w:rPr>
        <w:t>s</w:t>
      </w:r>
      <w:r w:rsidRPr="00933DC3">
        <w:rPr>
          <w:lang w:val="fr-FR"/>
        </w:rPr>
        <w:t xml:space="preserve"> sous</w:t>
      </w:r>
      <w:r w:rsidRPr="00B05CDF">
        <w:rPr>
          <w:lang w:val="fr-FR"/>
        </w:rPr>
        <w:t xml:space="preserve"> </w:t>
      </w:r>
      <w:r w:rsidRPr="00EA204D">
        <w:rPr>
          <w:lang w:val="fr-FR"/>
        </w:rPr>
        <w:t xml:space="preserve">le </w:t>
      </w:r>
      <w:r>
        <w:rPr>
          <w:lang w:val="fr-FR"/>
        </w:rPr>
        <w:t>No</w:t>
      </w:r>
      <w:r w:rsidRPr="00EA204D">
        <w:rPr>
          <w:lang w:val="fr-FR"/>
        </w:rPr>
        <w:t xml:space="preserve"> ONU 3164, et l</w:t>
      </w:r>
      <w:r>
        <w:rPr>
          <w:lang w:val="fr-FR"/>
        </w:rPr>
        <w:t>’</w:t>
      </w:r>
      <w:r w:rsidRPr="00EA204D">
        <w:rPr>
          <w:lang w:val="fr-FR"/>
        </w:rPr>
        <w:t>alinéa e) de cette disposition spéciale prescrit une épreuve du feu.</w:t>
      </w:r>
    </w:p>
    <w:p w14:paraId="64E528CB" w14:textId="4447CDCB" w:rsidR="00B05CDF" w:rsidRPr="00EA204D" w:rsidRDefault="00B05CDF" w:rsidP="00B05CDF">
      <w:pPr>
        <w:pStyle w:val="SingleTxtG"/>
        <w:rPr>
          <w:lang w:val="fr-FR"/>
        </w:rPr>
      </w:pPr>
      <w:r w:rsidRPr="00EA204D">
        <w:rPr>
          <w:lang w:val="fr-FR"/>
        </w:rPr>
        <w:t>9.</w:t>
      </w:r>
      <w:r w:rsidRPr="00EA204D">
        <w:rPr>
          <w:lang w:val="fr-FR"/>
        </w:rPr>
        <w:tab/>
        <w:t xml:space="preserve">Cependant, la disposition spéciale 283 ne </w:t>
      </w:r>
      <w:r>
        <w:rPr>
          <w:lang w:val="fr-FR"/>
        </w:rPr>
        <w:t xml:space="preserve">donne </w:t>
      </w:r>
      <w:r w:rsidRPr="00EA204D">
        <w:rPr>
          <w:lang w:val="fr-FR"/>
        </w:rPr>
        <w:t>pas d</w:t>
      </w:r>
      <w:r>
        <w:rPr>
          <w:lang w:val="fr-FR"/>
        </w:rPr>
        <w:t>’i</w:t>
      </w:r>
      <w:r w:rsidRPr="00EA204D">
        <w:rPr>
          <w:lang w:val="fr-FR"/>
        </w:rPr>
        <w:t>n</w:t>
      </w:r>
      <w:r>
        <w:rPr>
          <w:lang w:val="fr-FR"/>
        </w:rPr>
        <w:t>dica</w:t>
      </w:r>
      <w:r w:rsidRPr="00EA204D">
        <w:rPr>
          <w:lang w:val="fr-FR"/>
        </w:rPr>
        <w:t xml:space="preserve">tions concernant </w:t>
      </w:r>
      <w:r>
        <w:rPr>
          <w:lang w:val="fr-FR"/>
        </w:rPr>
        <w:t xml:space="preserve">cette </w:t>
      </w:r>
      <w:r w:rsidRPr="00EA204D">
        <w:rPr>
          <w:lang w:val="fr-FR"/>
        </w:rPr>
        <w:t>épreuve du feu. Des facteurs tels que l</w:t>
      </w:r>
      <w:r>
        <w:rPr>
          <w:lang w:val="fr-FR"/>
        </w:rPr>
        <w:t>e mode de gerbage d</w:t>
      </w:r>
      <w:r w:rsidRPr="00A77D17">
        <w:rPr>
          <w:lang w:val="fr-FR"/>
        </w:rPr>
        <w:t>es échantillons</w:t>
      </w:r>
      <w:r w:rsidRPr="00EA204D">
        <w:rPr>
          <w:lang w:val="fr-FR"/>
        </w:rPr>
        <w:t>, le volume total, la durée de la combustion continue et la méthode de chauffage peuvent avoir une incidence sur les résultats de l</w:t>
      </w:r>
      <w:r>
        <w:rPr>
          <w:lang w:val="fr-FR"/>
        </w:rPr>
        <w:t>’</w:t>
      </w:r>
      <w:r w:rsidRPr="00EA204D">
        <w:rPr>
          <w:lang w:val="fr-FR"/>
        </w:rPr>
        <w:t>épreuve du feu. En l</w:t>
      </w:r>
      <w:r>
        <w:rPr>
          <w:lang w:val="fr-FR"/>
        </w:rPr>
        <w:t>’</w:t>
      </w:r>
      <w:r w:rsidRPr="00EA204D">
        <w:rPr>
          <w:lang w:val="fr-FR"/>
        </w:rPr>
        <w:t>absence d</w:t>
      </w:r>
      <w:r>
        <w:rPr>
          <w:lang w:val="fr-FR"/>
        </w:rPr>
        <w:t>’</w:t>
      </w:r>
      <w:r w:rsidRPr="00EA204D">
        <w:rPr>
          <w:lang w:val="fr-FR"/>
        </w:rPr>
        <w:t>une méthode d</w:t>
      </w:r>
      <w:r>
        <w:rPr>
          <w:lang w:val="fr-FR"/>
        </w:rPr>
        <w:t>’</w:t>
      </w:r>
      <w:r w:rsidRPr="00EA204D">
        <w:rPr>
          <w:lang w:val="fr-FR"/>
        </w:rPr>
        <w:t xml:space="preserve">épreuve </w:t>
      </w:r>
      <w:r w:rsidRPr="00307E92">
        <w:rPr>
          <w:lang w:val="fr-FR"/>
        </w:rPr>
        <w:t>uniforme</w:t>
      </w:r>
      <w:r w:rsidRPr="00EA204D">
        <w:rPr>
          <w:lang w:val="fr-FR"/>
        </w:rPr>
        <w:t>, les prescriptions énoncées à l</w:t>
      </w:r>
      <w:r>
        <w:rPr>
          <w:lang w:val="fr-FR"/>
        </w:rPr>
        <w:t>’</w:t>
      </w:r>
      <w:r w:rsidRPr="00EA204D">
        <w:rPr>
          <w:lang w:val="fr-FR"/>
        </w:rPr>
        <w:t>alinéa</w:t>
      </w:r>
      <w:r>
        <w:rPr>
          <w:lang w:val="fr-FR"/>
        </w:rPr>
        <w:t> </w:t>
      </w:r>
      <w:r w:rsidRPr="00EA204D">
        <w:rPr>
          <w:lang w:val="fr-FR"/>
        </w:rPr>
        <w:t>e) de la disposition spéciale 283 ne pe</w:t>
      </w:r>
      <w:r>
        <w:rPr>
          <w:lang w:val="fr-FR"/>
        </w:rPr>
        <w:t>rmett</w:t>
      </w:r>
      <w:r w:rsidRPr="00EA204D">
        <w:rPr>
          <w:lang w:val="fr-FR"/>
        </w:rPr>
        <w:t>ent pas réellement d</w:t>
      </w:r>
      <w:r>
        <w:rPr>
          <w:lang w:val="fr-FR"/>
        </w:rPr>
        <w:t>’</w:t>
      </w:r>
      <w:r w:rsidRPr="00EA204D">
        <w:rPr>
          <w:lang w:val="fr-FR"/>
        </w:rPr>
        <w:t xml:space="preserve">imposer des restrictions </w:t>
      </w:r>
      <w:r>
        <w:rPr>
          <w:lang w:val="fr-FR"/>
        </w:rPr>
        <w:t xml:space="preserve">pour les </w:t>
      </w:r>
      <w:r w:rsidRPr="00EA204D">
        <w:rPr>
          <w:lang w:val="fr-FR"/>
        </w:rPr>
        <w:t>produits concernés.</w:t>
      </w:r>
    </w:p>
    <w:p w14:paraId="465AED0E" w14:textId="11AEC82E" w:rsidR="00B05CDF" w:rsidRPr="00EA204D" w:rsidRDefault="00B05CDF" w:rsidP="00B05CDF">
      <w:pPr>
        <w:pStyle w:val="SingleTxtG"/>
        <w:rPr>
          <w:lang w:val="fr-FR"/>
        </w:rPr>
      </w:pPr>
      <w:r w:rsidRPr="00EA204D">
        <w:rPr>
          <w:lang w:val="fr-FR"/>
        </w:rPr>
        <w:t>10.</w:t>
      </w:r>
      <w:r w:rsidRPr="00EA204D">
        <w:rPr>
          <w:lang w:val="fr-FR"/>
        </w:rPr>
        <w:tab/>
        <w:t>En conséquence, les experts de la Chine estiment qu</w:t>
      </w:r>
      <w:r>
        <w:rPr>
          <w:lang w:val="fr-FR"/>
        </w:rPr>
        <w:t>’</w:t>
      </w:r>
      <w:r w:rsidRPr="00EA204D">
        <w:rPr>
          <w:lang w:val="fr-FR"/>
        </w:rPr>
        <w:t>il est très important de fournir des orientations claires concernant cette épreuve du feu. Une solution possible est d</w:t>
      </w:r>
      <w:r>
        <w:rPr>
          <w:lang w:val="fr-FR"/>
        </w:rPr>
        <w:t>’</w:t>
      </w:r>
      <w:r w:rsidRPr="00EA204D">
        <w:rPr>
          <w:lang w:val="fr-FR"/>
        </w:rPr>
        <w:t>appliquer également les dispositions de l</w:t>
      </w:r>
      <w:r>
        <w:rPr>
          <w:lang w:val="fr-FR"/>
        </w:rPr>
        <w:t>’</w:t>
      </w:r>
      <w:r w:rsidRPr="00EA204D">
        <w:rPr>
          <w:lang w:val="fr-FR"/>
        </w:rPr>
        <w:t>épreuve 6 c), épreuve du feu extérieur (brasier), comme dans la disposition spéciale 371, à l</w:t>
      </w:r>
      <w:r>
        <w:rPr>
          <w:lang w:val="fr-FR"/>
        </w:rPr>
        <w:t>’</w:t>
      </w:r>
      <w:r w:rsidRPr="00EA204D">
        <w:rPr>
          <w:lang w:val="fr-FR"/>
        </w:rPr>
        <w:t xml:space="preserve">épreuve du feu prescrite dans la disposition spéciale 283, </w:t>
      </w:r>
      <w:r w:rsidRPr="00E72A88">
        <w:rPr>
          <w:lang w:val="fr-FR"/>
        </w:rPr>
        <w:t>comme au</w:t>
      </w:r>
      <w:r w:rsidRPr="00EA204D">
        <w:rPr>
          <w:lang w:val="fr-FR"/>
        </w:rPr>
        <w:t xml:space="preserve"> paragraphe 12 ci-dessous.</w:t>
      </w:r>
    </w:p>
    <w:p w14:paraId="29450ED9" w14:textId="77777777" w:rsidR="00B05CDF" w:rsidRPr="00EA204D" w:rsidRDefault="00B05CDF" w:rsidP="00B05CDF">
      <w:pPr>
        <w:pStyle w:val="SingleTxtG"/>
        <w:rPr>
          <w:lang w:val="fr-FR"/>
        </w:rPr>
      </w:pPr>
      <w:r w:rsidRPr="00EA204D">
        <w:rPr>
          <w:lang w:val="fr-FR"/>
        </w:rPr>
        <w:t>11.</w:t>
      </w:r>
      <w:r w:rsidRPr="00EA204D">
        <w:rPr>
          <w:lang w:val="fr-FR"/>
        </w:rPr>
        <w:tab/>
        <w:t>Si le Sous-Comité n</w:t>
      </w:r>
      <w:r>
        <w:rPr>
          <w:lang w:val="fr-FR"/>
        </w:rPr>
        <w:t>’</w:t>
      </w:r>
      <w:r w:rsidRPr="00EA204D">
        <w:rPr>
          <w:lang w:val="fr-FR"/>
        </w:rPr>
        <w:t>est pas favorable à cette solution, la Chine souhaiterait entendre l</w:t>
      </w:r>
      <w:r>
        <w:rPr>
          <w:lang w:val="fr-FR"/>
        </w:rPr>
        <w:t>’</w:t>
      </w:r>
      <w:r w:rsidRPr="00EA204D">
        <w:rPr>
          <w:lang w:val="fr-FR"/>
        </w:rPr>
        <w:t>avis d</w:t>
      </w:r>
      <w:r>
        <w:rPr>
          <w:lang w:val="fr-FR"/>
        </w:rPr>
        <w:t>’</w:t>
      </w:r>
      <w:r w:rsidRPr="00EA204D">
        <w:rPr>
          <w:lang w:val="fr-FR"/>
        </w:rPr>
        <w:t xml:space="preserve">experts sur la manière </w:t>
      </w:r>
      <w:r>
        <w:rPr>
          <w:lang w:val="fr-FR"/>
        </w:rPr>
        <w:t>d’appliquer</w:t>
      </w:r>
      <w:r w:rsidRPr="00EA204D">
        <w:rPr>
          <w:lang w:val="fr-FR"/>
        </w:rPr>
        <w:t xml:space="preserve"> l</w:t>
      </w:r>
      <w:r>
        <w:rPr>
          <w:lang w:val="fr-FR"/>
        </w:rPr>
        <w:t>’</w:t>
      </w:r>
      <w:r w:rsidRPr="00EA204D">
        <w:rPr>
          <w:lang w:val="fr-FR"/>
        </w:rPr>
        <w:t>épreuve du feu de la disposition spéciale 283.</w:t>
      </w:r>
    </w:p>
    <w:p w14:paraId="59576FB9" w14:textId="77777777" w:rsidR="00B05CDF" w:rsidRPr="00EA204D" w:rsidRDefault="00B05CDF" w:rsidP="00B05CDF">
      <w:pPr>
        <w:pStyle w:val="H1G"/>
        <w:rPr>
          <w:lang w:val="fr-FR"/>
        </w:rPr>
      </w:pPr>
      <w:r w:rsidRPr="00EA204D">
        <w:rPr>
          <w:lang w:val="fr-FR"/>
        </w:rPr>
        <w:tab/>
      </w:r>
      <w:r w:rsidRPr="00EA204D">
        <w:rPr>
          <w:lang w:val="fr-FR"/>
        </w:rPr>
        <w:tab/>
        <w:t>Proposition envisageable</w:t>
      </w:r>
    </w:p>
    <w:p w14:paraId="0A6604B2" w14:textId="77777777" w:rsidR="00B05CDF" w:rsidRPr="00EA204D" w:rsidRDefault="00B05CDF" w:rsidP="00B05CDF">
      <w:pPr>
        <w:pStyle w:val="SingleTxtG"/>
        <w:keepNext/>
        <w:keepLines/>
        <w:rPr>
          <w:lang w:val="fr-FR"/>
        </w:rPr>
      </w:pPr>
      <w:r w:rsidRPr="00EA204D">
        <w:rPr>
          <w:lang w:val="fr-FR"/>
        </w:rPr>
        <w:t>12.</w:t>
      </w:r>
      <w:r w:rsidRPr="00EA204D">
        <w:rPr>
          <w:lang w:val="fr-FR"/>
        </w:rPr>
        <w:tab/>
        <w:t>Il est proposé de modifier comme suit l</w:t>
      </w:r>
      <w:r>
        <w:rPr>
          <w:lang w:val="fr-FR"/>
        </w:rPr>
        <w:t>’</w:t>
      </w:r>
      <w:r w:rsidRPr="00EA204D">
        <w:rPr>
          <w:lang w:val="fr-FR"/>
        </w:rPr>
        <w:t xml:space="preserve">alinéa e) de la disposition spéciale 283 (les ajouts figurent en caractères </w:t>
      </w:r>
      <w:r w:rsidRPr="00EA204D">
        <w:rPr>
          <w:b/>
          <w:bCs/>
          <w:u w:val="single"/>
          <w:lang w:val="fr-FR"/>
        </w:rPr>
        <w:t>gras soulignés</w:t>
      </w:r>
      <w:r w:rsidRPr="00EA204D">
        <w:rPr>
          <w:lang w:val="fr-FR"/>
        </w:rPr>
        <w:t>) :</w:t>
      </w:r>
    </w:p>
    <w:p w14:paraId="5359D58B" w14:textId="2D7A369D" w:rsidR="00B05CDF" w:rsidRDefault="00B05CDF" w:rsidP="00B05CDF">
      <w:pPr>
        <w:keepNext/>
        <w:keepLines/>
        <w:ind w:left="2268" w:hanging="567"/>
      </w:pPr>
      <w:r>
        <w:rPr>
          <w:lang w:val="fr-FR"/>
        </w:rPr>
        <w:t>« </w:t>
      </w:r>
      <w:proofErr w:type="gramStart"/>
      <w:r w:rsidRPr="00EA204D">
        <w:rPr>
          <w:lang w:val="fr-FR"/>
        </w:rPr>
        <w:t>e</w:t>
      </w:r>
      <w:proofErr w:type="gramEnd"/>
      <w:r w:rsidRPr="00EA204D">
        <w:rPr>
          <w:lang w:val="fr-FR"/>
        </w:rPr>
        <w:t>)</w:t>
      </w:r>
      <w:r w:rsidRPr="00EA204D">
        <w:rPr>
          <w:lang w:val="fr-FR"/>
        </w:rPr>
        <w:tab/>
        <w:t>Le modèle type ait été soumis à une épreuve d</w:t>
      </w:r>
      <w:r>
        <w:rPr>
          <w:lang w:val="fr-FR"/>
        </w:rPr>
        <w:t>’</w:t>
      </w:r>
      <w:r w:rsidRPr="00EA204D">
        <w:rPr>
          <w:lang w:val="fr-FR"/>
        </w:rPr>
        <w:t xml:space="preserve">exposition au feu </w:t>
      </w:r>
      <w:r>
        <w:rPr>
          <w:b/>
          <w:bCs/>
          <w:u w:val="single"/>
          <w:lang w:val="fr-FR"/>
        </w:rPr>
        <w:t>pour laquelle on aura appliqué</w:t>
      </w:r>
      <w:r w:rsidRPr="00EA204D">
        <w:rPr>
          <w:b/>
          <w:bCs/>
          <w:u w:val="single"/>
          <w:lang w:val="fr-FR"/>
        </w:rPr>
        <w:t xml:space="preserve"> les dispositions d</w:t>
      </w:r>
      <w:r>
        <w:rPr>
          <w:b/>
          <w:bCs/>
          <w:u w:val="single"/>
          <w:lang w:val="fr-FR"/>
        </w:rPr>
        <w:t>u</w:t>
      </w:r>
      <w:r w:rsidRPr="00EA204D">
        <w:rPr>
          <w:b/>
          <w:bCs/>
          <w:u w:val="single"/>
          <w:lang w:val="fr-FR"/>
        </w:rPr>
        <w:t xml:space="preserve"> 16.6.1.2</w:t>
      </w:r>
      <w:r>
        <w:rPr>
          <w:b/>
          <w:bCs/>
          <w:u w:val="single"/>
          <w:lang w:val="fr-FR"/>
        </w:rPr>
        <w:t>,</w:t>
      </w:r>
      <w:r w:rsidRPr="00EA204D">
        <w:rPr>
          <w:b/>
          <w:bCs/>
          <w:u w:val="single"/>
          <w:lang w:val="fr-FR"/>
        </w:rPr>
        <w:t xml:space="preserve"> à l</w:t>
      </w:r>
      <w:r>
        <w:rPr>
          <w:b/>
          <w:bCs/>
          <w:u w:val="single"/>
          <w:lang w:val="fr-FR"/>
        </w:rPr>
        <w:t>’</w:t>
      </w:r>
      <w:r w:rsidRPr="00EA204D">
        <w:rPr>
          <w:b/>
          <w:bCs/>
          <w:u w:val="single"/>
          <w:lang w:val="fr-FR"/>
        </w:rPr>
        <w:t>exception de l</w:t>
      </w:r>
      <w:r>
        <w:rPr>
          <w:b/>
          <w:bCs/>
          <w:u w:val="single"/>
          <w:lang w:val="fr-FR"/>
        </w:rPr>
        <w:t>’</w:t>
      </w:r>
      <w:r w:rsidRPr="00EA204D">
        <w:rPr>
          <w:b/>
          <w:bCs/>
          <w:u w:val="single"/>
          <w:lang w:val="fr-FR"/>
        </w:rPr>
        <w:t xml:space="preserve">alinéa g), </w:t>
      </w:r>
      <w:r>
        <w:rPr>
          <w:b/>
          <w:bCs/>
          <w:u w:val="single"/>
          <w:lang w:val="fr-FR"/>
        </w:rPr>
        <w:t xml:space="preserve">du </w:t>
      </w:r>
      <w:r w:rsidRPr="00EA204D">
        <w:rPr>
          <w:b/>
          <w:bCs/>
          <w:u w:val="single"/>
          <w:lang w:val="fr-FR"/>
        </w:rPr>
        <w:t xml:space="preserve">16.6.1.3.1 </w:t>
      </w:r>
      <w:r>
        <w:rPr>
          <w:b/>
          <w:bCs/>
          <w:u w:val="single"/>
          <w:lang w:val="fr-FR"/>
        </w:rPr>
        <w:t>au</w:t>
      </w:r>
      <w:r w:rsidRPr="00EA204D">
        <w:rPr>
          <w:b/>
          <w:bCs/>
          <w:u w:val="single"/>
          <w:lang w:val="fr-FR"/>
        </w:rPr>
        <w:t xml:space="preserve"> 16.6.1.3.4, </w:t>
      </w:r>
      <w:r>
        <w:rPr>
          <w:b/>
          <w:bCs/>
          <w:u w:val="single"/>
          <w:lang w:val="fr-FR"/>
        </w:rPr>
        <w:t xml:space="preserve">du </w:t>
      </w:r>
      <w:r w:rsidRPr="00EA204D">
        <w:rPr>
          <w:b/>
          <w:bCs/>
          <w:u w:val="single"/>
          <w:lang w:val="fr-FR"/>
        </w:rPr>
        <w:t xml:space="preserve">16.6.1.3.6, </w:t>
      </w:r>
      <w:r>
        <w:rPr>
          <w:b/>
          <w:bCs/>
          <w:u w:val="single"/>
          <w:lang w:val="fr-FR"/>
        </w:rPr>
        <w:t xml:space="preserve">du </w:t>
      </w:r>
      <w:r w:rsidRPr="00EA204D">
        <w:rPr>
          <w:b/>
          <w:bCs/>
          <w:u w:val="single"/>
          <w:lang w:val="fr-FR"/>
        </w:rPr>
        <w:t xml:space="preserve">16.6.1.3.7 b) et </w:t>
      </w:r>
      <w:r>
        <w:rPr>
          <w:b/>
          <w:bCs/>
          <w:u w:val="single"/>
          <w:lang w:val="fr-FR"/>
        </w:rPr>
        <w:t xml:space="preserve">du </w:t>
      </w:r>
      <w:r w:rsidRPr="00EA204D">
        <w:rPr>
          <w:b/>
          <w:bCs/>
          <w:u w:val="single"/>
          <w:lang w:val="fr-FR"/>
        </w:rPr>
        <w:t>16.6.1.3.8 du Manuel d</w:t>
      </w:r>
      <w:r>
        <w:rPr>
          <w:b/>
          <w:bCs/>
          <w:u w:val="single"/>
          <w:lang w:val="fr-FR"/>
        </w:rPr>
        <w:t>’</w:t>
      </w:r>
      <w:r w:rsidRPr="00EA204D">
        <w:rPr>
          <w:b/>
          <w:bCs/>
          <w:u w:val="single"/>
          <w:lang w:val="fr-FR"/>
        </w:rPr>
        <w:t>épreuves et de critères</w:t>
      </w:r>
      <w:r>
        <w:rPr>
          <w:b/>
          <w:bCs/>
          <w:u w:val="single"/>
          <w:lang w:val="fr-FR"/>
        </w:rPr>
        <w:t>. Cette épreuve doit démontrer</w:t>
      </w:r>
      <w:r w:rsidRPr="00B45EA5">
        <w:rPr>
          <w:strike/>
          <w:lang w:val="fr-FR"/>
        </w:rPr>
        <w:t xml:space="preserve"> démontrant</w:t>
      </w:r>
      <w:r w:rsidRPr="00EA204D">
        <w:rPr>
          <w:lang w:val="fr-FR"/>
        </w:rPr>
        <w:t xml:space="preserve"> que l</w:t>
      </w:r>
      <w:r>
        <w:rPr>
          <w:lang w:val="fr-FR"/>
        </w:rPr>
        <w:t>’</w:t>
      </w:r>
      <w:r w:rsidRPr="00EA204D">
        <w:rPr>
          <w:lang w:val="fr-FR"/>
        </w:rPr>
        <w:t>objet est protégé efficacement contre les surpressions internes par un élément fusible ou un dispositif de décompression de sorte qu</w:t>
      </w:r>
      <w:r>
        <w:rPr>
          <w:lang w:val="fr-FR"/>
        </w:rPr>
        <w:t>’</w:t>
      </w:r>
      <w:r w:rsidRPr="00EA204D">
        <w:rPr>
          <w:lang w:val="fr-FR"/>
        </w:rPr>
        <w:t>il ne puisse ni éclater ni fuser. »</w:t>
      </w:r>
      <w:r>
        <w:rPr>
          <w:lang w:val="fr-FR"/>
        </w:rPr>
        <w:t>.</w:t>
      </w:r>
    </w:p>
    <w:p w14:paraId="0B905F0D" w14:textId="448DEF49" w:rsidR="00446FE5" w:rsidRPr="00B05CDF" w:rsidRDefault="00B05CDF" w:rsidP="00B05CD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B05CDF" w:rsidSect="00B05C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EDFF" w14:textId="77777777" w:rsidR="002446FE" w:rsidRDefault="002446FE" w:rsidP="00F95C08">
      <w:pPr>
        <w:spacing w:line="240" w:lineRule="auto"/>
      </w:pPr>
    </w:p>
  </w:endnote>
  <w:endnote w:type="continuationSeparator" w:id="0">
    <w:p w14:paraId="5235F4A5" w14:textId="77777777" w:rsidR="002446FE" w:rsidRPr="00AC3823" w:rsidRDefault="002446FE" w:rsidP="00AC3823">
      <w:pPr>
        <w:pStyle w:val="Footer"/>
      </w:pPr>
    </w:p>
  </w:endnote>
  <w:endnote w:type="continuationNotice" w:id="1">
    <w:p w14:paraId="7B686B33" w14:textId="77777777" w:rsidR="002446FE" w:rsidRDefault="002446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0AFD" w14:textId="560CB5FE" w:rsidR="00B05CDF" w:rsidRPr="00B05CDF" w:rsidRDefault="00B05CDF" w:rsidP="00B05CDF">
    <w:pPr>
      <w:pStyle w:val="Footer"/>
      <w:tabs>
        <w:tab w:val="right" w:pos="9638"/>
      </w:tabs>
    </w:pPr>
    <w:r w:rsidRPr="00B05CDF">
      <w:rPr>
        <w:b/>
        <w:sz w:val="18"/>
      </w:rPr>
      <w:fldChar w:fldCharType="begin"/>
    </w:r>
    <w:r w:rsidRPr="00B05CDF">
      <w:rPr>
        <w:b/>
        <w:sz w:val="18"/>
      </w:rPr>
      <w:instrText xml:space="preserve"> PAGE  \* MERGEFORMAT </w:instrText>
    </w:r>
    <w:r w:rsidRPr="00B05CDF">
      <w:rPr>
        <w:b/>
        <w:sz w:val="18"/>
      </w:rPr>
      <w:fldChar w:fldCharType="separate"/>
    </w:r>
    <w:r w:rsidRPr="00B05CDF">
      <w:rPr>
        <w:b/>
        <w:noProof/>
        <w:sz w:val="18"/>
      </w:rPr>
      <w:t>2</w:t>
    </w:r>
    <w:r w:rsidRPr="00B05CDF">
      <w:rPr>
        <w:b/>
        <w:sz w:val="18"/>
      </w:rPr>
      <w:fldChar w:fldCharType="end"/>
    </w:r>
    <w:r>
      <w:rPr>
        <w:b/>
        <w:sz w:val="18"/>
      </w:rPr>
      <w:tab/>
    </w:r>
    <w:r>
      <w:t>GE.22-13974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F1DE" w14:textId="27251C04" w:rsidR="00B05CDF" w:rsidRPr="00B05CDF" w:rsidRDefault="00B05CDF" w:rsidP="00B05CDF">
    <w:pPr>
      <w:pStyle w:val="Footer"/>
      <w:tabs>
        <w:tab w:val="right" w:pos="9638"/>
      </w:tabs>
      <w:rPr>
        <w:b/>
        <w:sz w:val="18"/>
      </w:rPr>
    </w:pPr>
    <w:r>
      <w:t>GE.22-13974</w:t>
    </w:r>
    <w:r>
      <w:tab/>
    </w:r>
    <w:r w:rsidRPr="00B05CDF">
      <w:rPr>
        <w:b/>
        <w:sz w:val="18"/>
      </w:rPr>
      <w:fldChar w:fldCharType="begin"/>
    </w:r>
    <w:r w:rsidRPr="00B05CDF">
      <w:rPr>
        <w:b/>
        <w:sz w:val="18"/>
      </w:rPr>
      <w:instrText xml:space="preserve"> PAGE  \* MERGEFORMAT </w:instrText>
    </w:r>
    <w:r w:rsidRPr="00B05CDF">
      <w:rPr>
        <w:b/>
        <w:sz w:val="18"/>
      </w:rPr>
      <w:fldChar w:fldCharType="separate"/>
    </w:r>
    <w:r w:rsidRPr="00B05CDF">
      <w:rPr>
        <w:b/>
        <w:noProof/>
        <w:sz w:val="18"/>
      </w:rPr>
      <w:t>3</w:t>
    </w:r>
    <w:r w:rsidRPr="00B05C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EE95" w14:textId="30408480" w:rsidR="0068456F" w:rsidRPr="00B05CDF" w:rsidRDefault="00B05CDF" w:rsidP="00B05CDF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1B61F73" wp14:editId="7B37327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13974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7C1C842" wp14:editId="58F8BAB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131022   131022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F316" w14:textId="77777777" w:rsidR="002446FE" w:rsidRPr="00AC3823" w:rsidRDefault="002446F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94C112" w14:textId="77777777" w:rsidR="002446FE" w:rsidRPr="00AC3823" w:rsidRDefault="002446F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CC5730" w14:textId="77777777" w:rsidR="002446FE" w:rsidRPr="00AC3823" w:rsidRDefault="002446FE">
      <w:pPr>
        <w:spacing w:line="240" w:lineRule="auto"/>
        <w:rPr>
          <w:sz w:val="2"/>
          <w:szCs w:val="2"/>
        </w:rPr>
      </w:pPr>
    </w:p>
  </w:footnote>
  <w:footnote w:id="2">
    <w:p w14:paraId="04F49EF3" w14:textId="53768200" w:rsidR="00B05CDF" w:rsidRPr="00B05CDF" w:rsidRDefault="00B05CDF">
      <w:pPr>
        <w:pStyle w:val="FootnoteText"/>
      </w:pPr>
      <w:r>
        <w:rPr>
          <w:rStyle w:val="FootnoteReference"/>
        </w:rPr>
        <w:tab/>
      </w:r>
      <w:r w:rsidRPr="00B05CD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en-US"/>
        </w:rPr>
        <w:t>A/75/6 (Sect.20), par.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9BC4" w14:textId="172A2BB7" w:rsidR="00B05CDF" w:rsidRPr="00B05CDF" w:rsidRDefault="002446F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82B4A">
      <w:t>ST/SG/AC.10/C.3/2022/64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5D45" w14:textId="587AFDA9" w:rsidR="00B05CDF" w:rsidRPr="00B05CDF" w:rsidRDefault="002446FE" w:rsidP="00B05CD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82B4A">
      <w:t>ST/SG/AC.10/C.3/2022/64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DD"/>
    <w:rsid w:val="00017F94"/>
    <w:rsid w:val="00023842"/>
    <w:rsid w:val="000305D3"/>
    <w:rsid w:val="000334F9"/>
    <w:rsid w:val="0007796D"/>
    <w:rsid w:val="000B7790"/>
    <w:rsid w:val="000F2AB9"/>
    <w:rsid w:val="00111F2F"/>
    <w:rsid w:val="00132EA9"/>
    <w:rsid w:val="0014365E"/>
    <w:rsid w:val="00172E49"/>
    <w:rsid w:val="00176178"/>
    <w:rsid w:val="001F525A"/>
    <w:rsid w:val="00223272"/>
    <w:rsid w:val="002446FE"/>
    <w:rsid w:val="0024779E"/>
    <w:rsid w:val="00283190"/>
    <w:rsid w:val="002832AC"/>
    <w:rsid w:val="002D7C93"/>
    <w:rsid w:val="002F2F0E"/>
    <w:rsid w:val="003B582F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F1180"/>
    <w:rsid w:val="0068456F"/>
    <w:rsid w:val="0071601D"/>
    <w:rsid w:val="007A62E6"/>
    <w:rsid w:val="007C60DD"/>
    <w:rsid w:val="0080684C"/>
    <w:rsid w:val="008123E0"/>
    <w:rsid w:val="00871C75"/>
    <w:rsid w:val="008776DC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05CDF"/>
    <w:rsid w:val="00B765F7"/>
    <w:rsid w:val="00B83BB7"/>
    <w:rsid w:val="00BA0CA9"/>
    <w:rsid w:val="00C02897"/>
    <w:rsid w:val="00D3439C"/>
    <w:rsid w:val="00DB1831"/>
    <w:rsid w:val="00DD3BFD"/>
    <w:rsid w:val="00DF6678"/>
    <w:rsid w:val="00E82B4A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1ABE"/>
  <w15:docId w15:val="{61CE8BD0-7C0E-4693-9C38-86372E13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B05CD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B05CD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B05CDF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8509596-915F-4BB6-B608-97AC59295089}"/>
</file>

<file path=customXml/itemProps2.xml><?xml version="1.0" encoding="utf-8"?>
<ds:datastoreItem xmlns:ds="http://schemas.openxmlformats.org/officeDocument/2006/customXml" ds:itemID="{C92DBD33-D413-470A-A9CA-CFB59B6A4A92}"/>
</file>

<file path=customXml/itemProps3.xml><?xml version="1.0" encoding="utf-8"?>
<ds:datastoreItem xmlns:ds="http://schemas.openxmlformats.org/officeDocument/2006/customXml" ds:itemID="{2F888804-25FB-4504-88E1-34DD808376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ST/SG/AC.10/C.3/2022/64</vt:lpstr>
    </vt:vector>
  </TitlesOfParts>
  <Company>DCM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ST/SG/AC.10/C.3/2022/64</dc:title>
  <dc:subject/>
  <dc:creator>Maud DARICHE</dc:creator>
  <cp:keywords/>
  <cp:lastModifiedBy>Laurence Berthet</cp:lastModifiedBy>
  <cp:revision>3</cp:revision>
  <cp:lastPrinted>2022-10-13T08:02:00Z</cp:lastPrinted>
  <dcterms:created xsi:type="dcterms:W3CDTF">2022-10-13T08:02:00Z</dcterms:created>
  <dcterms:modified xsi:type="dcterms:W3CDTF">2022-10-13T08:02:00Z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