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A35A9DC" w14:textId="77777777" w:rsidTr="00F01738">
        <w:trPr>
          <w:trHeight w:hRule="exact" w:val="851"/>
        </w:trPr>
        <w:tc>
          <w:tcPr>
            <w:tcW w:w="1276" w:type="dxa"/>
            <w:tcBorders>
              <w:bottom w:val="single" w:sz="4" w:space="0" w:color="auto"/>
            </w:tcBorders>
          </w:tcPr>
          <w:p w14:paraId="47EE557C" w14:textId="77777777" w:rsidR="00132EA9" w:rsidRPr="00DB58B5" w:rsidRDefault="00132EA9" w:rsidP="00B91605"/>
        </w:tc>
        <w:tc>
          <w:tcPr>
            <w:tcW w:w="2268" w:type="dxa"/>
            <w:tcBorders>
              <w:bottom w:val="single" w:sz="4" w:space="0" w:color="auto"/>
            </w:tcBorders>
            <w:vAlign w:val="bottom"/>
          </w:tcPr>
          <w:p w14:paraId="1D525D1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C9725F" w14:textId="2ECEB719" w:rsidR="00132EA9" w:rsidRPr="00DB58B5" w:rsidRDefault="00B91605" w:rsidP="00B91605">
            <w:pPr>
              <w:jc w:val="right"/>
            </w:pPr>
            <w:r w:rsidRPr="00B91605">
              <w:rPr>
                <w:sz w:val="40"/>
              </w:rPr>
              <w:t>ST</w:t>
            </w:r>
            <w:r>
              <w:t>/SG/AC</w:t>
            </w:r>
            <w:r w:rsidR="002A1C80" w:rsidRPr="002A1C80">
              <w:t>.</w:t>
            </w:r>
            <w:r>
              <w:t>10/C</w:t>
            </w:r>
            <w:r w:rsidR="002A1C80" w:rsidRPr="002A1C80">
              <w:t>.</w:t>
            </w:r>
            <w:r>
              <w:t>3/2022/63</w:t>
            </w:r>
          </w:p>
        </w:tc>
      </w:tr>
      <w:tr w:rsidR="00132EA9" w:rsidRPr="00DB58B5" w14:paraId="5E8DFAA3" w14:textId="77777777" w:rsidTr="00F01738">
        <w:trPr>
          <w:trHeight w:hRule="exact" w:val="2835"/>
        </w:trPr>
        <w:tc>
          <w:tcPr>
            <w:tcW w:w="1276" w:type="dxa"/>
            <w:tcBorders>
              <w:top w:val="single" w:sz="4" w:space="0" w:color="auto"/>
              <w:bottom w:val="single" w:sz="12" w:space="0" w:color="auto"/>
            </w:tcBorders>
          </w:tcPr>
          <w:p w14:paraId="77C246CB" w14:textId="77777777" w:rsidR="00132EA9" w:rsidRPr="00DB58B5" w:rsidRDefault="00132EA9" w:rsidP="00F01738">
            <w:pPr>
              <w:spacing w:before="120"/>
              <w:jc w:val="center"/>
            </w:pPr>
            <w:r>
              <w:rPr>
                <w:noProof/>
                <w:lang w:eastAsia="fr-CH"/>
              </w:rPr>
              <w:drawing>
                <wp:inline distT="0" distB="0" distL="0" distR="0" wp14:anchorId="15995AFA" wp14:editId="3743DC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22CCE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073BF17" w14:textId="49C63DB9" w:rsidR="00132EA9" w:rsidRDefault="00B91605" w:rsidP="00F01738">
            <w:pPr>
              <w:spacing w:before="240"/>
            </w:pPr>
            <w:proofErr w:type="spellStart"/>
            <w:r>
              <w:t>Distr</w:t>
            </w:r>
            <w:proofErr w:type="spellEnd"/>
            <w:r w:rsidR="002A1C80" w:rsidRPr="002A1C80">
              <w:t>.</w:t>
            </w:r>
            <w:r>
              <w:t xml:space="preserve"> </w:t>
            </w:r>
            <w:proofErr w:type="gramStart"/>
            <w:r>
              <w:t>générale</w:t>
            </w:r>
            <w:proofErr w:type="gramEnd"/>
          </w:p>
          <w:p w14:paraId="53533BE3" w14:textId="77777777" w:rsidR="00B91605" w:rsidRDefault="00B91605" w:rsidP="00B91605">
            <w:pPr>
              <w:spacing w:line="240" w:lineRule="exact"/>
            </w:pPr>
            <w:r>
              <w:t>7 septembre 2022</w:t>
            </w:r>
          </w:p>
          <w:p w14:paraId="5FD221E6" w14:textId="77777777" w:rsidR="00B91605" w:rsidRDefault="00B91605" w:rsidP="00B91605">
            <w:pPr>
              <w:spacing w:line="240" w:lineRule="exact"/>
            </w:pPr>
            <w:r>
              <w:t>Français</w:t>
            </w:r>
          </w:p>
          <w:p w14:paraId="191BE788" w14:textId="00A253BC" w:rsidR="00B91605" w:rsidRPr="00DB58B5" w:rsidRDefault="00B91605" w:rsidP="00B91605">
            <w:pPr>
              <w:spacing w:line="240" w:lineRule="exact"/>
            </w:pPr>
            <w:r>
              <w:t>Original : anglais</w:t>
            </w:r>
          </w:p>
        </w:tc>
      </w:tr>
    </w:tbl>
    <w:p w14:paraId="1CA38B5B" w14:textId="77777777" w:rsidR="00D54EF2" w:rsidRPr="001A11EA" w:rsidRDefault="00D54EF2" w:rsidP="00D54EF2">
      <w:pPr>
        <w:spacing w:before="120"/>
        <w:rPr>
          <w:b/>
          <w:sz w:val="24"/>
          <w:szCs w:val="24"/>
          <w:lang w:val="fr-FR"/>
        </w:rPr>
      </w:pPr>
      <w:r w:rsidRPr="001A11EA">
        <w:rPr>
          <w:b/>
          <w:bCs/>
          <w:sz w:val="24"/>
          <w:szCs w:val="24"/>
          <w:lang w:val="fr-FR"/>
        </w:rPr>
        <w:t xml:space="preserve">Comité d’experts du transport des marchandises dangereuses </w:t>
      </w:r>
      <w:r w:rsidRPr="001A11EA">
        <w:rPr>
          <w:b/>
          <w:bCs/>
          <w:sz w:val="24"/>
          <w:szCs w:val="24"/>
          <w:lang w:val="fr-FR"/>
        </w:rPr>
        <w:br/>
        <w:t xml:space="preserve">et du Système général harmonisé de classification </w:t>
      </w:r>
      <w:r w:rsidRPr="001A11EA">
        <w:rPr>
          <w:b/>
          <w:bCs/>
          <w:sz w:val="24"/>
          <w:szCs w:val="24"/>
          <w:lang w:val="fr-FR"/>
        </w:rPr>
        <w:br/>
        <w:t>et d’étiquetage des produits chimiques</w:t>
      </w:r>
    </w:p>
    <w:p w14:paraId="4925F035" w14:textId="77777777" w:rsidR="00D54EF2" w:rsidRPr="001B4A27" w:rsidRDefault="00D54EF2" w:rsidP="00D54EF2">
      <w:pPr>
        <w:spacing w:before="120"/>
        <w:rPr>
          <w:rFonts w:ascii="Helv" w:hAnsi="Helv" w:cs="Helv"/>
          <w:b/>
          <w:color w:val="000000"/>
          <w:lang w:val="fr-FR"/>
        </w:rPr>
      </w:pPr>
      <w:r w:rsidRPr="001B4A27">
        <w:rPr>
          <w:b/>
          <w:bCs/>
          <w:lang w:val="fr-FR"/>
        </w:rPr>
        <w:t>Sous-Comité d</w:t>
      </w:r>
      <w:r>
        <w:rPr>
          <w:b/>
          <w:bCs/>
          <w:lang w:val="fr-FR"/>
        </w:rPr>
        <w:t>’</w:t>
      </w:r>
      <w:r w:rsidRPr="001B4A27">
        <w:rPr>
          <w:b/>
          <w:bCs/>
          <w:lang w:val="fr-FR"/>
        </w:rPr>
        <w:t>experts du transport des marchandises dangereuses</w:t>
      </w:r>
    </w:p>
    <w:p w14:paraId="4F7D0C67" w14:textId="77777777" w:rsidR="00D54EF2" w:rsidRPr="001B4A27" w:rsidRDefault="00D54EF2" w:rsidP="00D54EF2">
      <w:pPr>
        <w:spacing w:before="120"/>
        <w:rPr>
          <w:b/>
          <w:lang w:val="fr-FR"/>
        </w:rPr>
      </w:pPr>
      <w:r w:rsidRPr="001B4A27">
        <w:rPr>
          <w:b/>
          <w:bCs/>
          <w:lang w:val="fr-FR"/>
        </w:rPr>
        <w:t>Soixante et unième session</w:t>
      </w:r>
    </w:p>
    <w:p w14:paraId="0B519B85" w14:textId="77777777" w:rsidR="00D54EF2" w:rsidRPr="001B4A27" w:rsidRDefault="00D54EF2" w:rsidP="00D54EF2">
      <w:pPr>
        <w:rPr>
          <w:lang w:val="fr-FR"/>
        </w:rPr>
      </w:pPr>
      <w:r w:rsidRPr="001B4A27">
        <w:rPr>
          <w:lang w:val="fr-FR"/>
        </w:rPr>
        <w:t xml:space="preserve">Genève, 28 novembre-6 décembre 2022 </w:t>
      </w:r>
    </w:p>
    <w:p w14:paraId="54C7F776" w14:textId="77777777" w:rsidR="00D54EF2" w:rsidRPr="001B4A27" w:rsidRDefault="00D54EF2" w:rsidP="00D54EF2">
      <w:pPr>
        <w:rPr>
          <w:lang w:val="fr-FR"/>
        </w:rPr>
      </w:pPr>
      <w:r w:rsidRPr="001B4A27">
        <w:rPr>
          <w:lang w:val="fr-FR"/>
        </w:rPr>
        <w:t>Point 3 de l</w:t>
      </w:r>
      <w:r>
        <w:rPr>
          <w:lang w:val="fr-FR"/>
        </w:rPr>
        <w:t>’</w:t>
      </w:r>
      <w:r w:rsidRPr="001B4A27">
        <w:rPr>
          <w:lang w:val="fr-FR"/>
        </w:rPr>
        <w:t>ordre du jour provisoire</w:t>
      </w:r>
    </w:p>
    <w:p w14:paraId="166D41E9" w14:textId="77777777" w:rsidR="00D54EF2" w:rsidRDefault="00D54EF2" w:rsidP="00D54EF2">
      <w:pPr>
        <w:rPr>
          <w:b/>
          <w:bCs/>
          <w:lang w:val="fr-FR"/>
        </w:rPr>
      </w:pPr>
      <w:r w:rsidRPr="001B4A27">
        <w:rPr>
          <w:b/>
          <w:bCs/>
          <w:lang w:val="fr-FR"/>
        </w:rPr>
        <w:t>Inscription, classement et emballage</w:t>
      </w:r>
    </w:p>
    <w:p w14:paraId="78864B87" w14:textId="77777777" w:rsidR="00D54EF2" w:rsidRPr="009F61F7" w:rsidRDefault="00D54EF2" w:rsidP="00D54EF2">
      <w:pPr>
        <w:pStyle w:val="HChG"/>
        <w:rPr>
          <w:lang w:val="fr-FR"/>
        </w:rPr>
      </w:pPr>
      <w:r w:rsidRPr="009F61F7">
        <w:rPr>
          <w:lang w:val="fr-FR"/>
        </w:rPr>
        <w:tab/>
      </w:r>
      <w:r w:rsidRPr="009F61F7">
        <w:rPr>
          <w:lang w:val="fr-FR"/>
        </w:rPr>
        <w:tab/>
      </w:r>
      <w:r w:rsidRPr="009F61F7">
        <w:rPr>
          <w:lang w:val="fr-FR"/>
        </w:rPr>
        <w:tab/>
        <w:t>Application de la disposition spéciale 28</w:t>
      </w:r>
    </w:p>
    <w:p w14:paraId="530C699C" w14:textId="6D7A9201" w:rsidR="00D54EF2" w:rsidRPr="009F61F7" w:rsidRDefault="00D54EF2" w:rsidP="00D54EF2">
      <w:pPr>
        <w:pStyle w:val="H1G"/>
        <w:rPr>
          <w:lang w:val="fr-FR"/>
        </w:rPr>
      </w:pPr>
      <w:r w:rsidRPr="009F61F7">
        <w:rPr>
          <w:lang w:val="fr-FR"/>
        </w:rPr>
        <w:tab/>
      </w:r>
      <w:r w:rsidRPr="009F61F7">
        <w:rPr>
          <w:lang w:val="fr-FR"/>
        </w:rPr>
        <w:tab/>
        <w:t>Communication de l</w:t>
      </w:r>
      <w:r>
        <w:rPr>
          <w:lang w:val="fr-FR"/>
        </w:rPr>
        <w:t>’</w:t>
      </w:r>
      <w:r w:rsidRPr="009F61F7">
        <w:rPr>
          <w:lang w:val="fr-FR"/>
        </w:rPr>
        <w:t>expert de la Chine</w:t>
      </w:r>
      <w:r w:rsidR="006D3238" w:rsidRPr="006D3238">
        <w:rPr>
          <w:rStyle w:val="FootnoteReference"/>
          <w:b w:val="0"/>
          <w:bCs/>
          <w:sz w:val="20"/>
          <w:vertAlign w:val="baseline"/>
        </w:rPr>
        <w:footnoteReference w:customMarkFollows="1" w:id="2"/>
        <w:t>*</w:t>
      </w:r>
    </w:p>
    <w:p w14:paraId="1E3C7159" w14:textId="77777777" w:rsidR="00D54EF2" w:rsidRPr="009F61F7" w:rsidRDefault="00D54EF2" w:rsidP="00D54EF2">
      <w:pPr>
        <w:keepNext/>
        <w:keepLines/>
        <w:tabs>
          <w:tab w:val="right" w:pos="851"/>
        </w:tabs>
        <w:spacing w:before="360" w:after="240" w:line="300" w:lineRule="exact"/>
        <w:ind w:left="1134" w:right="1134" w:hanging="1134"/>
        <w:rPr>
          <w:b/>
          <w:sz w:val="28"/>
          <w:lang w:val="fr-FR"/>
        </w:rPr>
      </w:pPr>
      <w:r w:rsidRPr="009F61F7">
        <w:rPr>
          <w:b/>
          <w:sz w:val="28"/>
          <w:lang w:val="fr-FR"/>
        </w:rPr>
        <w:tab/>
      </w:r>
      <w:r w:rsidRPr="009F61F7">
        <w:rPr>
          <w:b/>
          <w:sz w:val="28"/>
          <w:lang w:val="fr-FR"/>
        </w:rPr>
        <w:tab/>
      </w:r>
      <w:r w:rsidRPr="009F61F7">
        <w:rPr>
          <w:b/>
          <w:bCs/>
          <w:sz w:val="28"/>
          <w:lang w:val="fr-FR"/>
        </w:rPr>
        <w:t>Introduction</w:t>
      </w:r>
    </w:p>
    <w:p w14:paraId="0FD5177C" w14:textId="0CA45E64" w:rsidR="00D54EF2" w:rsidRPr="009F61F7" w:rsidRDefault="00D54EF2" w:rsidP="00D54EF2">
      <w:pPr>
        <w:spacing w:after="120"/>
        <w:ind w:left="1134" w:right="1134"/>
        <w:jc w:val="both"/>
        <w:rPr>
          <w:rFonts w:ascii="TimesNewRomanPSMT" w:eastAsia="TimesNewRomanPSMT" w:hAnsi="TimesNewRomanPSMT"/>
          <w:color w:val="000000"/>
          <w:szCs w:val="21"/>
          <w:lang w:val="fr-FR"/>
        </w:rPr>
      </w:pPr>
      <w:r w:rsidRPr="009F61F7">
        <w:rPr>
          <w:lang w:val="fr-FR"/>
        </w:rPr>
        <w:t>1</w:t>
      </w:r>
      <w:r w:rsidR="002A1C80" w:rsidRPr="002A1C80">
        <w:rPr>
          <w:lang w:val="fr-FR"/>
        </w:rPr>
        <w:t>.</w:t>
      </w:r>
      <w:r w:rsidRPr="009F61F7">
        <w:rPr>
          <w:lang w:val="fr-FR"/>
        </w:rPr>
        <w:tab/>
        <w:t>À la soixantième session du Sous-Comité, les amendements ci-après à la disposition spéciale 28 (voir ST/SG/AC</w:t>
      </w:r>
      <w:r w:rsidR="002A1C80" w:rsidRPr="002A1C80">
        <w:rPr>
          <w:lang w:val="fr-FR"/>
        </w:rPr>
        <w:t>.</w:t>
      </w:r>
      <w:r w:rsidRPr="009F61F7">
        <w:rPr>
          <w:lang w:val="fr-FR"/>
        </w:rPr>
        <w:t>10/C</w:t>
      </w:r>
      <w:r w:rsidR="002A1C80" w:rsidRPr="002A1C80">
        <w:rPr>
          <w:lang w:val="fr-FR"/>
        </w:rPr>
        <w:t>.</w:t>
      </w:r>
      <w:r w:rsidRPr="009F61F7">
        <w:rPr>
          <w:lang w:val="fr-FR"/>
        </w:rPr>
        <w:t>3/120, par</w:t>
      </w:r>
      <w:r w:rsidR="002A1C80" w:rsidRPr="002A1C80">
        <w:rPr>
          <w:lang w:val="fr-FR"/>
        </w:rPr>
        <w:t>.</w:t>
      </w:r>
      <w:r w:rsidRPr="009F61F7">
        <w:rPr>
          <w:lang w:val="fr-FR"/>
        </w:rPr>
        <w:t xml:space="preserve"> 29) ont été adoptés :</w:t>
      </w:r>
    </w:p>
    <w:p w14:paraId="7CF2B3B4" w14:textId="487EEAB6" w:rsidR="00D54EF2" w:rsidRPr="009F61F7" w:rsidRDefault="00D54EF2" w:rsidP="00D54EF2">
      <w:pPr>
        <w:spacing w:after="120"/>
        <w:ind w:left="2268" w:right="1134" w:hanging="567"/>
        <w:jc w:val="both"/>
        <w:rPr>
          <w:rFonts w:ascii="TimesNewRomanPSMT" w:eastAsia="TimesNewRomanPSMT" w:hAnsi="TimesNewRomanPSMT"/>
          <w:color w:val="000000"/>
          <w:lang w:val="fr-FR"/>
        </w:rPr>
      </w:pPr>
      <w:r w:rsidRPr="001B4A27">
        <w:rPr>
          <w:lang w:val="fr-FR"/>
        </w:rPr>
        <w:t>« </w:t>
      </w:r>
      <w:r w:rsidRPr="009F61F7">
        <w:rPr>
          <w:lang w:val="fr-FR"/>
        </w:rPr>
        <w:t>28</w:t>
      </w:r>
      <w:r w:rsidRPr="009F61F7">
        <w:rPr>
          <w:lang w:val="fr-FR"/>
        </w:rPr>
        <w:tab/>
      </w:r>
      <w:r w:rsidRPr="001B4A27">
        <w:rPr>
          <w:lang w:val="fr-FR"/>
        </w:rPr>
        <w:t xml:space="preserve">Les dispositions de </w:t>
      </w:r>
      <w:r w:rsidRPr="001B4A27">
        <w:rPr>
          <w:b/>
          <w:bCs/>
          <w:lang w:val="fr-FR"/>
        </w:rPr>
        <w:t xml:space="preserve">la classe 3 ou </w:t>
      </w:r>
      <w:r w:rsidRPr="001B4A27">
        <w:rPr>
          <w:lang w:val="fr-FR"/>
        </w:rPr>
        <w:t>de la division 4</w:t>
      </w:r>
      <w:r w:rsidR="002A1C80" w:rsidRPr="002A1C80">
        <w:rPr>
          <w:lang w:val="fr-FR"/>
        </w:rPr>
        <w:t>.</w:t>
      </w:r>
      <w:r w:rsidRPr="001B4A27">
        <w:rPr>
          <w:lang w:val="fr-FR"/>
        </w:rPr>
        <w:t>1 ne peuvent s</w:t>
      </w:r>
      <w:r>
        <w:rPr>
          <w:lang w:val="fr-FR"/>
        </w:rPr>
        <w:t>’</w:t>
      </w:r>
      <w:r w:rsidRPr="001B4A27">
        <w:rPr>
          <w:lang w:val="fr-FR"/>
        </w:rPr>
        <w:t xml:space="preserve">appliquer au transport de cette matière que si elle est emballée de façon que le pourcentage en diluant ne tombe à aucun moment, au cours du transport, au-dessous du taux indiqué (voir </w:t>
      </w:r>
      <w:r w:rsidRPr="001B4A27">
        <w:rPr>
          <w:b/>
          <w:bCs/>
          <w:lang w:val="fr-FR"/>
        </w:rPr>
        <w:t>2</w:t>
      </w:r>
      <w:r w:rsidR="002A1C80" w:rsidRPr="002A1C80">
        <w:rPr>
          <w:b/>
          <w:bCs/>
          <w:lang w:val="fr-FR"/>
        </w:rPr>
        <w:t>.</w:t>
      </w:r>
      <w:r w:rsidRPr="001B4A27">
        <w:rPr>
          <w:b/>
          <w:bCs/>
          <w:lang w:val="fr-FR"/>
        </w:rPr>
        <w:t>3</w:t>
      </w:r>
      <w:r w:rsidR="002A1C80" w:rsidRPr="002A1C80">
        <w:rPr>
          <w:b/>
          <w:bCs/>
          <w:lang w:val="fr-FR"/>
        </w:rPr>
        <w:t>.</w:t>
      </w:r>
      <w:r w:rsidRPr="001B4A27">
        <w:rPr>
          <w:b/>
          <w:bCs/>
          <w:lang w:val="fr-FR"/>
        </w:rPr>
        <w:t>1</w:t>
      </w:r>
      <w:r w:rsidR="002A1C80" w:rsidRPr="002A1C80">
        <w:rPr>
          <w:b/>
          <w:bCs/>
          <w:lang w:val="fr-FR"/>
        </w:rPr>
        <w:t>.</w:t>
      </w:r>
      <w:r w:rsidRPr="001B4A27">
        <w:rPr>
          <w:b/>
          <w:bCs/>
          <w:lang w:val="fr-FR"/>
        </w:rPr>
        <w:t xml:space="preserve">4 et </w:t>
      </w:r>
      <w:r w:rsidRPr="001B4A27">
        <w:rPr>
          <w:lang w:val="fr-FR"/>
        </w:rPr>
        <w:t>2</w:t>
      </w:r>
      <w:r w:rsidR="002A1C80" w:rsidRPr="002A1C80">
        <w:rPr>
          <w:lang w:val="fr-FR"/>
        </w:rPr>
        <w:t>.</w:t>
      </w:r>
      <w:r w:rsidRPr="001B4A27">
        <w:rPr>
          <w:lang w:val="fr-FR"/>
        </w:rPr>
        <w:t>4</w:t>
      </w:r>
      <w:r w:rsidR="002A1C80" w:rsidRPr="002A1C80">
        <w:rPr>
          <w:lang w:val="fr-FR"/>
        </w:rPr>
        <w:t>.</w:t>
      </w:r>
      <w:r w:rsidRPr="001B4A27">
        <w:rPr>
          <w:lang w:val="fr-FR"/>
        </w:rPr>
        <w:t>2</w:t>
      </w:r>
      <w:r w:rsidR="002A1C80" w:rsidRPr="002A1C80">
        <w:rPr>
          <w:lang w:val="fr-FR"/>
        </w:rPr>
        <w:t>.</w:t>
      </w:r>
      <w:r w:rsidRPr="001B4A27">
        <w:rPr>
          <w:lang w:val="fr-FR"/>
        </w:rPr>
        <w:t>4)</w:t>
      </w:r>
      <w:r w:rsidR="002A1C80" w:rsidRPr="002A1C80">
        <w:rPr>
          <w:lang w:val="fr-FR"/>
        </w:rPr>
        <w:t>.</w:t>
      </w:r>
      <w:r w:rsidRPr="001B4A27">
        <w:rPr>
          <w:lang w:val="fr-FR"/>
        </w:rPr>
        <w:t> »</w:t>
      </w:r>
      <w:r w:rsidR="002A1C80" w:rsidRPr="002A1C80">
        <w:rPr>
          <w:lang w:val="fr-FR"/>
        </w:rPr>
        <w:t>.</w:t>
      </w:r>
    </w:p>
    <w:p w14:paraId="05E5016C" w14:textId="3AECC7C4" w:rsidR="00D54EF2" w:rsidRPr="001B4A27" w:rsidRDefault="00D54EF2" w:rsidP="00D54EF2">
      <w:pPr>
        <w:pStyle w:val="SingleTxtG"/>
        <w:rPr>
          <w:lang w:val="fr-FR"/>
        </w:rPr>
      </w:pPr>
      <w:r w:rsidRPr="001B4A27">
        <w:rPr>
          <w:lang w:val="fr-FR"/>
        </w:rPr>
        <w:t>2</w:t>
      </w:r>
      <w:r w:rsidR="002A1C80" w:rsidRPr="002A1C80">
        <w:rPr>
          <w:lang w:val="fr-FR"/>
        </w:rPr>
        <w:t>.</w:t>
      </w:r>
      <w:r w:rsidRPr="001B4A27">
        <w:rPr>
          <w:lang w:val="fr-FR"/>
        </w:rPr>
        <w:tab/>
        <w:t>À l</w:t>
      </w:r>
      <w:r>
        <w:rPr>
          <w:lang w:val="fr-FR"/>
        </w:rPr>
        <w:t>’</w:t>
      </w:r>
      <w:r w:rsidRPr="001B4A27">
        <w:rPr>
          <w:lang w:val="fr-FR"/>
        </w:rPr>
        <w:t xml:space="preserve">exception du </w:t>
      </w:r>
      <w:r>
        <w:rPr>
          <w:lang w:val="fr-FR"/>
        </w:rPr>
        <w:t>No</w:t>
      </w:r>
      <w:r w:rsidRPr="001B4A27">
        <w:rPr>
          <w:lang w:val="fr-FR"/>
        </w:rPr>
        <w:t xml:space="preserve"> ONU 3555, la disposition spéciale 28 n</w:t>
      </w:r>
      <w:r>
        <w:rPr>
          <w:lang w:val="fr-FR"/>
        </w:rPr>
        <w:t>’</w:t>
      </w:r>
      <w:r w:rsidRPr="001B4A27">
        <w:rPr>
          <w:lang w:val="fr-FR"/>
        </w:rPr>
        <w:t xml:space="preserve">est pas affectée aux rubriques des matières explosibles désensibilisées liquides, notamment aux </w:t>
      </w:r>
      <w:r>
        <w:rPr>
          <w:lang w:val="fr-FR"/>
        </w:rPr>
        <w:t>No</w:t>
      </w:r>
      <w:r w:rsidRPr="001B4A27">
        <w:rPr>
          <w:lang w:val="fr-FR"/>
        </w:rPr>
        <w:t>s ONU 1204, 2059, 3064, 3343, 3357 et 3379</w:t>
      </w:r>
      <w:r w:rsidR="002A1C80" w:rsidRPr="002A1C80">
        <w:rPr>
          <w:lang w:val="fr-FR"/>
        </w:rPr>
        <w:t>.</w:t>
      </w:r>
    </w:p>
    <w:tbl>
      <w:tblPr>
        <w:tblStyle w:val="TableGrid"/>
        <w:tblW w:w="8504" w:type="dxa"/>
        <w:tblInd w:w="1134" w:type="dxa"/>
        <w:tblLayout w:type="fixed"/>
        <w:tblLook w:val="04A0" w:firstRow="1" w:lastRow="0" w:firstColumn="1" w:lastColumn="0" w:noHBand="0" w:noVBand="1"/>
      </w:tblPr>
      <w:tblGrid>
        <w:gridCol w:w="690"/>
        <w:gridCol w:w="3991"/>
        <w:gridCol w:w="1053"/>
        <w:gridCol w:w="1386"/>
        <w:gridCol w:w="1384"/>
      </w:tblGrid>
      <w:tr w:rsidR="00D54EF2" w:rsidRPr="006D3238" w14:paraId="19545E9B" w14:textId="77777777" w:rsidTr="006D3238">
        <w:tc>
          <w:tcPr>
            <w:tcW w:w="690" w:type="dxa"/>
          </w:tcPr>
          <w:p w14:paraId="3D74379E" w14:textId="77777777" w:rsidR="00D54EF2" w:rsidRPr="006D3238" w:rsidRDefault="00D54EF2" w:rsidP="006D3238">
            <w:pPr>
              <w:pStyle w:val="SingleTxtG"/>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No ONU</w:t>
            </w:r>
          </w:p>
        </w:tc>
        <w:tc>
          <w:tcPr>
            <w:tcW w:w="3991" w:type="dxa"/>
          </w:tcPr>
          <w:p w14:paraId="2E8688C2" w14:textId="77777777" w:rsidR="00D54EF2" w:rsidRPr="006D3238" w:rsidRDefault="00D54EF2" w:rsidP="006D3238">
            <w:pPr>
              <w:pStyle w:val="SingleTxtG"/>
              <w:kinsoku/>
              <w:overflowPunct/>
              <w:autoSpaceDE/>
              <w:autoSpaceDN/>
              <w:adjustRightInd/>
              <w:snapToGrid/>
              <w:spacing w:before="60" w:after="60" w:line="220" w:lineRule="atLeast"/>
              <w:ind w:left="28" w:right="28" w:hanging="2"/>
              <w:jc w:val="center"/>
              <w:rPr>
                <w:b/>
                <w:bCs/>
                <w:sz w:val="18"/>
                <w:szCs w:val="18"/>
                <w:lang w:val="fr-FR"/>
              </w:rPr>
            </w:pPr>
            <w:r w:rsidRPr="006D3238">
              <w:rPr>
                <w:b/>
                <w:bCs/>
                <w:sz w:val="18"/>
                <w:szCs w:val="18"/>
                <w:lang w:val="fr-FR"/>
              </w:rPr>
              <w:t>Nom et description</w:t>
            </w:r>
          </w:p>
        </w:tc>
        <w:tc>
          <w:tcPr>
            <w:tcW w:w="1053" w:type="dxa"/>
          </w:tcPr>
          <w:p w14:paraId="7A394494" w14:textId="77777777" w:rsidR="00D54EF2" w:rsidRPr="006D3238" w:rsidRDefault="00D54EF2" w:rsidP="006D3238">
            <w:pPr>
              <w:pStyle w:val="SingleTxtG"/>
              <w:tabs>
                <w:tab w:val="left" w:pos="0"/>
              </w:tabs>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Classe ou division</w:t>
            </w:r>
          </w:p>
        </w:tc>
        <w:tc>
          <w:tcPr>
            <w:tcW w:w="1386" w:type="dxa"/>
          </w:tcPr>
          <w:p w14:paraId="0208D443" w14:textId="77777777" w:rsidR="00D54EF2" w:rsidRPr="006D3238" w:rsidRDefault="00D54EF2" w:rsidP="006D3238">
            <w:pPr>
              <w:pStyle w:val="SingleTxtG"/>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Groupe d’emballage</w:t>
            </w:r>
          </w:p>
        </w:tc>
        <w:tc>
          <w:tcPr>
            <w:tcW w:w="1384" w:type="dxa"/>
          </w:tcPr>
          <w:p w14:paraId="27C3B06F" w14:textId="77777777" w:rsidR="00D54EF2" w:rsidRPr="006D3238" w:rsidRDefault="00D54EF2" w:rsidP="006D3238">
            <w:pPr>
              <w:pStyle w:val="SingleTxtG"/>
              <w:kinsoku/>
              <w:overflowPunct/>
              <w:autoSpaceDE/>
              <w:autoSpaceDN/>
              <w:adjustRightInd/>
              <w:snapToGrid/>
              <w:spacing w:before="60" w:after="60" w:line="220" w:lineRule="atLeast"/>
              <w:ind w:left="28" w:right="28" w:hanging="3"/>
              <w:jc w:val="center"/>
              <w:rPr>
                <w:b/>
                <w:bCs/>
                <w:sz w:val="18"/>
                <w:szCs w:val="18"/>
                <w:lang w:val="fr-FR"/>
              </w:rPr>
            </w:pPr>
            <w:r w:rsidRPr="006D3238">
              <w:rPr>
                <w:b/>
                <w:bCs/>
                <w:sz w:val="18"/>
                <w:szCs w:val="18"/>
                <w:lang w:val="fr-FR"/>
              </w:rPr>
              <w:t>Dispositions spéciales</w:t>
            </w:r>
          </w:p>
        </w:tc>
      </w:tr>
      <w:tr w:rsidR="00D54EF2" w:rsidRPr="001B4A27" w14:paraId="33BC18AB" w14:textId="77777777" w:rsidTr="006D3238">
        <w:tc>
          <w:tcPr>
            <w:tcW w:w="690" w:type="dxa"/>
          </w:tcPr>
          <w:p w14:paraId="54BE2757"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1204</w:t>
            </w:r>
          </w:p>
        </w:tc>
        <w:tc>
          <w:tcPr>
            <w:tcW w:w="3991" w:type="dxa"/>
          </w:tcPr>
          <w:p w14:paraId="1DF815F1" w14:textId="77777777"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NITROGLYCÉRINE EN SOLUTION ALCOOLIQUE avec au plus 1 % de nitroglycérine</w:t>
            </w:r>
          </w:p>
        </w:tc>
        <w:tc>
          <w:tcPr>
            <w:tcW w:w="1053" w:type="dxa"/>
          </w:tcPr>
          <w:p w14:paraId="516E7027"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14D16B73"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84" w:type="dxa"/>
          </w:tcPr>
          <w:p w14:paraId="4113E81B"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p>
        </w:tc>
      </w:tr>
      <w:tr w:rsidR="00D54EF2" w:rsidRPr="001B4A27" w14:paraId="7ED6325B" w14:textId="77777777" w:rsidTr="006D3238">
        <w:tc>
          <w:tcPr>
            <w:tcW w:w="690" w:type="dxa"/>
          </w:tcPr>
          <w:p w14:paraId="520B2F30"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2059</w:t>
            </w:r>
          </w:p>
        </w:tc>
        <w:tc>
          <w:tcPr>
            <w:tcW w:w="3991" w:type="dxa"/>
          </w:tcPr>
          <w:p w14:paraId="121E20D4" w14:textId="0DD289DA"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NITROCELLULOSE EN SOLUTION INFLAMMABLE contenant au plus 12,6 % (rapportée à la masse sèche) d</w:t>
            </w:r>
            <w:r>
              <w:rPr>
                <w:lang w:val="fr-FR"/>
              </w:rPr>
              <w:t>’</w:t>
            </w:r>
            <w:r w:rsidRPr="001B4A27">
              <w:rPr>
                <w:lang w:val="fr-FR"/>
              </w:rPr>
              <w:t xml:space="preserve">azote et 55 % </w:t>
            </w:r>
            <w:r w:rsidR="005F02A7">
              <w:rPr>
                <w:lang w:val="fr-FR"/>
              </w:rPr>
              <w:br/>
            </w:r>
            <w:r w:rsidRPr="001B4A27">
              <w:rPr>
                <w:lang w:val="fr-FR"/>
              </w:rPr>
              <w:t>de nitrocellulose</w:t>
            </w:r>
          </w:p>
        </w:tc>
        <w:tc>
          <w:tcPr>
            <w:tcW w:w="1053" w:type="dxa"/>
          </w:tcPr>
          <w:p w14:paraId="28DE171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6B27CDE6"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w:t>
            </w:r>
          </w:p>
        </w:tc>
        <w:tc>
          <w:tcPr>
            <w:tcW w:w="1384" w:type="dxa"/>
          </w:tcPr>
          <w:p w14:paraId="7112F1E1"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198</w:t>
            </w:r>
          </w:p>
        </w:tc>
      </w:tr>
      <w:tr w:rsidR="00D54EF2" w:rsidRPr="001B4A27" w14:paraId="087841D9" w14:textId="77777777" w:rsidTr="006D3238">
        <w:tc>
          <w:tcPr>
            <w:tcW w:w="690" w:type="dxa"/>
          </w:tcPr>
          <w:p w14:paraId="7A56C35E"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2059</w:t>
            </w:r>
          </w:p>
        </w:tc>
        <w:tc>
          <w:tcPr>
            <w:tcW w:w="3991" w:type="dxa"/>
          </w:tcPr>
          <w:p w14:paraId="6D91E628" w14:textId="60FF1AD4" w:rsidR="00D54EF2" w:rsidRPr="001B4A27" w:rsidRDefault="00D54EF2" w:rsidP="006D3238">
            <w:pPr>
              <w:suppressAutoHyphens w:val="0"/>
              <w:kinsoku/>
              <w:overflowPunct/>
              <w:snapToGrid/>
              <w:spacing w:before="60" w:after="60" w:line="220" w:lineRule="atLeast"/>
              <w:ind w:left="28" w:right="28"/>
              <w:rPr>
                <w:rFonts w:ascii="TimesNewRoman" w:hAnsi="TimesNewRoman" w:cs="TimesNewRoman"/>
                <w:lang w:val="fr-FR"/>
              </w:rPr>
            </w:pPr>
            <w:r w:rsidRPr="001B4A27">
              <w:rPr>
                <w:lang w:val="fr-FR"/>
              </w:rPr>
              <w:t>NITROCELLULOSE EN SOLUTION INFLAMMABLE contenant au plus 12,6 % (rapportée à la masse sèche) d</w:t>
            </w:r>
            <w:r>
              <w:rPr>
                <w:lang w:val="fr-FR"/>
              </w:rPr>
              <w:t>’</w:t>
            </w:r>
            <w:r w:rsidRPr="001B4A27">
              <w:rPr>
                <w:lang w:val="fr-FR"/>
              </w:rPr>
              <w:t xml:space="preserve">azote et 55 % </w:t>
            </w:r>
            <w:r w:rsidR="005F02A7">
              <w:rPr>
                <w:lang w:val="fr-FR"/>
              </w:rPr>
              <w:br/>
            </w:r>
            <w:r w:rsidRPr="001B4A27">
              <w:rPr>
                <w:lang w:val="fr-FR"/>
              </w:rPr>
              <w:t>de nitrocellulose</w:t>
            </w:r>
          </w:p>
        </w:tc>
        <w:tc>
          <w:tcPr>
            <w:tcW w:w="1053" w:type="dxa"/>
          </w:tcPr>
          <w:p w14:paraId="113773DC"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176484FC"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84" w:type="dxa"/>
          </w:tcPr>
          <w:p w14:paraId="064E64A8"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198</w:t>
            </w:r>
          </w:p>
        </w:tc>
      </w:tr>
      <w:tr w:rsidR="00D54EF2" w:rsidRPr="001B4A27" w14:paraId="67E6D661" w14:textId="77777777" w:rsidTr="006D3238">
        <w:tc>
          <w:tcPr>
            <w:tcW w:w="690" w:type="dxa"/>
          </w:tcPr>
          <w:p w14:paraId="0882D9E2" w14:textId="77777777" w:rsidR="00D54EF2" w:rsidRPr="001B4A27" w:rsidRDefault="00D54EF2" w:rsidP="006D3238">
            <w:pPr>
              <w:pStyle w:val="SingleTxtG"/>
              <w:keepNext/>
              <w:kinsoku/>
              <w:overflowPunct/>
              <w:autoSpaceDE/>
              <w:autoSpaceDN/>
              <w:adjustRightInd/>
              <w:snapToGrid/>
              <w:spacing w:before="60" w:after="60" w:line="220" w:lineRule="atLeast"/>
              <w:ind w:left="28" w:right="28"/>
              <w:jc w:val="center"/>
              <w:rPr>
                <w:lang w:val="fr-FR"/>
              </w:rPr>
            </w:pPr>
            <w:r w:rsidRPr="001B4A27">
              <w:rPr>
                <w:lang w:val="fr-FR"/>
              </w:rPr>
              <w:lastRenderedPageBreak/>
              <w:t>2059</w:t>
            </w:r>
          </w:p>
        </w:tc>
        <w:tc>
          <w:tcPr>
            <w:tcW w:w="3991" w:type="dxa"/>
          </w:tcPr>
          <w:p w14:paraId="1EED617C" w14:textId="35B51E6B" w:rsidR="00D54EF2" w:rsidRPr="001B4A27" w:rsidRDefault="00D54EF2" w:rsidP="006D3238">
            <w:pPr>
              <w:keepNext/>
              <w:suppressAutoHyphens w:val="0"/>
              <w:kinsoku/>
              <w:overflowPunct/>
              <w:snapToGrid/>
              <w:spacing w:before="60" w:after="60" w:line="220" w:lineRule="atLeast"/>
              <w:ind w:left="28" w:right="28"/>
              <w:rPr>
                <w:rFonts w:ascii="TimesNewRoman" w:hAnsi="TimesNewRoman" w:cs="TimesNewRoman"/>
                <w:lang w:val="fr-FR"/>
              </w:rPr>
            </w:pPr>
            <w:r w:rsidRPr="001B4A27">
              <w:rPr>
                <w:lang w:val="fr-FR"/>
              </w:rPr>
              <w:t>NITROCELLULOSE EN SOLUTION INFLAMMABLE contenant au plus 12,6 % (rapportée à la masse sèche) d</w:t>
            </w:r>
            <w:r>
              <w:rPr>
                <w:lang w:val="fr-FR"/>
              </w:rPr>
              <w:t>’</w:t>
            </w:r>
            <w:r w:rsidRPr="001B4A27">
              <w:rPr>
                <w:lang w:val="fr-FR"/>
              </w:rPr>
              <w:t xml:space="preserve">azote et 55 % </w:t>
            </w:r>
            <w:r w:rsidR="005F02A7">
              <w:rPr>
                <w:lang w:val="fr-FR"/>
              </w:rPr>
              <w:br/>
            </w:r>
            <w:r w:rsidRPr="001B4A27">
              <w:rPr>
                <w:lang w:val="fr-FR"/>
              </w:rPr>
              <w:t>de nitrocellulose</w:t>
            </w:r>
          </w:p>
        </w:tc>
        <w:tc>
          <w:tcPr>
            <w:tcW w:w="1053" w:type="dxa"/>
          </w:tcPr>
          <w:p w14:paraId="13C1963C" w14:textId="77777777" w:rsidR="00D54EF2" w:rsidRPr="001B4A27" w:rsidRDefault="00D54EF2" w:rsidP="006D3238">
            <w:pPr>
              <w:pStyle w:val="SingleTxtG"/>
              <w:keepNext/>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04AD3A84" w14:textId="77777777" w:rsidR="00D54EF2" w:rsidRPr="001B4A27" w:rsidRDefault="00D54EF2" w:rsidP="006D3238">
            <w:pPr>
              <w:pStyle w:val="SingleTxtG"/>
              <w:keepNext/>
              <w:kinsoku/>
              <w:overflowPunct/>
              <w:autoSpaceDE/>
              <w:autoSpaceDN/>
              <w:adjustRightInd/>
              <w:snapToGrid/>
              <w:spacing w:before="60" w:after="60" w:line="220" w:lineRule="atLeast"/>
              <w:ind w:left="28" w:right="28"/>
              <w:jc w:val="center"/>
              <w:rPr>
                <w:lang w:val="fr-FR"/>
              </w:rPr>
            </w:pPr>
            <w:r w:rsidRPr="001B4A27">
              <w:rPr>
                <w:lang w:val="fr-FR"/>
              </w:rPr>
              <w:t>III</w:t>
            </w:r>
          </w:p>
        </w:tc>
        <w:tc>
          <w:tcPr>
            <w:tcW w:w="1384" w:type="dxa"/>
          </w:tcPr>
          <w:p w14:paraId="04AA8EB5" w14:textId="675A6430" w:rsidR="00D54EF2" w:rsidRPr="001B4A27" w:rsidRDefault="00D54EF2" w:rsidP="006D3238">
            <w:pPr>
              <w:pStyle w:val="SingleTxtG"/>
              <w:keepNext/>
              <w:kinsoku/>
              <w:overflowPunct/>
              <w:autoSpaceDE/>
              <w:autoSpaceDN/>
              <w:adjustRightInd/>
              <w:snapToGrid/>
              <w:spacing w:before="60" w:after="60" w:line="220" w:lineRule="atLeast"/>
              <w:ind w:left="28" w:right="28"/>
              <w:jc w:val="center"/>
              <w:rPr>
                <w:lang w:val="fr-FR"/>
              </w:rPr>
            </w:pPr>
            <w:r w:rsidRPr="001B4A27">
              <w:rPr>
                <w:lang w:val="fr-FR"/>
              </w:rPr>
              <w:t>198</w:t>
            </w:r>
          </w:p>
          <w:p w14:paraId="1E316470" w14:textId="77777777" w:rsidR="00D54EF2" w:rsidRPr="001B4A27" w:rsidRDefault="00D54EF2" w:rsidP="006D3238">
            <w:pPr>
              <w:pStyle w:val="SingleTxtG"/>
              <w:keepNext/>
              <w:kinsoku/>
              <w:overflowPunct/>
              <w:autoSpaceDE/>
              <w:autoSpaceDN/>
              <w:adjustRightInd/>
              <w:snapToGrid/>
              <w:spacing w:before="60" w:after="60" w:line="220" w:lineRule="atLeast"/>
              <w:ind w:left="28" w:right="28"/>
              <w:jc w:val="center"/>
              <w:rPr>
                <w:lang w:val="fr-FR"/>
              </w:rPr>
            </w:pPr>
            <w:r w:rsidRPr="001B4A27">
              <w:rPr>
                <w:lang w:val="fr-FR"/>
              </w:rPr>
              <w:t>223</w:t>
            </w:r>
          </w:p>
        </w:tc>
      </w:tr>
      <w:tr w:rsidR="00D54EF2" w:rsidRPr="001B4A27" w14:paraId="600BC92B" w14:textId="77777777" w:rsidTr="006D3238">
        <w:tc>
          <w:tcPr>
            <w:tcW w:w="690" w:type="dxa"/>
          </w:tcPr>
          <w:p w14:paraId="1DBB4233"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3064</w:t>
            </w:r>
          </w:p>
        </w:tc>
        <w:tc>
          <w:tcPr>
            <w:tcW w:w="3991" w:type="dxa"/>
          </w:tcPr>
          <w:p w14:paraId="33E754C7" w14:textId="77777777"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NITROGLYCÉRINE EN SOLUTION ALCOOLIQUE avec plus de 1 % mais pas plus de 5 % de nitroglycérine</w:t>
            </w:r>
          </w:p>
        </w:tc>
        <w:tc>
          <w:tcPr>
            <w:tcW w:w="1053" w:type="dxa"/>
          </w:tcPr>
          <w:p w14:paraId="4CAC1D40"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01EAFA9E"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84" w:type="dxa"/>
          </w:tcPr>
          <w:p w14:paraId="2E9D3520"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359</w:t>
            </w:r>
          </w:p>
        </w:tc>
      </w:tr>
      <w:tr w:rsidR="00D54EF2" w:rsidRPr="001B4A27" w14:paraId="364381B5" w14:textId="77777777" w:rsidTr="006D3238">
        <w:tc>
          <w:tcPr>
            <w:tcW w:w="690" w:type="dxa"/>
          </w:tcPr>
          <w:p w14:paraId="3F315E79"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3343</w:t>
            </w:r>
          </w:p>
        </w:tc>
        <w:tc>
          <w:tcPr>
            <w:tcW w:w="3991" w:type="dxa"/>
          </w:tcPr>
          <w:p w14:paraId="3F6D3114" w14:textId="129450AB" w:rsidR="00D54EF2" w:rsidRPr="006D3238" w:rsidRDefault="00D54EF2" w:rsidP="006D3238">
            <w:pPr>
              <w:suppressAutoHyphens w:val="0"/>
              <w:kinsoku/>
              <w:overflowPunct/>
              <w:snapToGrid/>
              <w:spacing w:before="60" w:after="60" w:line="220" w:lineRule="atLeast"/>
              <w:ind w:left="28" w:right="28"/>
              <w:rPr>
                <w:rFonts w:ascii="TimesNewRoman" w:hAnsi="TimesNewRoman" w:cs="TimesNewRoman"/>
                <w:lang w:val="fr-FR"/>
              </w:rPr>
            </w:pPr>
            <w:r w:rsidRPr="001B4A27">
              <w:rPr>
                <w:lang w:val="fr-FR"/>
              </w:rPr>
              <w:t>NITROGLYCÉRINE EN MÉLANGE, DÉSENSIBILISÉE, LIQUIDE, INFLAMMABLE,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r w:rsidRPr="001B4A27">
              <w:rPr>
                <w:lang w:val="fr-FR"/>
              </w:rPr>
              <w:t xml:space="preserve"> avec au plus 30 % (masse) de nitroglycérine</w:t>
            </w:r>
          </w:p>
        </w:tc>
        <w:tc>
          <w:tcPr>
            <w:tcW w:w="1053" w:type="dxa"/>
          </w:tcPr>
          <w:p w14:paraId="5B0093D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4033CB09"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p>
        </w:tc>
        <w:tc>
          <w:tcPr>
            <w:tcW w:w="1384" w:type="dxa"/>
          </w:tcPr>
          <w:p w14:paraId="1E00F9C1" w14:textId="65AE5240"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p w14:paraId="267A20A8"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278</w:t>
            </w:r>
          </w:p>
        </w:tc>
      </w:tr>
      <w:tr w:rsidR="00D54EF2" w:rsidRPr="001B4A27" w14:paraId="661CB057" w14:textId="77777777" w:rsidTr="006D3238">
        <w:tc>
          <w:tcPr>
            <w:tcW w:w="690" w:type="dxa"/>
          </w:tcPr>
          <w:p w14:paraId="56D3CAD4"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3357</w:t>
            </w:r>
          </w:p>
        </w:tc>
        <w:tc>
          <w:tcPr>
            <w:tcW w:w="3991" w:type="dxa"/>
          </w:tcPr>
          <w:p w14:paraId="16190B33" w14:textId="14686528"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NITROGLYCÉRINE EN MÉLANGE, DÉSENSIBILISÉE, LIQUIDE,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r w:rsidRPr="001B4A27">
              <w:rPr>
                <w:lang w:val="fr-FR"/>
              </w:rPr>
              <w:t xml:space="preserve">, </w:t>
            </w:r>
            <w:r w:rsidR="005F02A7">
              <w:rPr>
                <w:lang w:val="fr-FR"/>
              </w:rPr>
              <w:br/>
            </w:r>
            <w:r w:rsidRPr="001B4A27">
              <w:rPr>
                <w:lang w:val="fr-FR"/>
              </w:rPr>
              <w:t>avec au plus 30 % (masse) de nitroglycérine</w:t>
            </w:r>
          </w:p>
        </w:tc>
        <w:tc>
          <w:tcPr>
            <w:tcW w:w="1053" w:type="dxa"/>
          </w:tcPr>
          <w:p w14:paraId="59CF516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0171FCBD"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84" w:type="dxa"/>
          </w:tcPr>
          <w:p w14:paraId="0CF993DD" w14:textId="4368FCA1"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p w14:paraId="5DAA3769"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288</w:t>
            </w:r>
          </w:p>
        </w:tc>
      </w:tr>
      <w:tr w:rsidR="00D54EF2" w:rsidRPr="001B4A27" w14:paraId="2688CDE5" w14:textId="77777777" w:rsidTr="006D3238">
        <w:tc>
          <w:tcPr>
            <w:tcW w:w="690" w:type="dxa"/>
          </w:tcPr>
          <w:p w14:paraId="75A5DF0E"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3379</w:t>
            </w:r>
          </w:p>
        </w:tc>
        <w:tc>
          <w:tcPr>
            <w:tcW w:w="3991" w:type="dxa"/>
          </w:tcPr>
          <w:p w14:paraId="776B1A0A" w14:textId="795229CA"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LIQUIDE EXPLOSIBLE DÉSENSIBILISÉ,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p>
        </w:tc>
        <w:tc>
          <w:tcPr>
            <w:tcW w:w="1053" w:type="dxa"/>
          </w:tcPr>
          <w:p w14:paraId="62D2D88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w:t>
            </w:r>
          </w:p>
        </w:tc>
        <w:tc>
          <w:tcPr>
            <w:tcW w:w="1386" w:type="dxa"/>
          </w:tcPr>
          <w:p w14:paraId="4DC8DC33"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w:t>
            </w:r>
          </w:p>
        </w:tc>
        <w:tc>
          <w:tcPr>
            <w:tcW w:w="1384" w:type="dxa"/>
          </w:tcPr>
          <w:p w14:paraId="2DB47CBA" w14:textId="2DB07612"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p w14:paraId="0021AA24"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311</w:t>
            </w:r>
          </w:p>
        </w:tc>
      </w:tr>
    </w:tbl>
    <w:p w14:paraId="2A19233B" w14:textId="23413B76" w:rsidR="00D54EF2" w:rsidRPr="001B4A27" w:rsidRDefault="00D54EF2" w:rsidP="006D3238">
      <w:pPr>
        <w:pStyle w:val="SingleTxtG"/>
        <w:spacing w:before="240"/>
        <w:rPr>
          <w:lang w:val="fr-FR"/>
        </w:rPr>
      </w:pPr>
      <w:r w:rsidRPr="001B4A27">
        <w:rPr>
          <w:lang w:val="fr-FR"/>
        </w:rPr>
        <w:t>3</w:t>
      </w:r>
      <w:r w:rsidR="002A1C80" w:rsidRPr="002A1C80">
        <w:rPr>
          <w:lang w:val="fr-FR"/>
        </w:rPr>
        <w:t>.</w:t>
      </w:r>
      <w:r w:rsidRPr="001B4A27">
        <w:rPr>
          <w:lang w:val="fr-FR"/>
        </w:rPr>
        <w:tab/>
        <w:t xml:space="preserve">La disposition spéciale 28 est affectée aux matières explosibles désensibilisées solides suivantes : </w:t>
      </w:r>
      <w:r>
        <w:rPr>
          <w:lang w:val="fr-FR"/>
        </w:rPr>
        <w:t xml:space="preserve">Nos </w:t>
      </w:r>
      <w:r w:rsidRPr="001B4A27">
        <w:rPr>
          <w:lang w:val="fr-FR"/>
        </w:rPr>
        <w:t>ONU 1310, 1320, 1321, 1322, 1336, 1337, 1344, 1347, 1348, 1349, 1354, 1355, 1356, 1357, 1517, 1571, 2852, 3317, 3364, 3365, 3366, 3367, 3368, 3369, 3370 et 3376</w:t>
      </w:r>
      <w:r w:rsidR="002A1C80" w:rsidRPr="002A1C80">
        <w:rPr>
          <w:lang w:val="fr-FR"/>
        </w:rPr>
        <w:t>.</w:t>
      </w:r>
      <w:r w:rsidRPr="001B4A27">
        <w:rPr>
          <w:lang w:val="fr-FR"/>
        </w:rPr>
        <w:t xml:space="preserve"> Cependant, cette disposition spéciale n</w:t>
      </w:r>
      <w:r>
        <w:rPr>
          <w:lang w:val="fr-FR"/>
        </w:rPr>
        <w:t>’</w:t>
      </w:r>
      <w:r w:rsidRPr="001B4A27">
        <w:rPr>
          <w:lang w:val="fr-FR"/>
        </w:rPr>
        <w:t xml:space="preserve">est pas affectée aux </w:t>
      </w:r>
      <w:r>
        <w:rPr>
          <w:lang w:val="fr-FR"/>
        </w:rPr>
        <w:t xml:space="preserve">Nos </w:t>
      </w:r>
      <w:r w:rsidRPr="001B4A27">
        <w:rPr>
          <w:lang w:val="fr-FR"/>
        </w:rPr>
        <w:t>ONU 2555, 2556, 2557, 2907, 3319, 3344, 3380 et 3474</w:t>
      </w:r>
      <w:r w:rsidR="002A1C80" w:rsidRPr="002A1C80">
        <w:rPr>
          <w:lang w:val="fr-FR"/>
        </w:rPr>
        <w:t>.</w:t>
      </w:r>
      <w:r w:rsidRPr="001B4A27">
        <w:rPr>
          <w:lang w:val="fr-FR"/>
        </w:rPr>
        <w:t xml:space="preserve"> </w:t>
      </w:r>
    </w:p>
    <w:tbl>
      <w:tblPr>
        <w:tblStyle w:val="TableGrid"/>
        <w:tblW w:w="8504" w:type="dxa"/>
        <w:tblInd w:w="1134" w:type="dxa"/>
        <w:tblLayout w:type="fixed"/>
        <w:tblLook w:val="04A0" w:firstRow="1" w:lastRow="0" w:firstColumn="1" w:lastColumn="0" w:noHBand="0" w:noVBand="1"/>
      </w:tblPr>
      <w:tblGrid>
        <w:gridCol w:w="674"/>
        <w:gridCol w:w="4010"/>
        <w:gridCol w:w="1050"/>
        <w:gridCol w:w="1408"/>
        <w:gridCol w:w="1362"/>
      </w:tblGrid>
      <w:tr w:rsidR="00D54EF2" w:rsidRPr="006D3238" w14:paraId="0A1E718E" w14:textId="77777777" w:rsidTr="006D3238">
        <w:tc>
          <w:tcPr>
            <w:tcW w:w="674" w:type="dxa"/>
          </w:tcPr>
          <w:p w14:paraId="21696547" w14:textId="77777777" w:rsidR="00D54EF2" w:rsidRPr="006D3238" w:rsidRDefault="00D54EF2" w:rsidP="006D3238">
            <w:pPr>
              <w:pStyle w:val="SingleTxtG"/>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No ONU</w:t>
            </w:r>
          </w:p>
        </w:tc>
        <w:tc>
          <w:tcPr>
            <w:tcW w:w="4010" w:type="dxa"/>
          </w:tcPr>
          <w:p w14:paraId="635F1C46" w14:textId="77777777" w:rsidR="00D54EF2" w:rsidRPr="006D3238" w:rsidRDefault="00D54EF2" w:rsidP="006D3238">
            <w:pPr>
              <w:pStyle w:val="SingleTxtG"/>
              <w:kinsoku/>
              <w:overflowPunct/>
              <w:autoSpaceDE/>
              <w:autoSpaceDN/>
              <w:adjustRightInd/>
              <w:snapToGrid/>
              <w:spacing w:before="60" w:after="60" w:line="220" w:lineRule="atLeast"/>
              <w:ind w:left="28" w:right="28" w:hanging="2"/>
              <w:jc w:val="center"/>
              <w:rPr>
                <w:b/>
                <w:bCs/>
                <w:sz w:val="18"/>
                <w:szCs w:val="18"/>
                <w:lang w:val="fr-FR"/>
              </w:rPr>
            </w:pPr>
            <w:r w:rsidRPr="006D3238">
              <w:rPr>
                <w:b/>
                <w:bCs/>
                <w:sz w:val="18"/>
                <w:szCs w:val="18"/>
                <w:lang w:val="fr-FR"/>
              </w:rPr>
              <w:t>Nom et description</w:t>
            </w:r>
          </w:p>
        </w:tc>
        <w:tc>
          <w:tcPr>
            <w:tcW w:w="1050" w:type="dxa"/>
          </w:tcPr>
          <w:p w14:paraId="52CC8E35" w14:textId="77777777" w:rsidR="00D54EF2" w:rsidRPr="006D3238" w:rsidRDefault="00D54EF2" w:rsidP="006D3238">
            <w:pPr>
              <w:pStyle w:val="SingleTxtG"/>
              <w:tabs>
                <w:tab w:val="left" w:pos="0"/>
              </w:tabs>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Classe ou division</w:t>
            </w:r>
          </w:p>
        </w:tc>
        <w:tc>
          <w:tcPr>
            <w:tcW w:w="1408" w:type="dxa"/>
          </w:tcPr>
          <w:p w14:paraId="0C786CDC" w14:textId="77777777" w:rsidR="00D54EF2" w:rsidRPr="006D3238" w:rsidRDefault="00D54EF2" w:rsidP="006D3238">
            <w:pPr>
              <w:pStyle w:val="SingleTxtG"/>
              <w:kinsoku/>
              <w:overflowPunct/>
              <w:autoSpaceDE/>
              <w:autoSpaceDN/>
              <w:adjustRightInd/>
              <w:snapToGrid/>
              <w:spacing w:before="60" w:after="60" w:line="220" w:lineRule="atLeast"/>
              <w:ind w:left="28" w:right="28"/>
              <w:jc w:val="center"/>
              <w:rPr>
                <w:b/>
                <w:bCs/>
                <w:sz w:val="18"/>
                <w:szCs w:val="18"/>
                <w:lang w:val="fr-FR"/>
              </w:rPr>
            </w:pPr>
            <w:r w:rsidRPr="006D3238">
              <w:rPr>
                <w:b/>
                <w:bCs/>
                <w:sz w:val="18"/>
                <w:szCs w:val="18"/>
                <w:lang w:val="fr-FR"/>
              </w:rPr>
              <w:t>Groupe d’emballage</w:t>
            </w:r>
          </w:p>
        </w:tc>
        <w:tc>
          <w:tcPr>
            <w:tcW w:w="1362" w:type="dxa"/>
          </w:tcPr>
          <w:p w14:paraId="02F4F317" w14:textId="77777777" w:rsidR="00D54EF2" w:rsidRPr="006D3238" w:rsidRDefault="00D54EF2" w:rsidP="006D3238">
            <w:pPr>
              <w:pStyle w:val="SingleTxtG"/>
              <w:kinsoku/>
              <w:overflowPunct/>
              <w:autoSpaceDE/>
              <w:autoSpaceDN/>
              <w:adjustRightInd/>
              <w:snapToGrid/>
              <w:spacing w:before="60" w:after="60" w:line="220" w:lineRule="atLeast"/>
              <w:ind w:left="28" w:right="28" w:hanging="3"/>
              <w:jc w:val="center"/>
              <w:rPr>
                <w:b/>
                <w:bCs/>
                <w:sz w:val="18"/>
                <w:szCs w:val="18"/>
                <w:lang w:val="fr-FR"/>
              </w:rPr>
            </w:pPr>
            <w:r w:rsidRPr="006D3238">
              <w:rPr>
                <w:b/>
                <w:bCs/>
                <w:sz w:val="18"/>
                <w:szCs w:val="18"/>
                <w:lang w:val="fr-FR"/>
              </w:rPr>
              <w:t>Dispositions spéciales</w:t>
            </w:r>
          </w:p>
        </w:tc>
      </w:tr>
      <w:tr w:rsidR="00D54EF2" w:rsidRPr="001B4A27" w14:paraId="19798743" w14:textId="77777777" w:rsidTr="006D3238">
        <w:tc>
          <w:tcPr>
            <w:tcW w:w="674" w:type="dxa"/>
          </w:tcPr>
          <w:p w14:paraId="4CF710E8"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2555</w:t>
            </w:r>
          </w:p>
        </w:tc>
        <w:tc>
          <w:tcPr>
            <w:tcW w:w="4010" w:type="dxa"/>
          </w:tcPr>
          <w:p w14:paraId="50949CD2" w14:textId="6DED4236" w:rsidR="00D54EF2" w:rsidRPr="006D3238" w:rsidRDefault="00D54EF2" w:rsidP="006D3238">
            <w:pPr>
              <w:suppressAutoHyphens w:val="0"/>
              <w:kinsoku/>
              <w:overflowPunct/>
              <w:snapToGrid/>
              <w:spacing w:before="60" w:after="60" w:line="220" w:lineRule="atLeast"/>
              <w:ind w:left="28" w:right="28"/>
              <w:rPr>
                <w:rFonts w:ascii="TimesNewRoman" w:hAnsi="TimesNewRoman" w:cs="TimesNewRoman"/>
                <w:lang w:val="fr-FR"/>
              </w:rPr>
            </w:pPr>
            <w:r w:rsidRPr="001B4A27">
              <w:rPr>
                <w:lang w:val="fr-FR"/>
              </w:rPr>
              <w:t>NITROCELLULOSE AVEC au moins 25 % (masse) d</w:t>
            </w:r>
            <w:r>
              <w:rPr>
                <w:lang w:val="fr-FR"/>
              </w:rPr>
              <w:t>’</w:t>
            </w:r>
            <w:r w:rsidRPr="001B4A27">
              <w:rPr>
                <w:lang w:val="fr-FR"/>
              </w:rPr>
              <w:t>EAU</w:t>
            </w:r>
          </w:p>
        </w:tc>
        <w:tc>
          <w:tcPr>
            <w:tcW w:w="1050" w:type="dxa"/>
          </w:tcPr>
          <w:p w14:paraId="7050F715" w14:textId="54CBFF40"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6D23D5D0"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12CE9011"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394</w:t>
            </w:r>
          </w:p>
        </w:tc>
      </w:tr>
      <w:tr w:rsidR="00D54EF2" w:rsidRPr="001B4A27" w14:paraId="4A18AE41" w14:textId="77777777" w:rsidTr="006D3238">
        <w:tc>
          <w:tcPr>
            <w:tcW w:w="674" w:type="dxa"/>
          </w:tcPr>
          <w:p w14:paraId="6646D9D3"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2556</w:t>
            </w:r>
          </w:p>
        </w:tc>
        <w:tc>
          <w:tcPr>
            <w:tcW w:w="4010" w:type="dxa"/>
          </w:tcPr>
          <w:p w14:paraId="471F4E3E" w14:textId="009E560A"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NITROCELLULOSE AVEC au moins 25 % (masse) d</w:t>
            </w:r>
            <w:r>
              <w:rPr>
                <w:lang w:val="fr-FR"/>
              </w:rPr>
              <w:t>’</w:t>
            </w:r>
            <w:r w:rsidRPr="001B4A27">
              <w:rPr>
                <w:lang w:val="fr-FR"/>
              </w:rPr>
              <w:t xml:space="preserve">ALCOOL, et une teneur en azote </w:t>
            </w:r>
            <w:r w:rsidR="005F02A7">
              <w:rPr>
                <w:lang w:val="fr-FR"/>
              </w:rPr>
              <w:br/>
            </w:r>
            <w:r w:rsidRPr="001B4A27">
              <w:rPr>
                <w:lang w:val="fr-FR"/>
              </w:rPr>
              <w:t>ne dépassant pas 12,6 % (rapportée à la masse sèche)</w:t>
            </w:r>
          </w:p>
        </w:tc>
        <w:tc>
          <w:tcPr>
            <w:tcW w:w="1050" w:type="dxa"/>
          </w:tcPr>
          <w:p w14:paraId="17096B28" w14:textId="38995A73"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5F608DB5"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16295117"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394</w:t>
            </w:r>
          </w:p>
        </w:tc>
      </w:tr>
      <w:tr w:rsidR="00D54EF2" w:rsidRPr="001B4A27" w14:paraId="5B2D2DBC" w14:textId="77777777" w:rsidTr="006D3238">
        <w:tc>
          <w:tcPr>
            <w:tcW w:w="674" w:type="dxa"/>
          </w:tcPr>
          <w:p w14:paraId="2FE1D7B8"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2557</w:t>
            </w:r>
          </w:p>
        </w:tc>
        <w:tc>
          <w:tcPr>
            <w:tcW w:w="4010" w:type="dxa"/>
          </w:tcPr>
          <w:p w14:paraId="061D7B19" w14:textId="77777777"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NITROCELLULOSE EN MÉLANGE, d</w:t>
            </w:r>
            <w:r>
              <w:rPr>
                <w:lang w:val="fr-FR"/>
              </w:rPr>
              <w:t>’</w:t>
            </w:r>
            <w:r w:rsidRPr="001B4A27">
              <w:rPr>
                <w:lang w:val="fr-FR"/>
              </w:rPr>
              <w:t>une teneur en azote ne dépassant pas 12,6 % (rapportée à la masse sèche) AVEC ou SANS PLASTIFIANT, AVEC ou SANS PIGMENT</w:t>
            </w:r>
          </w:p>
        </w:tc>
        <w:tc>
          <w:tcPr>
            <w:tcW w:w="1050" w:type="dxa"/>
          </w:tcPr>
          <w:p w14:paraId="34082BF9" w14:textId="385D7D5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388BCAA5"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65E9F7F4" w14:textId="6B96468D"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241</w:t>
            </w:r>
          </w:p>
          <w:p w14:paraId="5BDA2794"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394</w:t>
            </w:r>
          </w:p>
        </w:tc>
      </w:tr>
      <w:tr w:rsidR="00D54EF2" w:rsidRPr="001B4A27" w14:paraId="58C8411E" w14:textId="77777777" w:rsidTr="006D3238">
        <w:tc>
          <w:tcPr>
            <w:tcW w:w="674" w:type="dxa"/>
          </w:tcPr>
          <w:p w14:paraId="6F405E6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2907</w:t>
            </w:r>
          </w:p>
        </w:tc>
        <w:tc>
          <w:tcPr>
            <w:tcW w:w="4010" w:type="dxa"/>
          </w:tcPr>
          <w:p w14:paraId="10F8F373" w14:textId="5DC87CB2" w:rsidR="00D54EF2" w:rsidRPr="001B4A27" w:rsidRDefault="00D54EF2" w:rsidP="003F40D4">
            <w:pPr>
              <w:suppressAutoHyphens w:val="0"/>
              <w:kinsoku/>
              <w:overflowPunct/>
              <w:snapToGrid/>
              <w:spacing w:before="60" w:after="60" w:line="220" w:lineRule="atLeast"/>
              <w:ind w:left="28" w:right="28"/>
              <w:rPr>
                <w:lang w:val="fr-FR"/>
              </w:rPr>
            </w:pPr>
            <w:r w:rsidRPr="001B4A27">
              <w:rPr>
                <w:lang w:val="fr-FR"/>
              </w:rPr>
              <w:t>DINITRATE D</w:t>
            </w:r>
            <w:r>
              <w:rPr>
                <w:lang w:val="fr-FR"/>
              </w:rPr>
              <w:t>’</w:t>
            </w:r>
            <w:r w:rsidRPr="001B4A27">
              <w:rPr>
                <w:lang w:val="fr-FR"/>
              </w:rPr>
              <w:t>ISOSORBIDE EN MÉLANGE avec au moins 60 %</w:t>
            </w:r>
            <w:r w:rsidR="003F40D4">
              <w:rPr>
                <w:lang w:val="fr-FR"/>
              </w:rPr>
              <w:t xml:space="preserve"> </w:t>
            </w:r>
            <w:r w:rsidRPr="001B4A27">
              <w:rPr>
                <w:lang w:val="fr-FR"/>
              </w:rPr>
              <w:t>de lactose, de mannose, d</w:t>
            </w:r>
            <w:r>
              <w:rPr>
                <w:lang w:val="fr-FR"/>
              </w:rPr>
              <w:t>’</w:t>
            </w:r>
            <w:r w:rsidRPr="001B4A27">
              <w:rPr>
                <w:lang w:val="fr-FR"/>
              </w:rPr>
              <w:t>amidon ou d</w:t>
            </w:r>
            <w:r>
              <w:rPr>
                <w:lang w:val="fr-FR"/>
              </w:rPr>
              <w:t>’</w:t>
            </w:r>
            <w:proofErr w:type="spellStart"/>
            <w:r w:rsidRPr="001B4A27">
              <w:rPr>
                <w:lang w:val="fr-FR"/>
              </w:rPr>
              <w:t>hydrogénophosphate</w:t>
            </w:r>
            <w:proofErr w:type="spellEnd"/>
            <w:r w:rsidRPr="001B4A27">
              <w:rPr>
                <w:lang w:val="fr-FR"/>
              </w:rPr>
              <w:t xml:space="preserve"> de calcium</w:t>
            </w:r>
          </w:p>
        </w:tc>
        <w:tc>
          <w:tcPr>
            <w:tcW w:w="1050" w:type="dxa"/>
          </w:tcPr>
          <w:p w14:paraId="39A04D42" w14:textId="54E1C358"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55C0A595"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5A9D1F57"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127</w:t>
            </w:r>
          </w:p>
        </w:tc>
      </w:tr>
      <w:tr w:rsidR="00D54EF2" w:rsidRPr="001B4A27" w14:paraId="4304FB62" w14:textId="77777777" w:rsidTr="006D3238">
        <w:tc>
          <w:tcPr>
            <w:tcW w:w="674" w:type="dxa"/>
          </w:tcPr>
          <w:p w14:paraId="1577070C"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3319</w:t>
            </w:r>
          </w:p>
        </w:tc>
        <w:tc>
          <w:tcPr>
            <w:tcW w:w="4010" w:type="dxa"/>
          </w:tcPr>
          <w:p w14:paraId="12562776" w14:textId="44FCE751"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NITROGLYCÉRINE EN MÉLANGE, DÉSENSIBILISÉE, SOLIDE,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r w:rsidRPr="001B4A27">
              <w:rPr>
                <w:lang w:val="fr-FR"/>
              </w:rPr>
              <w:t xml:space="preserve">, avec </w:t>
            </w:r>
            <w:r w:rsidR="005F02A7">
              <w:rPr>
                <w:lang w:val="fr-FR"/>
              </w:rPr>
              <w:br/>
            </w:r>
            <w:r w:rsidRPr="001B4A27">
              <w:rPr>
                <w:lang w:val="fr-FR"/>
              </w:rPr>
              <w:t xml:space="preserve">plus de 2 % mais au plus 10 % (masse) </w:t>
            </w:r>
            <w:r w:rsidR="005F02A7">
              <w:rPr>
                <w:lang w:val="fr-FR"/>
              </w:rPr>
              <w:br/>
            </w:r>
            <w:r w:rsidRPr="001B4A27">
              <w:rPr>
                <w:lang w:val="fr-FR"/>
              </w:rPr>
              <w:t>de nitroglycérine</w:t>
            </w:r>
          </w:p>
        </w:tc>
        <w:tc>
          <w:tcPr>
            <w:tcW w:w="1050" w:type="dxa"/>
          </w:tcPr>
          <w:p w14:paraId="0E349404" w14:textId="63484533"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121F0F2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4C944F3C" w14:textId="7F1D7F3D"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272</w:t>
            </w:r>
          </w:p>
          <w:p w14:paraId="70B0A05D"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tc>
      </w:tr>
      <w:tr w:rsidR="00D54EF2" w:rsidRPr="001B4A27" w14:paraId="4AF5AE40" w14:textId="77777777" w:rsidTr="006D3238">
        <w:tc>
          <w:tcPr>
            <w:tcW w:w="674" w:type="dxa"/>
          </w:tcPr>
          <w:p w14:paraId="312CB226"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3344</w:t>
            </w:r>
          </w:p>
        </w:tc>
        <w:tc>
          <w:tcPr>
            <w:tcW w:w="4010" w:type="dxa"/>
          </w:tcPr>
          <w:p w14:paraId="1ABB2397" w14:textId="1E8D3BE9"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TÉTRANITRATE DE PENTAÉRYTHRITE (TÉTRANITRATE DE PENTAÉRYTHRITOL, PENTHRITE, PETN) EN MÉLANGE, DÉSENSIBILISÉ, SOLIDE,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r w:rsidRPr="001B4A27">
              <w:rPr>
                <w:lang w:val="fr-FR"/>
              </w:rPr>
              <w:t>, avec plus de 10 % mais au plus 20 % (masse) de PETN</w:t>
            </w:r>
          </w:p>
        </w:tc>
        <w:tc>
          <w:tcPr>
            <w:tcW w:w="1050" w:type="dxa"/>
          </w:tcPr>
          <w:p w14:paraId="18510BC9" w14:textId="55F610E5"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783DCCC6"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II</w:t>
            </w:r>
          </w:p>
        </w:tc>
        <w:tc>
          <w:tcPr>
            <w:tcW w:w="1362" w:type="dxa"/>
          </w:tcPr>
          <w:p w14:paraId="75E5AEF4" w14:textId="29A73648"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272</w:t>
            </w:r>
          </w:p>
          <w:p w14:paraId="0775BD8E"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tc>
      </w:tr>
      <w:tr w:rsidR="00D54EF2" w:rsidRPr="001B4A27" w14:paraId="432AD745" w14:textId="77777777" w:rsidTr="006D3238">
        <w:tc>
          <w:tcPr>
            <w:tcW w:w="674" w:type="dxa"/>
          </w:tcPr>
          <w:p w14:paraId="4E2AB9E5"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3380</w:t>
            </w:r>
          </w:p>
        </w:tc>
        <w:tc>
          <w:tcPr>
            <w:tcW w:w="4010" w:type="dxa"/>
          </w:tcPr>
          <w:p w14:paraId="582A6E91" w14:textId="0F6FEF7F" w:rsidR="00D54EF2" w:rsidRPr="001B4A27" w:rsidRDefault="00D54EF2" w:rsidP="006D3238">
            <w:pPr>
              <w:suppressAutoHyphens w:val="0"/>
              <w:kinsoku/>
              <w:overflowPunct/>
              <w:snapToGrid/>
              <w:spacing w:before="60" w:after="60" w:line="220" w:lineRule="atLeast"/>
              <w:ind w:left="28" w:right="28"/>
              <w:rPr>
                <w:lang w:val="fr-FR"/>
              </w:rPr>
            </w:pPr>
            <w:r w:rsidRPr="001B4A27">
              <w:rPr>
                <w:lang w:val="fr-FR"/>
              </w:rPr>
              <w:t>SOLIDE EXPLOSIBLE DÉSENSIBILISÉ, N</w:t>
            </w:r>
            <w:r w:rsidR="002A1C80" w:rsidRPr="002A1C80">
              <w:rPr>
                <w:lang w:val="fr-FR"/>
              </w:rPr>
              <w:t>.</w:t>
            </w:r>
            <w:r w:rsidRPr="001B4A27">
              <w:rPr>
                <w:lang w:val="fr-FR"/>
              </w:rPr>
              <w:t>S</w:t>
            </w:r>
            <w:r w:rsidR="002A1C80" w:rsidRPr="002A1C80">
              <w:rPr>
                <w:lang w:val="fr-FR"/>
              </w:rPr>
              <w:t>.</w:t>
            </w:r>
            <w:r w:rsidRPr="001B4A27">
              <w:rPr>
                <w:lang w:val="fr-FR"/>
              </w:rPr>
              <w:t>A</w:t>
            </w:r>
            <w:r w:rsidR="002A1C80" w:rsidRPr="002A1C80">
              <w:rPr>
                <w:lang w:val="fr-FR"/>
              </w:rPr>
              <w:t>.</w:t>
            </w:r>
          </w:p>
        </w:tc>
        <w:tc>
          <w:tcPr>
            <w:tcW w:w="1050" w:type="dxa"/>
          </w:tcPr>
          <w:p w14:paraId="6EE08B7D" w14:textId="40D3D6E9"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375419F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w:t>
            </w:r>
          </w:p>
        </w:tc>
        <w:tc>
          <w:tcPr>
            <w:tcW w:w="1362" w:type="dxa"/>
          </w:tcPr>
          <w:p w14:paraId="3074232B" w14:textId="0EDA2A06"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274</w:t>
            </w:r>
          </w:p>
          <w:p w14:paraId="727602AF" w14:textId="628ACEB1"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311</w:t>
            </w:r>
          </w:p>
          <w:p w14:paraId="3451DA27"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394</w:t>
            </w:r>
          </w:p>
        </w:tc>
      </w:tr>
      <w:tr w:rsidR="00D54EF2" w:rsidRPr="001B4A27" w14:paraId="01AF2B9D" w14:textId="77777777" w:rsidTr="006D3238">
        <w:tc>
          <w:tcPr>
            <w:tcW w:w="674" w:type="dxa"/>
          </w:tcPr>
          <w:p w14:paraId="5D914862"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3474</w:t>
            </w:r>
          </w:p>
        </w:tc>
        <w:tc>
          <w:tcPr>
            <w:tcW w:w="4010" w:type="dxa"/>
          </w:tcPr>
          <w:p w14:paraId="2992BB08" w14:textId="77777777" w:rsidR="00D54EF2" w:rsidRPr="001B4A27" w:rsidRDefault="00D54EF2" w:rsidP="006D3238">
            <w:pPr>
              <w:suppressAutoHyphens w:val="0"/>
              <w:kinsoku/>
              <w:overflowPunct/>
              <w:snapToGrid/>
              <w:spacing w:before="60" w:after="60" w:line="220" w:lineRule="atLeast"/>
              <w:ind w:left="28" w:right="28"/>
              <w:rPr>
                <w:rFonts w:ascii="TimesNewRoman" w:hAnsi="TimesNewRoman" w:cs="TimesNewRoman"/>
                <w:lang w:val="fr-FR"/>
              </w:rPr>
            </w:pPr>
            <w:r w:rsidRPr="001B4A27">
              <w:rPr>
                <w:lang w:val="fr-FR"/>
              </w:rPr>
              <w:t>1-HYDROXYBENZOTRIAZOLE</w:t>
            </w:r>
          </w:p>
          <w:p w14:paraId="7D1DFD2A" w14:textId="77777777" w:rsidR="00D54EF2" w:rsidRPr="001B4A27" w:rsidRDefault="00D54EF2" w:rsidP="006D3238">
            <w:pPr>
              <w:pStyle w:val="SingleTxtG"/>
              <w:kinsoku/>
              <w:overflowPunct/>
              <w:autoSpaceDE/>
              <w:autoSpaceDN/>
              <w:adjustRightInd/>
              <w:snapToGrid/>
              <w:spacing w:before="60" w:after="60" w:line="220" w:lineRule="atLeast"/>
              <w:ind w:left="28" w:right="28"/>
              <w:rPr>
                <w:lang w:val="fr-FR"/>
              </w:rPr>
            </w:pPr>
            <w:r w:rsidRPr="001B4A27">
              <w:rPr>
                <w:lang w:val="fr-FR"/>
              </w:rPr>
              <w:t>MONOHYDRATÉ</w:t>
            </w:r>
          </w:p>
        </w:tc>
        <w:tc>
          <w:tcPr>
            <w:tcW w:w="1050" w:type="dxa"/>
          </w:tcPr>
          <w:p w14:paraId="02863D9B" w14:textId="092A51FB"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4</w:t>
            </w:r>
            <w:r w:rsidR="002A1C80" w:rsidRPr="002A1C80">
              <w:rPr>
                <w:lang w:val="fr-FR"/>
              </w:rPr>
              <w:t>.</w:t>
            </w:r>
            <w:r w:rsidRPr="001B4A27">
              <w:rPr>
                <w:lang w:val="fr-FR"/>
              </w:rPr>
              <w:t>1</w:t>
            </w:r>
          </w:p>
        </w:tc>
        <w:tc>
          <w:tcPr>
            <w:tcW w:w="1408" w:type="dxa"/>
          </w:tcPr>
          <w:p w14:paraId="72F614D5"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r w:rsidRPr="001B4A27">
              <w:rPr>
                <w:lang w:val="fr-FR"/>
              </w:rPr>
              <w:t>I</w:t>
            </w:r>
          </w:p>
        </w:tc>
        <w:tc>
          <w:tcPr>
            <w:tcW w:w="1362" w:type="dxa"/>
          </w:tcPr>
          <w:p w14:paraId="658A320E" w14:textId="77777777" w:rsidR="00D54EF2" w:rsidRPr="001B4A27" w:rsidRDefault="00D54EF2" w:rsidP="006D3238">
            <w:pPr>
              <w:pStyle w:val="SingleTxtG"/>
              <w:kinsoku/>
              <w:overflowPunct/>
              <w:autoSpaceDE/>
              <w:autoSpaceDN/>
              <w:adjustRightInd/>
              <w:snapToGrid/>
              <w:spacing w:before="60" w:after="60" w:line="220" w:lineRule="atLeast"/>
              <w:ind w:left="28" w:right="28"/>
              <w:jc w:val="center"/>
              <w:rPr>
                <w:lang w:val="fr-FR"/>
              </w:rPr>
            </w:pPr>
          </w:p>
        </w:tc>
      </w:tr>
    </w:tbl>
    <w:p w14:paraId="14694E88" w14:textId="71C6D5B4" w:rsidR="00D54EF2" w:rsidRPr="001B4A27" w:rsidRDefault="00D54EF2" w:rsidP="006D3238">
      <w:pPr>
        <w:pStyle w:val="SingleTxtG"/>
        <w:rPr>
          <w:kern w:val="2"/>
          <w:sz w:val="21"/>
          <w:lang w:val="fr-FR"/>
        </w:rPr>
      </w:pPr>
      <w:r w:rsidRPr="001B4A27">
        <w:rPr>
          <w:lang w:val="fr-FR"/>
        </w:rPr>
        <w:lastRenderedPageBreak/>
        <w:t>4</w:t>
      </w:r>
      <w:r w:rsidR="002A1C80" w:rsidRPr="002A1C80">
        <w:rPr>
          <w:lang w:val="fr-FR"/>
        </w:rPr>
        <w:t>.</w:t>
      </w:r>
      <w:r w:rsidRPr="001B4A27">
        <w:rPr>
          <w:lang w:val="fr-FR"/>
        </w:rPr>
        <w:tab/>
        <w:t>La définition des matières explosibles désensibilisées indique que ces matières, aussi bien à l</w:t>
      </w:r>
      <w:r>
        <w:rPr>
          <w:lang w:val="fr-FR"/>
        </w:rPr>
        <w:t>’</w:t>
      </w:r>
      <w:r w:rsidRPr="001B4A27">
        <w:rPr>
          <w:lang w:val="fr-FR"/>
        </w:rPr>
        <w:t>état liquide qu</w:t>
      </w:r>
      <w:r>
        <w:rPr>
          <w:lang w:val="fr-FR"/>
        </w:rPr>
        <w:t>’</w:t>
      </w:r>
      <w:r w:rsidRPr="001B4A27">
        <w:rPr>
          <w:lang w:val="fr-FR"/>
        </w:rPr>
        <w:t>à l</w:t>
      </w:r>
      <w:r>
        <w:rPr>
          <w:lang w:val="fr-FR"/>
        </w:rPr>
        <w:t>’</w:t>
      </w:r>
      <w:r w:rsidRPr="001B4A27">
        <w:rPr>
          <w:lang w:val="fr-FR"/>
        </w:rPr>
        <w:t>état solide, contiennent généralement des diluants</w:t>
      </w:r>
      <w:r w:rsidR="002A1C80" w:rsidRPr="002A1C80">
        <w:rPr>
          <w:lang w:val="fr-FR"/>
        </w:rPr>
        <w:t>.</w:t>
      </w:r>
      <w:r w:rsidRPr="001B4A27">
        <w:rPr>
          <w:lang w:val="fr-FR"/>
        </w:rPr>
        <w:t xml:space="preserve"> La concentration des diluants joue un rôle important dans le contrôle des risques associés aux matières explosibles désensibilisées</w:t>
      </w:r>
      <w:r w:rsidR="002A1C80" w:rsidRPr="002A1C80">
        <w:rPr>
          <w:lang w:val="fr-FR"/>
        </w:rPr>
        <w:t>.</w:t>
      </w:r>
      <w:r w:rsidRPr="001B4A27">
        <w:rPr>
          <w:lang w:val="fr-FR"/>
        </w:rPr>
        <w:t xml:space="preserve"> Par conséquent, la quantité de diluants doit être contrôlée et maintenue dans une plage appropriée à tout moment pendant le transport</w:t>
      </w:r>
      <w:r w:rsidR="002A1C80" w:rsidRPr="002A1C80">
        <w:rPr>
          <w:lang w:val="fr-FR"/>
        </w:rPr>
        <w:t>.</w:t>
      </w:r>
    </w:p>
    <w:p w14:paraId="26F672FA" w14:textId="6F40161A" w:rsidR="00D54EF2" w:rsidRPr="001B4A27" w:rsidRDefault="00D54EF2" w:rsidP="006D3238">
      <w:pPr>
        <w:pStyle w:val="SingleTxtG"/>
        <w:rPr>
          <w:lang w:val="fr-FR"/>
        </w:rPr>
      </w:pPr>
      <w:r w:rsidRPr="001B4A27">
        <w:rPr>
          <w:lang w:val="fr-FR"/>
        </w:rPr>
        <w:t>5</w:t>
      </w:r>
      <w:r w:rsidR="002A1C80" w:rsidRPr="002A1C80">
        <w:rPr>
          <w:lang w:val="fr-FR"/>
        </w:rPr>
        <w:t>.</w:t>
      </w:r>
      <w:r w:rsidRPr="001B4A27">
        <w:rPr>
          <w:lang w:val="fr-FR"/>
        </w:rPr>
        <w:tab/>
        <w:t>La disposition spéciale 311</w:t>
      </w:r>
      <w:r>
        <w:rPr>
          <w:lang w:val="fr-FR"/>
        </w:rPr>
        <w:t>,</w:t>
      </w:r>
      <w:r w:rsidRPr="001B4A27">
        <w:rPr>
          <w:lang w:val="fr-FR"/>
        </w:rPr>
        <w:t xml:space="preserve"> affectée aux </w:t>
      </w:r>
      <w:r>
        <w:rPr>
          <w:lang w:val="fr-FR"/>
        </w:rPr>
        <w:t>No</w:t>
      </w:r>
      <w:r w:rsidRPr="001B4A27">
        <w:rPr>
          <w:lang w:val="fr-FR"/>
        </w:rPr>
        <w:t>s ONU 3379 et 3380</w:t>
      </w:r>
      <w:r>
        <w:rPr>
          <w:lang w:val="fr-FR"/>
        </w:rPr>
        <w:t>,</w:t>
      </w:r>
      <w:r w:rsidRPr="001B4A27">
        <w:rPr>
          <w:lang w:val="fr-FR"/>
        </w:rPr>
        <w:t xml:space="preserve"> prescrit également de contrôler le pourcentage de diluant, comme l</w:t>
      </w:r>
      <w:r>
        <w:rPr>
          <w:lang w:val="fr-FR"/>
        </w:rPr>
        <w:t>e prévoit l</w:t>
      </w:r>
      <w:r w:rsidRPr="001B4A27">
        <w:rPr>
          <w:lang w:val="fr-FR"/>
        </w:rPr>
        <w:t>a disposition spéciale 28 :</w:t>
      </w:r>
    </w:p>
    <w:p w14:paraId="57A5A3CE" w14:textId="3E43D4B6" w:rsidR="00D54EF2" w:rsidRPr="001B4A27" w:rsidRDefault="00D54EF2" w:rsidP="00D54EF2">
      <w:pPr>
        <w:pStyle w:val="SingleTxtG"/>
        <w:ind w:left="2268" w:hanging="567"/>
        <w:rPr>
          <w:lang w:val="fr-FR"/>
        </w:rPr>
      </w:pPr>
      <w:r w:rsidRPr="001B4A27">
        <w:rPr>
          <w:lang w:val="fr-FR"/>
        </w:rPr>
        <w:t>311</w:t>
      </w:r>
      <w:r w:rsidRPr="001B4A27">
        <w:rPr>
          <w:lang w:val="fr-FR"/>
        </w:rPr>
        <w:tab/>
        <w:t>Les matières ne doivent pas être transportées sous cette rubrique sans que l</w:t>
      </w:r>
      <w:r>
        <w:rPr>
          <w:lang w:val="fr-FR"/>
        </w:rPr>
        <w:t>’</w:t>
      </w:r>
      <w:r w:rsidRPr="001B4A27">
        <w:rPr>
          <w:lang w:val="fr-FR"/>
        </w:rPr>
        <w:t>autorité compétente ne l</w:t>
      </w:r>
      <w:r>
        <w:rPr>
          <w:lang w:val="fr-FR"/>
        </w:rPr>
        <w:t>’</w:t>
      </w:r>
      <w:r w:rsidRPr="001B4A27">
        <w:rPr>
          <w:lang w:val="fr-FR"/>
        </w:rPr>
        <w:t>ait autorisé sur la base des résultats des épreuves effectuées conformément à la Partie I du Manuel d</w:t>
      </w:r>
      <w:r>
        <w:rPr>
          <w:lang w:val="fr-FR"/>
        </w:rPr>
        <w:t>’</w:t>
      </w:r>
      <w:r w:rsidRPr="001B4A27">
        <w:rPr>
          <w:lang w:val="fr-FR"/>
        </w:rPr>
        <w:t>épreuves et de critères</w:t>
      </w:r>
      <w:r w:rsidR="002A1C80" w:rsidRPr="002A1C80">
        <w:rPr>
          <w:lang w:val="fr-FR"/>
        </w:rPr>
        <w:t>.</w:t>
      </w:r>
      <w:r w:rsidRPr="001B4A27">
        <w:rPr>
          <w:lang w:val="fr-FR"/>
        </w:rPr>
        <w:t xml:space="preserve"> L</w:t>
      </w:r>
      <w:r>
        <w:rPr>
          <w:lang w:val="fr-FR"/>
        </w:rPr>
        <w:t>’</w:t>
      </w:r>
      <w:r w:rsidRPr="001B4A27">
        <w:rPr>
          <w:lang w:val="fr-FR"/>
        </w:rPr>
        <w:t>emballage doit assurer que le pourcentage de diluant ne tombe pas en dessous de celui pour lequel l</w:t>
      </w:r>
      <w:r>
        <w:rPr>
          <w:lang w:val="fr-FR"/>
        </w:rPr>
        <w:t>’</w:t>
      </w:r>
      <w:r w:rsidRPr="001B4A27">
        <w:rPr>
          <w:lang w:val="fr-FR"/>
        </w:rPr>
        <w:t>autorité compétente a délivré une autorisation, à aucun moment pendant le transport</w:t>
      </w:r>
      <w:r w:rsidR="002A1C80" w:rsidRPr="002A1C80">
        <w:rPr>
          <w:lang w:val="fr-FR"/>
        </w:rPr>
        <w:t>.</w:t>
      </w:r>
    </w:p>
    <w:p w14:paraId="0889FE84" w14:textId="0ADDF783" w:rsidR="00D54EF2" w:rsidRPr="001B4A27" w:rsidRDefault="00D54EF2" w:rsidP="006D3238">
      <w:pPr>
        <w:pStyle w:val="SingleTxtG"/>
        <w:rPr>
          <w:kern w:val="2"/>
          <w:sz w:val="21"/>
          <w:lang w:val="fr-FR"/>
        </w:rPr>
      </w:pPr>
      <w:r w:rsidRPr="001B4A27">
        <w:rPr>
          <w:lang w:val="fr-FR"/>
        </w:rPr>
        <w:t>6</w:t>
      </w:r>
      <w:r w:rsidR="002A1C80" w:rsidRPr="002A1C80">
        <w:rPr>
          <w:lang w:val="fr-FR"/>
        </w:rPr>
        <w:t>.</w:t>
      </w:r>
      <w:r w:rsidRPr="001B4A27">
        <w:rPr>
          <w:lang w:val="fr-FR"/>
        </w:rPr>
        <w:tab/>
        <w:t xml:space="preserve">Le </w:t>
      </w:r>
      <w:r>
        <w:rPr>
          <w:lang w:val="fr-FR"/>
        </w:rPr>
        <w:t xml:space="preserve">No </w:t>
      </w:r>
      <w:r w:rsidRPr="001B4A27">
        <w:rPr>
          <w:lang w:val="fr-FR"/>
        </w:rPr>
        <w:t>ONU 3474</w:t>
      </w:r>
      <w:r>
        <w:rPr>
          <w:lang w:val="fr-FR"/>
        </w:rPr>
        <w:t>,</w:t>
      </w:r>
      <w:r w:rsidRPr="001B4A27">
        <w:rPr>
          <w:lang w:val="fr-FR"/>
        </w:rPr>
        <w:t xml:space="preserve"> 1-HYDROXYBENZOTRIAZOLEMONOHYDRATÉ</w:t>
      </w:r>
      <w:r>
        <w:rPr>
          <w:lang w:val="fr-FR"/>
        </w:rPr>
        <w:t>,</w:t>
      </w:r>
      <w:r w:rsidRPr="001B4A27">
        <w:rPr>
          <w:lang w:val="fr-FR"/>
        </w:rPr>
        <w:t xml:space="preserve"> est un </w:t>
      </w:r>
      <w:r w:rsidRPr="004234AE">
        <w:rPr>
          <w:lang w:val="fr-FR"/>
        </w:rPr>
        <w:t>composé</w:t>
      </w:r>
      <w:r w:rsidRPr="001B4A27">
        <w:rPr>
          <w:lang w:val="fr-FR"/>
        </w:rPr>
        <w:t xml:space="preserve"> stable à la chaleur</w:t>
      </w:r>
      <w:r w:rsidR="002A1C80" w:rsidRPr="002A1C80">
        <w:rPr>
          <w:lang w:val="fr-FR"/>
        </w:rPr>
        <w:t>.</w:t>
      </w:r>
      <w:r w:rsidRPr="001B4A27">
        <w:rPr>
          <w:lang w:val="fr-FR"/>
        </w:rPr>
        <w:t xml:space="preserve"> Il est réparti de manière homogène et ne constitue pas de couche ou de phase séparée comme dans de nombreu</w:t>
      </w:r>
      <w:r>
        <w:rPr>
          <w:lang w:val="fr-FR"/>
        </w:rPr>
        <w:t>ses</w:t>
      </w:r>
      <w:r w:rsidRPr="001B4A27">
        <w:rPr>
          <w:lang w:val="fr-FR"/>
        </w:rPr>
        <w:t xml:space="preserve"> autres matières explosibles désensibilisées où les molécules organiques et l</w:t>
      </w:r>
      <w:r>
        <w:rPr>
          <w:lang w:val="fr-FR"/>
        </w:rPr>
        <w:t>’</w:t>
      </w:r>
      <w:r w:rsidRPr="001B4A27">
        <w:rPr>
          <w:lang w:val="fr-FR"/>
        </w:rPr>
        <w:t xml:space="preserve">eau forment un système hétérogène constitué de deux </w:t>
      </w:r>
      <w:proofErr w:type="spellStart"/>
      <w:r w:rsidRPr="001B4A27">
        <w:rPr>
          <w:lang w:val="fr-FR"/>
        </w:rPr>
        <w:t>microphases</w:t>
      </w:r>
      <w:proofErr w:type="spellEnd"/>
      <w:r w:rsidRPr="001B4A27">
        <w:rPr>
          <w:lang w:val="fr-FR"/>
        </w:rPr>
        <w:t xml:space="preserve"> (ST/SG/AC</w:t>
      </w:r>
      <w:r w:rsidR="002A1C80" w:rsidRPr="002A1C80">
        <w:rPr>
          <w:lang w:val="fr-FR"/>
        </w:rPr>
        <w:t>.</w:t>
      </w:r>
      <w:r w:rsidRPr="001B4A27">
        <w:rPr>
          <w:lang w:val="fr-FR"/>
        </w:rPr>
        <w:t>10/C</w:t>
      </w:r>
      <w:r w:rsidR="002A1C80" w:rsidRPr="002A1C80">
        <w:rPr>
          <w:lang w:val="fr-FR"/>
        </w:rPr>
        <w:t>.</w:t>
      </w:r>
      <w:r w:rsidRPr="001B4A27">
        <w:rPr>
          <w:lang w:val="fr-FR"/>
        </w:rPr>
        <w:t>3/2008/41)</w:t>
      </w:r>
      <w:r w:rsidR="002A1C80" w:rsidRPr="002A1C80">
        <w:rPr>
          <w:lang w:val="fr-FR"/>
        </w:rPr>
        <w:t>.</w:t>
      </w:r>
      <w:r w:rsidRPr="001B4A27">
        <w:rPr>
          <w:lang w:val="fr-FR"/>
        </w:rPr>
        <w:t xml:space="preserve"> En 2008, le Sous-Comité a examiné la modification de la désignation officielle de transport du </w:t>
      </w:r>
      <w:r>
        <w:rPr>
          <w:lang w:val="fr-FR"/>
        </w:rPr>
        <w:t>No</w:t>
      </w:r>
      <w:r w:rsidRPr="001B4A27">
        <w:rPr>
          <w:lang w:val="fr-FR"/>
        </w:rPr>
        <w:t xml:space="preserve"> ONU 3474 et est convenu de supprimer la disposition spéciale 28 (voir ST/SG/AC</w:t>
      </w:r>
      <w:r w:rsidR="002A1C80" w:rsidRPr="002A1C80">
        <w:rPr>
          <w:lang w:val="fr-FR"/>
        </w:rPr>
        <w:t>.</w:t>
      </w:r>
      <w:r w:rsidRPr="001B4A27">
        <w:rPr>
          <w:lang w:val="fr-FR"/>
        </w:rPr>
        <w:t>10/C</w:t>
      </w:r>
      <w:r w:rsidR="002A1C80" w:rsidRPr="002A1C80">
        <w:rPr>
          <w:lang w:val="fr-FR"/>
        </w:rPr>
        <w:t>.</w:t>
      </w:r>
      <w:r w:rsidRPr="001B4A27">
        <w:rPr>
          <w:lang w:val="fr-FR"/>
        </w:rPr>
        <w:t>3/66, par</w:t>
      </w:r>
      <w:r w:rsidR="002A1C80" w:rsidRPr="002A1C80">
        <w:rPr>
          <w:lang w:val="fr-FR"/>
        </w:rPr>
        <w:t>.</w:t>
      </w:r>
      <w:r w:rsidRPr="001B4A27">
        <w:rPr>
          <w:lang w:val="fr-FR"/>
        </w:rPr>
        <w:t xml:space="preserve"> 17 d))</w:t>
      </w:r>
      <w:r w:rsidR="002A1C80" w:rsidRPr="002A1C80">
        <w:rPr>
          <w:lang w:val="fr-FR"/>
        </w:rPr>
        <w:t>.</w:t>
      </w:r>
    </w:p>
    <w:p w14:paraId="30F5B7EA" w14:textId="5E720FB3" w:rsidR="00D54EF2" w:rsidRPr="001B4A27" w:rsidRDefault="00D54EF2" w:rsidP="006D3238">
      <w:pPr>
        <w:pStyle w:val="SingleTxtG"/>
        <w:rPr>
          <w:lang w:val="fr-FR"/>
        </w:rPr>
      </w:pPr>
      <w:r w:rsidRPr="001B4A27">
        <w:rPr>
          <w:lang w:val="fr-FR"/>
        </w:rPr>
        <w:t>7</w:t>
      </w:r>
      <w:r w:rsidR="002A1C80" w:rsidRPr="002A1C80">
        <w:rPr>
          <w:lang w:val="fr-FR"/>
        </w:rPr>
        <w:t>.</w:t>
      </w:r>
      <w:r w:rsidRPr="001B4A27">
        <w:rPr>
          <w:lang w:val="fr-FR"/>
        </w:rPr>
        <w:tab/>
        <w:t xml:space="preserve">Bien que les matières explosibles désensibilisées liquides soient généralement des solutions mutuellement homogènes, les cristaux peuvent précipiter lorsque la teneur en diluant diminue ou que la température change, ce qui peut </w:t>
      </w:r>
      <w:r>
        <w:rPr>
          <w:lang w:val="fr-FR"/>
        </w:rPr>
        <w:t xml:space="preserve">entraîner </w:t>
      </w:r>
      <w:r w:rsidRPr="001B4A27">
        <w:rPr>
          <w:lang w:val="fr-FR"/>
        </w:rPr>
        <w:t>des risques supplémentaires</w:t>
      </w:r>
      <w:r w:rsidR="002A1C80" w:rsidRPr="002A1C80">
        <w:rPr>
          <w:lang w:val="fr-FR"/>
        </w:rPr>
        <w:t>.</w:t>
      </w:r>
      <w:r w:rsidRPr="001B4A27">
        <w:rPr>
          <w:lang w:val="fr-FR"/>
        </w:rPr>
        <w:t xml:space="preserve"> Par conséquent, la disposition spéciale 28 devrait également être affectée aux autres matières explosibles désensibilisées liquides, pour les mêmes raisons que celles qui justifient son affectation au </w:t>
      </w:r>
      <w:r>
        <w:rPr>
          <w:lang w:val="fr-FR"/>
        </w:rPr>
        <w:t>No</w:t>
      </w:r>
      <w:r w:rsidRPr="001B4A27">
        <w:rPr>
          <w:lang w:val="fr-FR"/>
        </w:rPr>
        <w:t xml:space="preserve"> ONU 3555</w:t>
      </w:r>
      <w:r w:rsidR="002A1C80" w:rsidRPr="002A1C80">
        <w:rPr>
          <w:lang w:val="fr-FR"/>
        </w:rPr>
        <w:t>.</w:t>
      </w:r>
      <w:r w:rsidRPr="001B4A27">
        <w:rPr>
          <w:lang w:val="fr-FR"/>
        </w:rPr>
        <w:t xml:space="preserve"> Par ailleurs, la prescription énoncée dans la disposition spéciale 28 est suffisante et d</w:t>
      </w:r>
      <w:r>
        <w:rPr>
          <w:lang w:val="fr-FR"/>
        </w:rPr>
        <w:t>’</w:t>
      </w:r>
      <w:r w:rsidRPr="001B4A27">
        <w:rPr>
          <w:lang w:val="fr-FR"/>
        </w:rPr>
        <w:t xml:space="preserve">autres </w:t>
      </w:r>
      <w:r w:rsidRPr="009D60D0">
        <w:rPr>
          <w:lang w:val="fr-FR"/>
        </w:rPr>
        <w:t xml:space="preserve">épreuves </w:t>
      </w:r>
      <w:r w:rsidRPr="001B4A27">
        <w:rPr>
          <w:lang w:val="fr-FR"/>
        </w:rPr>
        <w:t>ne devraient pas être requis</w:t>
      </w:r>
      <w:r>
        <w:rPr>
          <w:lang w:val="fr-FR"/>
        </w:rPr>
        <w:t>es</w:t>
      </w:r>
      <w:r w:rsidRPr="001B4A27">
        <w:rPr>
          <w:lang w:val="fr-FR"/>
        </w:rPr>
        <w:t xml:space="preserve"> pour les matières explosibles désensibilisées liquides</w:t>
      </w:r>
      <w:r w:rsidR="002A1C80" w:rsidRPr="002A1C80">
        <w:rPr>
          <w:lang w:val="fr-FR"/>
        </w:rPr>
        <w:t>.</w:t>
      </w:r>
    </w:p>
    <w:p w14:paraId="5D9D5B0E" w14:textId="24C4421C" w:rsidR="00D54EF2" w:rsidRPr="001B4A27" w:rsidRDefault="00D54EF2" w:rsidP="00D54EF2">
      <w:pPr>
        <w:pStyle w:val="SingleTxtG"/>
        <w:rPr>
          <w:lang w:val="fr-FR"/>
        </w:rPr>
      </w:pPr>
      <w:r w:rsidRPr="001B4A27">
        <w:rPr>
          <w:lang w:val="fr-FR"/>
        </w:rPr>
        <w:t>8</w:t>
      </w:r>
      <w:r w:rsidR="002A1C80" w:rsidRPr="002A1C80">
        <w:rPr>
          <w:lang w:val="fr-FR"/>
        </w:rPr>
        <w:t>.</w:t>
      </w:r>
      <w:r w:rsidRPr="001B4A27">
        <w:rPr>
          <w:lang w:val="fr-FR"/>
        </w:rPr>
        <w:tab/>
        <w:t>Compte tenu de ce qui précède, il est recommandé d</w:t>
      </w:r>
      <w:r>
        <w:rPr>
          <w:lang w:val="fr-FR"/>
        </w:rPr>
        <w:t>’</w:t>
      </w:r>
      <w:r w:rsidRPr="001B4A27">
        <w:rPr>
          <w:lang w:val="fr-FR"/>
        </w:rPr>
        <w:t>affecter la disposition spéciale</w:t>
      </w:r>
      <w:r w:rsidR="002A1C80">
        <w:rPr>
          <w:lang w:val="fr-FR"/>
        </w:rPr>
        <w:t> </w:t>
      </w:r>
      <w:r w:rsidRPr="001B4A27">
        <w:rPr>
          <w:lang w:val="fr-FR"/>
        </w:rPr>
        <w:t xml:space="preserve">28 aux </w:t>
      </w:r>
      <w:r>
        <w:rPr>
          <w:lang w:val="fr-FR"/>
        </w:rPr>
        <w:t>No</w:t>
      </w:r>
      <w:r w:rsidRPr="001B4A27">
        <w:rPr>
          <w:lang w:val="fr-FR"/>
        </w:rPr>
        <w:t>s ONU 1204, 2059, 3064, 3343, 3357, 2555, 2556, 2557, 2907, 3319 et 3344</w:t>
      </w:r>
      <w:r w:rsidR="002A1C80" w:rsidRPr="002A1C80">
        <w:rPr>
          <w:lang w:val="fr-FR"/>
        </w:rPr>
        <w:t>.</w:t>
      </w:r>
    </w:p>
    <w:p w14:paraId="78BB1A20" w14:textId="77777777" w:rsidR="00D54EF2" w:rsidRPr="001B4A27" w:rsidRDefault="00D54EF2" w:rsidP="00D54EF2">
      <w:pPr>
        <w:pStyle w:val="HChG"/>
        <w:jc w:val="both"/>
        <w:rPr>
          <w:rFonts w:ascii="SimSun" w:hAnsi="SimSun" w:cs="SimSun"/>
          <w:lang w:val="fr-FR"/>
        </w:rPr>
      </w:pPr>
      <w:r w:rsidRPr="001B4A27">
        <w:rPr>
          <w:lang w:val="fr-FR"/>
        </w:rPr>
        <w:tab/>
      </w:r>
      <w:r w:rsidRPr="001B4A27">
        <w:rPr>
          <w:lang w:val="fr-FR"/>
        </w:rPr>
        <w:tab/>
      </w:r>
      <w:r w:rsidRPr="001B4A27">
        <w:rPr>
          <w:bCs/>
          <w:lang w:val="fr-FR"/>
        </w:rPr>
        <w:t>Proposition</w:t>
      </w:r>
    </w:p>
    <w:p w14:paraId="3CE628FF" w14:textId="757739B0" w:rsidR="00D54EF2" w:rsidRPr="001B4A27" w:rsidRDefault="00D54EF2" w:rsidP="00D54EF2">
      <w:pPr>
        <w:pStyle w:val="SingleTxtG"/>
        <w:rPr>
          <w:lang w:val="fr-FR"/>
        </w:rPr>
      </w:pPr>
      <w:r w:rsidRPr="001B4A27">
        <w:rPr>
          <w:lang w:val="fr-FR"/>
        </w:rPr>
        <w:t>9</w:t>
      </w:r>
      <w:r w:rsidR="002A1C80" w:rsidRPr="002A1C80">
        <w:rPr>
          <w:lang w:val="fr-FR"/>
        </w:rPr>
        <w:t>.</w:t>
      </w:r>
      <w:r w:rsidRPr="001B4A27">
        <w:rPr>
          <w:lang w:val="fr-FR"/>
        </w:rPr>
        <w:tab/>
        <w:t>Les modifications proposées ci-après sont nécessaires :</w:t>
      </w:r>
    </w:p>
    <w:p w14:paraId="07D51BD4" w14:textId="1490EED1" w:rsidR="00B91605" w:rsidRDefault="00D54EF2" w:rsidP="005F02A7">
      <w:pPr>
        <w:pStyle w:val="SingleTxtG"/>
        <w:ind w:left="1701"/>
      </w:pPr>
      <w:r w:rsidRPr="001B4A27">
        <w:rPr>
          <w:lang w:val="fr-FR"/>
        </w:rPr>
        <w:t>Au chapitre 3</w:t>
      </w:r>
      <w:r w:rsidR="002A1C80" w:rsidRPr="002A1C80">
        <w:rPr>
          <w:lang w:val="fr-FR"/>
        </w:rPr>
        <w:t>.</w:t>
      </w:r>
      <w:r w:rsidRPr="001B4A27">
        <w:rPr>
          <w:lang w:val="fr-FR"/>
        </w:rPr>
        <w:t>2</w:t>
      </w:r>
      <w:r w:rsidR="002A1C80" w:rsidRPr="002A1C80">
        <w:rPr>
          <w:lang w:val="fr-FR"/>
        </w:rPr>
        <w:t>.</w:t>
      </w:r>
      <w:r w:rsidRPr="001B4A27">
        <w:rPr>
          <w:lang w:val="fr-FR"/>
        </w:rPr>
        <w:t xml:space="preserve">2, </w:t>
      </w:r>
      <w:r>
        <w:rPr>
          <w:lang w:val="fr-FR"/>
        </w:rPr>
        <w:t xml:space="preserve">dans la </w:t>
      </w:r>
      <w:r w:rsidRPr="001B4A27">
        <w:rPr>
          <w:lang w:val="fr-FR"/>
        </w:rPr>
        <w:t xml:space="preserve">Liste des marchandises dangereuses, ajouter la disposition spéciale 28 dans la sixième colonne pour les </w:t>
      </w:r>
      <w:r>
        <w:rPr>
          <w:lang w:val="fr-FR"/>
        </w:rPr>
        <w:t>No</w:t>
      </w:r>
      <w:r w:rsidRPr="001B4A27">
        <w:rPr>
          <w:lang w:val="fr-FR"/>
        </w:rPr>
        <w:t>s ONU 1204, 2059, 3064, 3343, 3357, 2555, 2556, 2557, 2907, 3319 et 3344</w:t>
      </w:r>
      <w:r w:rsidR="002A1C80" w:rsidRPr="002A1C80">
        <w:rPr>
          <w:lang w:val="fr-FR"/>
        </w:rPr>
        <w:t>.</w:t>
      </w:r>
    </w:p>
    <w:p w14:paraId="51169CC9" w14:textId="3254722A" w:rsidR="00446FE5" w:rsidRPr="00D54EF2" w:rsidRDefault="00D54EF2" w:rsidP="00D54EF2">
      <w:pPr>
        <w:pStyle w:val="SingleTxtG"/>
        <w:spacing w:before="240" w:after="0"/>
        <w:jc w:val="center"/>
        <w:rPr>
          <w:u w:val="single"/>
        </w:rPr>
      </w:pPr>
      <w:r>
        <w:rPr>
          <w:u w:val="single"/>
        </w:rPr>
        <w:tab/>
      </w:r>
      <w:r>
        <w:rPr>
          <w:u w:val="single"/>
        </w:rPr>
        <w:tab/>
      </w:r>
      <w:r>
        <w:rPr>
          <w:u w:val="single"/>
        </w:rPr>
        <w:tab/>
      </w:r>
    </w:p>
    <w:sectPr w:rsidR="00446FE5" w:rsidRPr="00D54EF2" w:rsidSect="00B916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6E1A" w14:textId="77777777" w:rsidR="00314FDD" w:rsidRDefault="00314FDD" w:rsidP="00F95C08">
      <w:pPr>
        <w:spacing w:line="240" w:lineRule="auto"/>
      </w:pPr>
    </w:p>
  </w:endnote>
  <w:endnote w:type="continuationSeparator" w:id="0">
    <w:p w14:paraId="0C549D1E" w14:textId="77777777" w:rsidR="00314FDD" w:rsidRPr="00AC3823" w:rsidRDefault="00314FDD" w:rsidP="00AC3823">
      <w:pPr>
        <w:pStyle w:val="Footer"/>
      </w:pPr>
    </w:p>
  </w:endnote>
  <w:endnote w:type="continuationNotice" w:id="1">
    <w:p w14:paraId="46C5878E" w14:textId="77777777" w:rsidR="00314FDD" w:rsidRDefault="00314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653C" w14:textId="0C827FE0" w:rsidR="00B91605" w:rsidRPr="00B91605" w:rsidRDefault="00B91605" w:rsidP="00B91605">
    <w:pPr>
      <w:pStyle w:val="Footer"/>
      <w:tabs>
        <w:tab w:val="right" w:pos="9638"/>
      </w:tabs>
    </w:pPr>
    <w:r w:rsidRPr="00B91605">
      <w:rPr>
        <w:b/>
        <w:sz w:val="18"/>
      </w:rPr>
      <w:fldChar w:fldCharType="begin"/>
    </w:r>
    <w:r w:rsidRPr="00B91605">
      <w:rPr>
        <w:b/>
        <w:sz w:val="18"/>
      </w:rPr>
      <w:instrText xml:space="preserve"> PAGE  \* MERGEFORMAT </w:instrText>
    </w:r>
    <w:r w:rsidRPr="00B91605">
      <w:rPr>
        <w:b/>
        <w:sz w:val="18"/>
      </w:rPr>
      <w:fldChar w:fldCharType="separate"/>
    </w:r>
    <w:r w:rsidRPr="00B91605">
      <w:rPr>
        <w:b/>
        <w:noProof/>
        <w:sz w:val="18"/>
      </w:rPr>
      <w:t>2</w:t>
    </w:r>
    <w:r w:rsidRPr="00B91605">
      <w:rPr>
        <w:b/>
        <w:sz w:val="18"/>
      </w:rPr>
      <w:fldChar w:fldCharType="end"/>
    </w:r>
    <w:r>
      <w:rPr>
        <w:b/>
        <w:sz w:val="18"/>
      </w:rPr>
      <w:tab/>
    </w:r>
    <w:r>
      <w:t>GE</w:t>
    </w:r>
    <w:r w:rsidR="002A1C80" w:rsidRPr="002A1C80">
      <w:t>.</w:t>
    </w:r>
    <w:r>
      <w:t>22-13955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AB11" w14:textId="46B40C31" w:rsidR="00B91605" w:rsidRPr="00B91605" w:rsidRDefault="00B91605" w:rsidP="00B91605">
    <w:pPr>
      <w:pStyle w:val="Footer"/>
      <w:tabs>
        <w:tab w:val="right" w:pos="9638"/>
      </w:tabs>
      <w:rPr>
        <w:b/>
        <w:sz w:val="18"/>
      </w:rPr>
    </w:pPr>
    <w:r>
      <w:t>GE</w:t>
    </w:r>
    <w:r w:rsidR="002A1C80" w:rsidRPr="002A1C80">
      <w:t>.</w:t>
    </w:r>
    <w:r>
      <w:t>22-13955</w:t>
    </w:r>
    <w:r>
      <w:tab/>
    </w:r>
    <w:r w:rsidRPr="00B91605">
      <w:rPr>
        <w:b/>
        <w:sz w:val="18"/>
      </w:rPr>
      <w:fldChar w:fldCharType="begin"/>
    </w:r>
    <w:r w:rsidRPr="00B91605">
      <w:rPr>
        <w:b/>
        <w:sz w:val="18"/>
      </w:rPr>
      <w:instrText xml:space="preserve"> PAGE  \* MERGEFORMAT </w:instrText>
    </w:r>
    <w:r w:rsidRPr="00B91605">
      <w:rPr>
        <w:b/>
        <w:sz w:val="18"/>
      </w:rPr>
      <w:fldChar w:fldCharType="separate"/>
    </w:r>
    <w:r w:rsidRPr="00B91605">
      <w:rPr>
        <w:b/>
        <w:noProof/>
        <w:sz w:val="18"/>
      </w:rPr>
      <w:t>3</w:t>
    </w:r>
    <w:r w:rsidRPr="00B91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AE31" w14:textId="54FA9E40" w:rsidR="0068456F" w:rsidRPr="00B91605" w:rsidRDefault="00B91605" w:rsidP="00B91605">
    <w:pPr>
      <w:pStyle w:val="Footer"/>
      <w:spacing w:before="120"/>
      <w:rPr>
        <w:sz w:val="20"/>
      </w:rPr>
    </w:pPr>
    <w:r>
      <w:rPr>
        <w:sz w:val="20"/>
      </w:rPr>
      <w:t>GE</w:t>
    </w:r>
    <w:r w:rsidR="002A1C80" w:rsidRPr="002A1C80">
      <w:rPr>
        <w:sz w:val="20"/>
      </w:rPr>
      <w:t>.</w:t>
    </w:r>
    <w:r w:rsidR="0068456F">
      <w:rPr>
        <w:noProof/>
        <w:lang w:eastAsia="fr-CH"/>
      </w:rPr>
      <w:drawing>
        <wp:anchor distT="0" distB="0" distL="114300" distR="114300" simplePos="0" relativeHeight="251659264" behindDoc="0" locked="0" layoutInCell="1" allowOverlap="0" wp14:anchorId="2D2F8FD5" wp14:editId="064CE4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13955  (</w:t>
    </w:r>
    <w:proofErr w:type="gramEnd"/>
    <w:r>
      <w:rPr>
        <w:sz w:val="20"/>
      </w:rPr>
      <w:t>F)</w:t>
    </w:r>
    <w:r>
      <w:rPr>
        <w:noProof/>
        <w:sz w:val="20"/>
      </w:rPr>
      <w:drawing>
        <wp:anchor distT="0" distB="0" distL="114300" distR="114300" simplePos="0" relativeHeight="251660288" behindDoc="0" locked="0" layoutInCell="1" allowOverlap="1" wp14:anchorId="4D7A640E" wp14:editId="0EDA30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4060" w14:textId="77777777" w:rsidR="00314FDD" w:rsidRPr="00AC3823" w:rsidRDefault="00314FDD" w:rsidP="00AC3823">
      <w:pPr>
        <w:pStyle w:val="Footer"/>
        <w:tabs>
          <w:tab w:val="right" w:pos="2155"/>
        </w:tabs>
        <w:spacing w:after="80" w:line="240" w:lineRule="atLeast"/>
        <w:ind w:left="680"/>
        <w:rPr>
          <w:u w:val="single"/>
        </w:rPr>
      </w:pPr>
      <w:r>
        <w:rPr>
          <w:u w:val="single"/>
        </w:rPr>
        <w:tab/>
      </w:r>
    </w:p>
  </w:footnote>
  <w:footnote w:type="continuationSeparator" w:id="0">
    <w:p w14:paraId="28561A81" w14:textId="77777777" w:rsidR="00314FDD" w:rsidRPr="00AC3823" w:rsidRDefault="00314FDD" w:rsidP="00AC3823">
      <w:pPr>
        <w:pStyle w:val="Footer"/>
        <w:tabs>
          <w:tab w:val="right" w:pos="2155"/>
        </w:tabs>
        <w:spacing w:after="80" w:line="240" w:lineRule="atLeast"/>
        <w:ind w:left="680"/>
        <w:rPr>
          <w:u w:val="single"/>
        </w:rPr>
      </w:pPr>
      <w:r>
        <w:rPr>
          <w:u w:val="single"/>
        </w:rPr>
        <w:tab/>
      </w:r>
    </w:p>
  </w:footnote>
  <w:footnote w:type="continuationNotice" w:id="1">
    <w:p w14:paraId="5F6A8BB5" w14:textId="77777777" w:rsidR="00314FDD" w:rsidRPr="00AC3823" w:rsidRDefault="00314FDD">
      <w:pPr>
        <w:spacing w:line="240" w:lineRule="auto"/>
        <w:rPr>
          <w:sz w:val="2"/>
          <w:szCs w:val="2"/>
        </w:rPr>
      </w:pPr>
    </w:p>
  </w:footnote>
  <w:footnote w:id="2">
    <w:p w14:paraId="12401119" w14:textId="348E2103" w:rsidR="006D3238" w:rsidRPr="006D3238" w:rsidRDefault="006D3238">
      <w:pPr>
        <w:pStyle w:val="FootnoteText"/>
      </w:pPr>
      <w:r>
        <w:rPr>
          <w:rStyle w:val="FootnoteReference"/>
        </w:rPr>
        <w:tab/>
      </w:r>
      <w:r w:rsidRPr="006D3238">
        <w:rPr>
          <w:rStyle w:val="FootnoteReference"/>
          <w:sz w:val="20"/>
          <w:vertAlign w:val="baseline"/>
        </w:rPr>
        <w:t>*</w:t>
      </w:r>
      <w:r>
        <w:rPr>
          <w:rStyle w:val="FootnoteReference"/>
          <w:sz w:val="20"/>
          <w:vertAlign w:val="baseline"/>
        </w:rPr>
        <w:tab/>
      </w:r>
      <w:r>
        <w:rPr>
          <w:lang w:val="fr-FR"/>
        </w:rPr>
        <w:t>A/75/6 (Sect</w:t>
      </w:r>
      <w:r w:rsidR="002A1C80" w:rsidRPr="002A1C80">
        <w:rPr>
          <w:lang w:val="fr-FR"/>
        </w:rPr>
        <w:t>.</w:t>
      </w:r>
      <w:r>
        <w:rPr>
          <w:lang w:val="fr-FR"/>
        </w:rPr>
        <w:t xml:space="preserve"> 20), par</w:t>
      </w:r>
      <w:r w:rsidR="002A1C80" w:rsidRPr="002A1C80">
        <w:rPr>
          <w:lang w:val="fr-FR"/>
        </w:rPr>
        <w:t>.</w:t>
      </w:r>
      <w:r>
        <w:rPr>
          <w:lang w:val="fr-FR"/>
        </w:rPr>
        <w:t xml:space="preserve"> 20</w:t>
      </w:r>
      <w:r w:rsidR="002A1C80" w:rsidRPr="002A1C80">
        <w:rPr>
          <w:lang w:val="fr-FR"/>
        </w:rPr>
        <w:t>.</w:t>
      </w:r>
      <w:r>
        <w:rPr>
          <w:lang w:val="fr-FR"/>
        </w:rPr>
        <w:t>51</w:t>
      </w:r>
      <w:r w:rsidR="002A1C80" w:rsidRPr="002A1C8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2EF" w14:textId="7F26CAC9" w:rsidR="00B91605" w:rsidRPr="00B91605" w:rsidRDefault="002722EE">
    <w:pPr>
      <w:pStyle w:val="Header"/>
    </w:pPr>
    <w:r>
      <w:fldChar w:fldCharType="begin"/>
    </w:r>
    <w:r>
      <w:instrText xml:space="preserve"> TITLE  \* MERGEFORMAT </w:instrText>
    </w:r>
    <w:r>
      <w:fldChar w:fldCharType="separate"/>
    </w:r>
    <w:r>
      <w:t>ST/SG/AC.10/C.3/2022/63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A410" w14:textId="0FCD8F6D" w:rsidR="00B91605" w:rsidRPr="00B91605" w:rsidRDefault="002722EE" w:rsidP="00B91605">
    <w:pPr>
      <w:pStyle w:val="Header"/>
      <w:jc w:val="right"/>
    </w:pPr>
    <w:r>
      <w:fldChar w:fldCharType="begin"/>
    </w:r>
    <w:r>
      <w:instrText xml:space="preserve"> TITLE  \* MERGEFO</w:instrText>
    </w:r>
    <w:r>
      <w:instrText xml:space="preserve">RMAT </w:instrText>
    </w:r>
    <w:r>
      <w:fldChar w:fldCharType="separate"/>
    </w:r>
    <w:r>
      <w:t>ST/SG/AC.10/C.3/2022/63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DD"/>
    <w:rsid w:val="00017F94"/>
    <w:rsid w:val="00023842"/>
    <w:rsid w:val="000305D3"/>
    <w:rsid w:val="000334F9"/>
    <w:rsid w:val="00036914"/>
    <w:rsid w:val="0007796D"/>
    <w:rsid w:val="000B7790"/>
    <w:rsid w:val="00111F2F"/>
    <w:rsid w:val="00132EA9"/>
    <w:rsid w:val="0014365E"/>
    <w:rsid w:val="00172E49"/>
    <w:rsid w:val="00176178"/>
    <w:rsid w:val="001F525A"/>
    <w:rsid w:val="00223272"/>
    <w:rsid w:val="0024779E"/>
    <w:rsid w:val="002722EE"/>
    <w:rsid w:val="00283190"/>
    <w:rsid w:val="002832AC"/>
    <w:rsid w:val="002A1C80"/>
    <w:rsid w:val="002D7C93"/>
    <w:rsid w:val="00314FDD"/>
    <w:rsid w:val="003F40D4"/>
    <w:rsid w:val="00441C3B"/>
    <w:rsid w:val="00446FE5"/>
    <w:rsid w:val="00452396"/>
    <w:rsid w:val="004E468C"/>
    <w:rsid w:val="005505B7"/>
    <w:rsid w:val="00573BE5"/>
    <w:rsid w:val="00584DC4"/>
    <w:rsid w:val="00586ED3"/>
    <w:rsid w:val="00596AA9"/>
    <w:rsid w:val="005F02A7"/>
    <w:rsid w:val="0068456F"/>
    <w:rsid w:val="006D3238"/>
    <w:rsid w:val="0071601D"/>
    <w:rsid w:val="007A62E6"/>
    <w:rsid w:val="0080684C"/>
    <w:rsid w:val="008123E0"/>
    <w:rsid w:val="00871C75"/>
    <w:rsid w:val="008776DC"/>
    <w:rsid w:val="008B40CD"/>
    <w:rsid w:val="009705C8"/>
    <w:rsid w:val="009C1CF4"/>
    <w:rsid w:val="00A21858"/>
    <w:rsid w:val="00A30353"/>
    <w:rsid w:val="00A81281"/>
    <w:rsid w:val="00AC3823"/>
    <w:rsid w:val="00AE323C"/>
    <w:rsid w:val="00AE4CBC"/>
    <w:rsid w:val="00B00181"/>
    <w:rsid w:val="00B00B0D"/>
    <w:rsid w:val="00B765F7"/>
    <w:rsid w:val="00B91605"/>
    <w:rsid w:val="00BA0CA9"/>
    <w:rsid w:val="00C02897"/>
    <w:rsid w:val="00D3439C"/>
    <w:rsid w:val="00D54EF2"/>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76399"/>
  <w15:docId w15:val="{7AFA52F8-C3AC-4C47-8818-E8F10CCF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54EF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D54EF2"/>
    <w:rPr>
      <w:rFonts w:ascii="Times New Roman" w:eastAsiaTheme="minorHAnsi" w:hAnsi="Times New Roman" w:cs="Times New Roman"/>
      <w:sz w:val="20"/>
      <w:szCs w:val="20"/>
      <w:lang w:eastAsia="en-US"/>
    </w:rPr>
  </w:style>
  <w:style w:type="character" w:customStyle="1" w:styleId="H1GChar">
    <w:name w:val="_ H_1_G Char"/>
    <w:link w:val="H1G"/>
    <w:locked/>
    <w:rsid w:val="00D54EF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9A38B2D-8E69-4480-BE85-FA6FCD0D0A28}"/>
</file>

<file path=customXml/itemProps2.xml><?xml version="1.0" encoding="utf-8"?>
<ds:datastoreItem xmlns:ds="http://schemas.openxmlformats.org/officeDocument/2006/customXml" ds:itemID="{34E62407-BDC5-477B-811C-D92FB8C35487}"/>
</file>

<file path=customXml/itemProps3.xml><?xml version="1.0" encoding="utf-8"?>
<ds:datastoreItem xmlns:ds="http://schemas.openxmlformats.org/officeDocument/2006/customXml" ds:itemID="{B831E1C9-1AC6-4B41-A0CB-73CF8DDA5567}"/>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ST/SG/AC.10/C.3/2022/63</vt:lpstr>
    </vt:vector>
  </TitlesOfParts>
  <Company>DCM</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ST/SG/AC.10/C.3/2022/63</dc:title>
  <dc:subject/>
  <dc:creator>Maud DARICHE</dc:creator>
  <cp:keywords/>
  <cp:lastModifiedBy>Laurence Berthet</cp:lastModifiedBy>
  <cp:revision>3</cp:revision>
  <cp:lastPrinted>2022-10-13T09:10:00Z</cp:lastPrinted>
  <dcterms:created xsi:type="dcterms:W3CDTF">2022-10-13T09:09:00Z</dcterms:created>
  <dcterms:modified xsi:type="dcterms:W3CDTF">2022-10-13T09:10:00Z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