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AA9A189" w14:textId="77777777" w:rsidTr="00F01738">
        <w:trPr>
          <w:trHeight w:hRule="exact" w:val="851"/>
        </w:trPr>
        <w:tc>
          <w:tcPr>
            <w:tcW w:w="1276" w:type="dxa"/>
            <w:tcBorders>
              <w:bottom w:val="single" w:sz="4" w:space="0" w:color="auto"/>
            </w:tcBorders>
          </w:tcPr>
          <w:p w14:paraId="22BCA573" w14:textId="77777777" w:rsidR="00132EA9" w:rsidRPr="00DB58B5" w:rsidRDefault="00132EA9" w:rsidP="00B851A8"/>
        </w:tc>
        <w:tc>
          <w:tcPr>
            <w:tcW w:w="2268" w:type="dxa"/>
            <w:tcBorders>
              <w:bottom w:val="single" w:sz="4" w:space="0" w:color="auto"/>
            </w:tcBorders>
            <w:vAlign w:val="bottom"/>
          </w:tcPr>
          <w:p w14:paraId="3A23E80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89E1D7" w14:textId="2AC743AB" w:rsidR="00132EA9" w:rsidRPr="00DB58B5" w:rsidRDefault="00B851A8" w:rsidP="00B851A8">
            <w:pPr>
              <w:jc w:val="right"/>
            </w:pPr>
            <w:r w:rsidRPr="00B851A8">
              <w:rPr>
                <w:sz w:val="40"/>
              </w:rPr>
              <w:t>ST</w:t>
            </w:r>
            <w:r>
              <w:t>/SG/AC.10/C.3/2022/53</w:t>
            </w:r>
          </w:p>
        </w:tc>
      </w:tr>
      <w:tr w:rsidR="00132EA9" w:rsidRPr="00DB58B5" w14:paraId="4DBBCECE" w14:textId="77777777" w:rsidTr="00F01738">
        <w:trPr>
          <w:trHeight w:hRule="exact" w:val="2835"/>
        </w:trPr>
        <w:tc>
          <w:tcPr>
            <w:tcW w:w="1276" w:type="dxa"/>
            <w:tcBorders>
              <w:top w:val="single" w:sz="4" w:space="0" w:color="auto"/>
              <w:bottom w:val="single" w:sz="12" w:space="0" w:color="auto"/>
            </w:tcBorders>
          </w:tcPr>
          <w:p w14:paraId="38A6F9F5" w14:textId="77777777" w:rsidR="00132EA9" w:rsidRPr="00DB58B5" w:rsidRDefault="00132EA9" w:rsidP="00F01738">
            <w:pPr>
              <w:spacing w:before="120"/>
              <w:jc w:val="center"/>
            </w:pPr>
            <w:r>
              <w:rPr>
                <w:noProof/>
                <w:lang w:eastAsia="fr-CH"/>
              </w:rPr>
              <w:drawing>
                <wp:inline distT="0" distB="0" distL="0" distR="0" wp14:anchorId="5BB4D40F" wp14:editId="43381E4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D0092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04125A4" w14:textId="77777777" w:rsidR="00132EA9" w:rsidRDefault="00B851A8" w:rsidP="00F01738">
            <w:pPr>
              <w:spacing w:before="240"/>
            </w:pPr>
            <w:proofErr w:type="spellStart"/>
            <w:r>
              <w:t>Distr</w:t>
            </w:r>
            <w:proofErr w:type="spellEnd"/>
            <w:r>
              <w:t xml:space="preserve">. </w:t>
            </w:r>
            <w:proofErr w:type="gramStart"/>
            <w:r>
              <w:t>générale</w:t>
            </w:r>
            <w:proofErr w:type="gramEnd"/>
          </w:p>
          <w:p w14:paraId="03CD3BE2" w14:textId="77777777" w:rsidR="00B851A8" w:rsidRDefault="00B851A8" w:rsidP="00B851A8">
            <w:pPr>
              <w:spacing w:line="240" w:lineRule="exact"/>
            </w:pPr>
            <w:r>
              <w:t>5 septembre 2022</w:t>
            </w:r>
          </w:p>
          <w:p w14:paraId="3F61FE1D" w14:textId="77777777" w:rsidR="00B851A8" w:rsidRDefault="00B851A8" w:rsidP="00B851A8">
            <w:pPr>
              <w:spacing w:line="240" w:lineRule="exact"/>
            </w:pPr>
            <w:r>
              <w:t>Français</w:t>
            </w:r>
          </w:p>
          <w:p w14:paraId="5FFB7B73" w14:textId="1CE944CA" w:rsidR="00B851A8" w:rsidRPr="00DB58B5" w:rsidRDefault="00B851A8" w:rsidP="00B851A8">
            <w:pPr>
              <w:spacing w:line="240" w:lineRule="exact"/>
            </w:pPr>
            <w:r>
              <w:t>Original : anglais</w:t>
            </w:r>
          </w:p>
        </w:tc>
      </w:tr>
    </w:tbl>
    <w:p w14:paraId="2E5437C4" w14:textId="77777777" w:rsidR="00B851A8" w:rsidRPr="00497F60" w:rsidRDefault="00B851A8" w:rsidP="009E603E">
      <w:pPr>
        <w:spacing w:before="120" w:line="280" w:lineRule="atLeast"/>
        <w:rPr>
          <w:rFonts w:asciiTheme="majorBidi" w:hAnsiTheme="majorBidi" w:cstheme="majorBidi"/>
          <w:b/>
          <w:sz w:val="24"/>
          <w:szCs w:val="24"/>
        </w:rPr>
      </w:pPr>
      <w:r w:rsidRPr="00497F60">
        <w:rPr>
          <w:rFonts w:asciiTheme="majorBidi" w:hAnsiTheme="majorBidi" w:cstheme="majorBidi"/>
          <w:b/>
          <w:bCs/>
          <w:sz w:val="24"/>
          <w:szCs w:val="24"/>
          <w:lang w:val="fr-FR"/>
        </w:rPr>
        <w:t>Comité d</w:t>
      </w:r>
      <w:r>
        <w:rPr>
          <w:rFonts w:asciiTheme="majorBidi" w:hAnsiTheme="majorBidi" w:cstheme="majorBidi"/>
          <w:b/>
          <w:bCs/>
          <w:sz w:val="24"/>
          <w:szCs w:val="24"/>
          <w:lang w:val="fr-FR"/>
        </w:rPr>
        <w:t>’</w:t>
      </w:r>
      <w:r w:rsidRPr="00497F60">
        <w:rPr>
          <w:rFonts w:asciiTheme="majorBidi" w:hAnsiTheme="majorBidi" w:cstheme="majorBidi"/>
          <w:b/>
          <w:bCs/>
          <w:sz w:val="24"/>
          <w:szCs w:val="24"/>
          <w:lang w:val="fr-FR"/>
        </w:rPr>
        <w:t xml:space="preserve">experts du transport des marchandises </w:t>
      </w:r>
      <w:r>
        <w:rPr>
          <w:rFonts w:asciiTheme="majorBidi" w:hAnsiTheme="majorBidi" w:cstheme="majorBidi"/>
          <w:b/>
          <w:bCs/>
          <w:sz w:val="24"/>
          <w:szCs w:val="24"/>
          <w:lang w:val="fr-FR"/>
        </w:rPr>
        <w:br/>
      </w:r>
      <w:r w:rsidRPr="00497F60">
        <w:rPr>
          <w:rFonts w:asciiTheme="majorBidi" w:hAnsiTheme="majorBidi" w:cstheme="majorBidi"/>
          <w:b/>
          <w:bCs/>
          <w:sz w:val="24"/>
          <w:szCs w:val="24"/>
          <w:lang w:val="fr-FR"/>
        </w:rPr>
        <w:t xml:space="preserve">dangereuses et du Système général harmonisé </w:t>
      </w:r>
      <w:r>
        <w:rPr>
          <w:rFonts w:asciiTheme="majorBidi" w:hAnsiTheme="majorBidi" w:cstheme="majorBidi"/>
          <w:b/>
          <w:bCs/>
          <w:sz w:val="24"/>
          <w:szCs w:val="24"/>
          <w:lang w:val="fr-FR"/>
        </w:rPr>
        <w:br/>
      </w:r>
      <w:r w:rsidRPr="00497F60">
        <w:rPr>
          <w:rFonts w:asciiTheme="majorBidi" w:hAnsiTheme="majorBidi" w:cstheme="majorBidi"/>
          <w:b/>
          <w:bCs/>
          <w:sz w:val="24"/>
          <w:szCs w:val="24"/>
          <w:lang w:val="fr-FR"/>
        </w:rPr>
        <w:t>de classification et d</w:t>
      </w:r>
      <w:r>
        <w:rPr>
          <w:rFonts w:asciiTheme="majorBidi" w:hAnsiTheme="majorBidi" w:cstheme="majorBidi"/>
          <w:b/>
          <w:bCs/>
          <w:sz w:val="24"/>
          <w:szCs w:val="24"/>
          <w:lang w:val="fr-FR"/>
        </w:rPr>
        <w:t>’</w:t>
      </w:r>
      <w:r w:rsidRPr="00497F60">
        <w:rPr>
          <w:rFonts w:asciiTheme="majorBidi" w:hAnsiTheme="majorBidi" w:cstheme="majorBidi"/>
          <w:b/>
          <w:bCs/>
          <w:sz w:val="24"/>
          <w:szCs w:val="24"/>
          <w:lang w:val="fr-FR"/>
        </w:rPr>
        <w:t>étiquetage des produits chimiques</w:t>
      </w:r>
    </w:p>
    <w:p w14:paraId="6FEC2CEC" w14:textId="77777777" w:rsidR="00B851A8" w:rsidRPr="00497F60" w:rsidRDefault="00B851A8" w:rsidP="00B851A8">
      <w:pPr>
        <w:spacing w:before="120"/>
        <w:rPr>
          <w:rFonts w:asciiTheme="majorBidi" w:hAnsiTheme="majorBidi" w:cstheme="majorBidi"/>
          <w:b/>
          <w:color w:val="000000"/>
        </w:rPr>
      </w:pPr>
      <w:r w:rsidRPr="00497F60">
        <w:rPr>
          <w:rFonts w:asciiTheme="majorBidi" w:hAnsiTheme="majorBidi" w:cstheme="majorBidi"/>
          <w:b/>
          <w:bCs/>
          <w:lang w:val="fr-FR"/>
        </w:rPr>
        <w:t>Sous-Comité d</w:t>
      </w:r>
      <w:r>
        <w:rPr>
          <w:rFonts w:asciiTheme="majorBidi" w:hAnsiTheme="majorBidi" w:cstheme="majorBidi"/>
          <w:b/>
          <w:bCs/>
          <w:lang w:val="fr-FR"/>
        </w:rPr>
        <w:t>’</w:t>
      </w:r>
      <w:r w:rsidRPr="00497F60">
        <w:rPr>
          <w:rFonts w:asciiTheme="majorBidi" w:hAnsiTheme="majorBidi" w:cstheme="majorBidi"/>
          <w:b/>
          <w:bCs/>
          <w:lang w:val="fr-FR"/>
        </w:rPr>
        <w:t>experts du transport des marchandises dangereuses</w:t>
      </w:r>
    </w:p>
    <w:p w14:paraId="528447F4" w14:textId="77777777" w:rsidR="00B851A8" w:rsidRPr="00497F60" w:rsidRDefault="00B851A8" w:rsidP="00B851A8">
      <w:pPr>
        <w:spacing w:before="120"/>
        <w:rPr>
          <w:rFonts w:asciiTheme="majorBidi" w:hAnsiTheme="majorBidi" w:cstheme="majorBidi"/>
          <w:b/>
        </w:rPr>
      </w:pPr>
      <w:r w:rsidRPr="00497F60">
        <w:rPr>
          <w:rFonts w:asciiTheme="majorBidi" w:hAnsiTheme="majorBidi" w:cstheme="majorBidi"/>
          <w:b/>
          <w:bCs/>
          <w:lang w:val="fr-FR"/>
        </w:rPr>
        <w:t>Soixante et unième session</w:t>
      </w:r>
    </w:p>
    <w:p w14:paraId="37C93CF9" w14:textId="77777777" w:rsidR="00B851A8" w:rsidRPr="00497F60" w:rsidRDefault="00B851A8" w:rsidP="00B851A8">
      <w:pPr>
        <w:rPr>
          <w:rFonts w:asciiTheme="majorBidi" w:hAnsiTheme="majorBidi" w:cstheme="majorBidi"/>
        </w:rPr>
      </w:pPr>
      <w:r w:rsidRPr="00497F60">
        <w:rPr>
          <w:rFonts w:asciiTheme="majorBidi" w:hAnsiTheme="majorBidi" w:cstheme="majorBidi"/>
          <w:lang w:val="fr-FR"/>
        </w:rPr>
        <w:t xml:space="preserve">Genève, 28 novembre-6 décembre 2022 </w:t>
      </w:r>
    </w:p>
    <w:p w14:paraId="3E34F46C" w14:textId="77777777" w:rsidR="00B851A8" w:rsidRPr="00497F60" w:rsidRDefault="00B851A8" w:rsidP="00B851A8">
      <w:pPr>
        <w:rPr>
          <w:rFonts w:asciiTheme="majorBidi" w:hAnsiTheme="majorBidi" w:cstheme="majorBidi"/>
        </w:rPr>
      </w:pPr>
      <w:r w:rsidRPr="00497F60">
        <w:rPr>
          <w:rFonts w:asciiTheme="majorBidi" w:hAnsiTheme="majorBidi" w:cstheme="majorBidi"/>
          <w:lang w:val="fr-FR"/>
        </w:rPr>
        <w:t>Point 3 de l</w:t>
      </w:r>
      <w:r>
        <w:rPr>
          <w:rFonts w:asciiTheme="majorBidi" w:hAnsiTheme="majorBidi" w:cstheme="majorBidi"/>
          <w:lang w:val="fr-FR"/>
        </w:rPr>
        <w:t>’</w:t>
      </w:r>
      <w:r w:rsidRPr="00497F60">
        <w:rPr>
          <w:rFonts w:asciiTheme="majorBidi" w:hAnsiTheme="majorBidi" w:cstheme="majorBidi"/>
          <w:lang w:val="fr-FR"/>
        </w:rPr>
        <w:t>ordre du jour provisoire</w:t>
      </w:r>
    </w:p>
    <w:p w14:paraId="1091B685" w14:textId="77777777" w:rsidR="00B851A8" w:rsidRPr="00497F60" w:rsidRDefault="00B851A8" w:rsidP="00B851A8">
      <w:pPr>
        <w:rPr>
          <w:rFonts w:asciiTheme="majorBidi" w:hAnsiTheme="majorBidi" w:cstheme="majorBidi"/>
          <w:b/>
          <w:bCs/>
          <w:sz w:val="24"/>
          <w:szCs w:val="24"/>
        </w:rPr>
      </w:pPr>
      <w:r w:rsidRPr="00497F60">
        <w:rPr>
          <w:rFonts w:asciiTheme="majorBidi" w:hAnsiTheme="majorBidi" w:cstheme="majorBidi"/>
          <w:b/>
          <w:bCs/>
          <w:lang w:val="fr-FR"/>
        </w:rPr>
        <w:t>Inscription, classement et emballage</w:t>
      </w:r>
    </w:p>
    <w:p w14:paraId="4113B348" w14:textId="16C9B314" w:rsidR="00B851A8" w:rsidRPr="00C23C47" w:rsidRDefault="00B851A8" w:rsidP="00B851A8">
      <w:pPr>
        <w:pStyle w:val="HChG"/>
      </w:pPr>
      <w:r w:rsidRPr="00497F60">
        <w:rPr>
          <w:sz w:val="24"/>
          <w:szCs w:val="24"/>
          <w:lang w:val="fr-FR"/>
        </w:rPr>
        <w:tab/>
      </w:r>
      <w:r w:rsidRPr="00497F60">
        <w:rPr>
          <w:sz w:val="24"/>
          <w:szCs w:val="24"/>
          <w:lang w:val="fr-FR"/>
        </w:rPr>
        <w:tab/>
      </w:r>
      <w:r w:rsidRPr="00C23C47">
        <w:rPr>
          <w:lang w:val="fr-FR"/>
        </w:rPr>
        <w:t xml:space="preserve">Produits actuels et futurs dans </w:t>
      </w:r>
      <w:r>
        <w:rPr>
          <w:lang w:val="fr-FR"/>
        </w:rPr>
        <w:t>le secteur du GPL</w:t>
      </w:r>
      <w:r w:rsidRPr="00C23C47">
        <w:rPr>
          <w:lang w:val="fr-FR"/>
        </w:rPr>
        <w:t xml:space="preserve">, modification des numéros ONU, points </w:t>
      </w:r>
      <w:r>
        <w:rPr>
          <w:lang w:val="fr-FR"/>
        </w:rPr>
        <w:t xml:space="preserve">à examiner </w:t>
      </w:r>
      <w:r>
        <w:rPr>
          <w:lang w:val="fr-FR"/>
        </w:rPr>
        <w:br/>
      </w:r>
      <w:r w:rsidRPr="00C23C47">
        <w:rPr>
          <w:lang w:val="fr-FR"/>
        </w:rPr>
        <w:t>et propositions</w:t>
      </w:r>
      <w:bookmarkStart w:id="0" w:name="_Hlk62717420"/>
    </w:p>
    <w:bookmarkEnd w:id="0"/>
    <w:p w14:paraId="2BD19604" w14:textId="77777777" w:rsidR="00B851A8" w:rsidRDefault="00B851A8" w:rsidP="00B851A8">
      <w:pPr>
        <w:pStyle w:val="H1G"/>
        <w:rPr>
          <w:b w:val="0"/>
          <w:bCs/>
          <w:sz w:val="20"/>
          <w:lang w:val="fr-FR"/>
        </w:rPr>
      </w:pPr>
      <w:r w:rsidRPr="00497F60">
        <w:rPr>
          <w:lang w:val="fr-FR"/>
        </w:rPr>
        <w:tab/>
      </w:r>
      <w:r w:rsidRPr="00497F60">
        <w:rPr>
          <w:lang w:val="fr-FR"/>
        </w:rPr>
        <w:tab/>
      </w:r>
      <w:r>
        <w:rPr>
          <w:lang w:val="fr-FR"/>
        </w:rPr>
        <w:t xml:space="preserve">Communication de la </w:t>
      </w:r>
      <w:r w:rsidRPr="00497F60">
        <w:rPr>
          <w:lang w:val="fr-FR"/>
        </w:rPr>
        <w:t xml:space="preserve">World LPG Association </w:t>
      </w:r>
      <w:r>
        <w:rPr>
          <w:lang w:val="fr-FR"/>
        </w:rPr>
        <w:br/>
      </w:r>
      <w:r w:rsidRPr="00497F60">
        <w:rPr>
          <w:lang w:val="fr-FR"/>
        </w:rPr>
        <w:t xml:space="preserve">et </w:t>
      </w:r>
      <w:r>
        <w:rPr>
          <w:lang w:val="fr-FR"/>
        </w:rPr>
        <w:t xml:space="preserve">de </w:t>
      </w:r>
      <w:proofErr w:type="spellStart"/>
      <w:r w:rsidRPr="00497F60">
        <w:rPr>
          <w:lang w:val="fr-FR"/>
        </w:rPr>
        <w:t>Liquid</w:t>
      </w:r>
      <w:proofErr w:type="spellEnd"/>
      <w:r w:rsidRPr="00497F60">
        <w:rPr>
          <w:lang w:val="fr-FR"/>
        </w:rPr>
        <w:t xml:space="preserve"> Gas Europe</w:t>
      </w:r>
      <w:r w:rsidRPr="00C15547">
        <w:rPr>
          <w:rStyle w:val="FootnoteReference"/>
          <w:b w:val="0"/>
          <w:bCs/>
          <w:sz w:val="20"/>
          <w:vertAlign w:val="baseline"/>
          <w:lang w:val="fr-FR"/>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B851A8" w14:paraId="7AEF40B3" w14:textId="77777777" w:rsidTr="008252D9">
        <w:trPr>
          <w:jc w:val="center"/>
        </w:trPr>
        <w:tc>
          <w:tcPr>
            <w:tcW w:w="9637" w:type="dxa"/>
            <w:shd w:val="clear" w:color="auto" w:fill="auto"/>
          </w:tcPr>
          <w:p w14:paraId="2274EE86" w14:textId="77777777" w:rsidR="00B851A8" w:rsidRDefault="00B851A8" w:rsidP="008252D9">
            <w:pPr>
              <w:spacing w:before="240" w:after="120"/>
              <w:ind w:left="255"/>
              <w:rPr>
                <w:i/>
                <w:sz w:val="24"/>
              </w:rPr>
            </w:pPr>
            <w:r>
              <w:rPr>
                <w:i/>
                <w:sz w:val="24"/>
              </w:rPr>
              <w:t>Résumé</w:t>
            </w:r>
          </w:p>
        </w:tc>
      </w:tr>
      <w:tr w:rsidR="00B851A8" w:rsidRPr="00C15547" w14:paraId="3A04BFE7" w14:textId="77777777" w:rsidTr="008252D9">
        <w:trPr>
          <w:jc w:val="center"/>
        </w:trPr>
        <w:tc>
          <w:tcPr>
            <w:tcW w:w="9637" w:type="dxa"/>
            <w:shd w:val="clear" w:color="auto" w:fill="auto"/>
          </w:tcPr>
          <w:p w14:paraId="479211CE" w14:textId="3055E154" w:rsidR="00B851A8" w:rsidRPr="009B364F" w:rsidRDefault="00B851A8" w:rsidP="008252D9">
            <w:pPr>
              <w:tabs>
                <w:tab w:val="left" w:pos="3260"/>
              </w:tabs>
              <w:spacing w:after="120"/>
              <w:ind w:left="3260" w:right="1134" w:hanging="2126"/>
              <w:jc w:val="both"/>
              <w:rPr>
                <w:rFonts w:asciiTheme="majorBidi" w:hAnsiTheme="majorBidi" w:cstheme="majorBidi"/>
              </w:rPr>
            </w:pPr>
            <w:r w:rsidRPr="009B364F">
              <w:rPr>
                <w:rFonts w:asciiTheme="majorBidi" w:hAnsiTheme="majorBidi" w:cstheme="majorBidi"/>
                <w:b/>
                <w:bCs/>
                <w:lang w:val="fr-FR"/>
              </w:rPr>
              <w:t>Résumé analytique</w:t>
            </w:r>
            <w:r>
              <w:rPr>
                <w:rFonts w:asciiTheme="majorBidi" w:hAnsiTheme="majorBidi" w:cstheme="majorBidi"/>
                <w:b/>
                <w:bCs/>
                <w:lang w:val="fr-FR"/>
              </w:rPr>
              <w:t> </w:t>
            </w:r>
            <w:r w:rsidRPr="009B364F">
              <w:rPr>
                <w:rFonts w:asciiTheme="majorBidi" w:hAnsiTheme="majorBidi" w:cstheme="majorBidi"/>
                <w:b/>
                <w:bCs/>
                <w:lang w:val="fr-FR"/>
              </w:rPr>
              <w:t>:</w:t>
            </w:r>
            <w:r w:rsidRPr="009B364F">
              <w:rPr>
                <w:rFonts w:asciiTheme="majorBidi" w:hAnsiTheme="majorBidi" w:cstheme="majorBidi"/>
                <w:lang w:val="fr-FR"/>
              </w:rPr>
              <w:tab/>
              <w:t>Il y a quelques années, l</w:t>
            </w:r>
            <w:r>
              <w:rPr>
                <w:rFonts w:asciiTheme="majorBidi" w:hAnsiTheme="majorBidi" w:cstheme="majorBidi"/>
                <w:lang w:val="fr-FR"/>
              </w:rPr>
              <w:t>’</w:t>
            </w:r>
            <w:r w:rsidRPr="009B364F">
              <w:rPr>
                <w:rFonts w:asciiTheme="majorBidi" w:hAnsiTheme="majorBidi" w:cstheme="majorBidi"/>
                <w:lang w:val="fr-FR"/>
              </w:rPr>
              <w:t xml:space="preserve">industrie du gaz de pétrole liquéfié (GPL) a introduit sur le marché le </w:t>
            </w:r>
            <w:proofErr w:type="spellStart"/>
            <w:r w:rsidRPr="009B364F">
              <w:rPr>
                <w:rFonts w:asciiTheme="majorBidi" w:hAnsiTheme="majorBidi" w:cstheme="majorBidi"/>
                <w:lang w:val="fr-FR"/>
              </w:rPr>
              <w:t>bioGPL</w:t>
            </w:r>
            <w:proofErr w:type="spellEnd"/>
            <w:r w:rsidRPr="009B364F">
              <w:rPr>
                <w:rFonts w:asciiTheme="majorBidi" w:hAnsiTheme="majorBidi" w:cstheme="majorBidi"/>
                <w:lang w:val="fr-FR"/>
              </w:rPr>
              <w:t>, c</w:t>
            </w:r>
            <w:r>
              <w:rPr>
                <w:rFonts w:asciiTheme="majorBidi" w:hAnsiTheme="majorBidi" w:cstheme="majorBidi"/>
                <w:lang w:val="fr-FR"/>
              </w:rPr>
              <w:t>’</w:t>
            </w:r>
            <w:r w:rsidRPr="009B364F">
              <w:rPr>
                <w:rFonts w:asciiTheme="majorBidi" w:hAnsiTheme="majorBidi" w:cstheme="majorBidi"/>
                <w:lang w:val="fr-FR"/>
              </w:rPr>
              <w:t xml:space="preserve">est-à-dire </w:t>
            </w:r>
            <w:r>
              <w:rPr>
                <w:rFonts w:asciiTheme="majorBidi" w:hAnsiTheme="majorBidi" w:cstheme="majorBidi"/>
                <w:lang w:val="fr-FR"/>
              </w:rPr>
              <w:t>un</w:t>
            </w:r>
            <w:r w:rsidRPr="009B364F">
              <w:rPr>
                <w:rFonts w:asciiTheme="majorBidi" w:hAnsiTheme="majorBidi" w:cstheme="majorBidi"/>
                <w:lang w:val="fr-FR"/>
              </w:rPr>
              <w:t xml:space="preserve"> GPL (C</w:t>
            </w:r>
            <w:r w:rsidRPr="009B364F">
              <w:rPr>
                <w:rFonts w:asciiTheme="majorBidi" w:hAnsiTheme="majorBidi" w:cstheme="majorBidi"/>
                <w:vertAlign w:val="subscript"/>
                <w:lang w:val="fr-FR"/>
              </w:rPr>
              <w:t>3</w:t>
            </w:r>
            <w:r w:rsidRPr="009B364F">
              <w:rPr>
                <w:rFonts w:asciiTheme="majorBidi" w:hAnsiTheme="majorBidi" w:cstheme="majorBidi"/>
                <w:lang w:val="fr-FR"/>
              </w:rPr>
              <w:t>/C</w:t>
            </w:r>
            <w:r w:rsidRPr="009B364F">
              <w:rPr>
                <w:rFonts w:asciiTheme="majorBidi" w:hAnsiTheme="majorBidi" w:cstheme="majorBidi"/>
                <w:vertAlign w:val="subscript"/>
                <w:lang w:val="fr-FR"/>
              </w:rPr>
              <w:t>4</w:t>
            </w:r>
            <w:r w:rsidRPr="009B364F">
              <w:rPr>
                <w:rFonts w:asciiTheme="majorBidi" w:hAnsiTheme="majorBidi" w:cstheme="majorBidi"/>
                <w:lang w:val="fr-FR"/>
              </w:rPr>
              <w:t>) de composition moléculaire identique à celle du GPL classique, mais d</w:t>
            </w:r>
            <w:r>
              <w:rPr>
                <w:rFonts w:asciiTheme="majorBidi" w:hAnsiTheme="majorBidi" w:cstheme="majorBidi"/>
                <w:lang w:val="fr-FR"/>
              </w:rPr>
              <w:t>’</w:t>
            </w:r>
            <w:r w:rsidRPr="009B364F">
              <w:rPr>
                <w:rFonts w:asciiTheme="majorBidi" w:hAnsiTheme="majorBidi" w:cstheme="majorBidi"/>
                <w:lang w:val="fr-FR"/>
              </w:rPr>
              <w:t>origine biologique</w:t>
            </w:r>
            <w:r>
              <w:rPr>
                <w:rFonts w:asciiTheme="majorBidi" w:hAnsiTheme="majorBidi" w:cstheme="majorBidi"/>
                <w:lang w:val="fr-FR"/>
              </w:rPr>
              <w:t xml:space="preserve"> ou </w:t>
            </w:r>
            <w:r w:rsidRPr="009B364F">
              <w:rPr>
                <w:rFonts w:asciiTheme="majorBidi" w:hAnsiTheme="majorBidi" w:cstheme="majorBidi"/>
                <w:lang w:val="fr-FR"/>
              </w:rPr>
              <w:t>renouvelable</w:t>
            </w:r>
            <w:r w:rsidR="004D2825" w:rsidRPr="004D2825">
              <w:rPr>
                <w:rFonts w:asciiTheme="majorBidi" w:hAnsiTheme="majorBidi" w:cstheme="majorBidi"/>
                <w:lang w:val="fr-FR"/>
              </w:rPr>
              <w:t>.</w:t>
            </w:r>
            <w:r w:rsidRPr="009B364F">
              <w:rPr>
                <w:rFonts w:asciiTheme="majorBidi" w:hAnsiTheme="majorBidi" w:cstheme="majorBidi"/>
                <w:lang w:val="fr-FR"/>
              </w:rPr>
              <w:t xml:space="preserve"> Toutefois, les définitions et les numéros ONU existants </w:t>
            </w:r>
            <w:r>
              <w:rPr>
                <w:rFonts w:asciiTheme="majorBidi" w:hAnsiTheme="majorBidi" w:cstheme="majorBidi"/>
                <w:lang w:val="fr-FR"/>
              </w:rPr>
              <w:t>pour le</w:t>
            </w:r>
            <w:r w:rsidRPr="009B364F">
              <w:rPr>
                <w:rFonts w:asciiTheme="majorBidi" w:hAnsiTheme="majorBidi" w:cstheme="majorBidi"/>
                <w:lang w:val="fr-FR"/>
              </w:rPr>
              <w:t xml:space="preserve"> GPL, décrit comme un produit « pétrolier », ne reflètent plus ni l</w:t>
            </w:r>
            <w:r>
              <w:rPr>
                <w:rFonts w:asciiTheme="majorBidi" w:hAnsiTheme="majorBidi" w:cstheme="majorBidi"/>
                <w:lang w:val="fr-FR"/>
              </w:rPr>
              <w:t>’</w:t>
            </w:r>
            <w:r w:rsidRPr="009B364F">
              <w:rPr>
                <w:rFonts w:asciiTheme="majorBidi" w:hAnsiTheme="majorBidi" w:cstheme="majorBidi"/>
                <w:lang w:val="fr-FR"/>
              </w:rPr>
              <w:t xml:space="preserve">origine renouvelable du </w:t>
            </w:r>
            <w:proofErr w:type="spellStart"/>
            <w:r w:rsidRPr="009B364F">
              <w:rPr>
                <w:rFonts w:asciiTheme="majorBidi" w:hAnsiTheme="majorBidi" w:cstheme="majorBidi"/>
                <w:lang w:val="fr-FR"/>
              </w:rPr>
              <w:t>bioGPL</w:t>
            </w:r>
            <w:proofErr w:type="spellEnd"/>
            <w:r w:rsidRPr="009B364F">
              <w:rPr>
                <w:rFonts w:asciiTheme="majorBidi" w:hAnsiTheme="majorBidi" w:cstheme="majorBidi"/>
                <w:lang w:val="fr-FR"/>
              </w:rPr>
              <w:t>, ni le GPL classique extrait du gaz naturel</w:t>
            </w:r>
            <w:r w:rsidR="004D2825" w:rsidRPr="004D2825">
              <w:rPr>
                <w:rFonts w:asciiTheme="majorBidi" w:hAnsiTheme="majorBidi" w:cstheme="majorBidi"/>
                <w:lang w:val="fr-FR"/>
              </w:rPr>
              <w:t>.</w:t>
            </w:r>
          </w:p>
          <w:p w14:paraId="49C1F290" w14:textId="721B7DE5" w:rsidR="00B851A8" w:rsidRPr="009B364F" w:rsidRDefault="00B851A8" w:rsidP="008252D9">
            <w:pPr>
              <w:tabs>
                <w:tab w:val="left" w:pos="3260"/>
              </w:tabs>
              <w:spacing w:after="120"/>
              <w:ind w:left="3260" w:right="1134" w:firstLine="1"/>
              <w:jc w:val="both"/>
              <w:rPr>
                <w:rFonts w:asciiTheme="majorBidi" w:hAnsiTheme="majorBidi" w:cstheme="majorBidi"/>
              </w:rPr>
            </w:pPr>
            <w:r w:rsidRPr="009B364F">
              <w:rPr>
                <w:rFonts w:asciiTheme="majorBidi" w:hAnsiTheme="majorBidi" w:cstheme="majorBidi"/>
                <w:lang w:val="fr-FR"/>
              </w:rPr>
              <w:t>En outre, aujourd</w:t>
            </w:r>
            <w:r>
              <w:rPr>
                <w:rFonts w:asciiTheme="majorBidi" w:hAnsiTheme="majorBidi" w:cstheme="majorBidi"/>
                <w:lang w:val="fr-FR"/>
              </w:rPr>
              <w:t>’</w:t>
            </w:r>
            <w:r w:rsidRPr="009B364F">
              <w:rPr>
                <w:rFonts w:asciiTheme="majorBidi" w:hAnsiTheme="majorBidi" w:cstheme="majorBidi"/>
                <w:lang w:val="fr-FR"/>
              </w:rPr>
              <w:t>hui, d</w:t>
            </w:r>
            <w:r>
              <w:rPr>
                <w:rFonts w:asciiTheme="majorBidi" w:hAnsiTheme="majorBidi" w:cstheme="majorBidi"/>
                <w:lang w:val="fr-FR"/>
              </w:rPr>
              <w:t>’</w:t>
            </w:r>
            <w:r w:rsidRPr="009B364F">
              <w:rPr>
                <w:rFonts w:asciiTheme="majorBidi" w:hAnsiTheme="majorBidi" w:cstheme="majorBidi"/>
                <w:lang w:val="fr-FR"/>
              </w:rPr>
              <w:t>autres molécules comme l</w:t>
            </w:r>
            <w:r>
              <w:rPr>
                <w:rFonts w:asciiTheme="majorBidi" w:hAnsiTheme="majorBidi" w:cstheme="majorBidi"/>
                <w:lang w:val="fr-FR"/>
              </w:rPr>
              <w:t>’</w:t>
            </w:r>
            <w:r w:rsidRPr="009B364F">
              <w:rPr>
                <w:rFonts w:asciiTheme="majorBidi" w:hAnsiTheme="majorBidi" w:cstheme="majorBidi"/>
                <w:lang w:val="fr-FR"/>
              </w:rPr>
              <w:t>éther méthylique renouvelable (DME renouvelable), mélangé au GPL (et en tant que produit autonome), sont déjà présentes sur le marché des États-Unis d</w:t>
            </w:r>
            <w:r>
              <w:rPr>
                <w:rFonts w:asciiTheme="majorBidi" w:hAnsiTheme="majorBidi" w:cstheme="majorBidi"/>
                <w:lang w:val="fr-FR"/>
              </w:rPr>
              <w:t>’</w:t>
            </w:r>
            <w:r w:rsidRPr="009B364F">
              <w:rPr>
                <w:rFonts w:asciiTheme="majorBidi" w:hAnsiTheme="majorBidi" w:cstheme="majorBidi"/>
                <w:lang w:val="fr-FR"/>
              </w:rPr>
              <w:t>Amérique et devraient l</w:t>
            </w:r>
            <w:r>
              <w:rPr>
                <w:rFonts w:asciiTheme="majorBidi" w:hAnsiTheme="majorBidi" w:cstheme="majorBidi"/>
                <w:lang w:val="fr-FR"/>
              </w:rPr>
              <w:t>’</w:t>
            </w:r>
            <w:r w:rsidRPr="009B364F">
              <w:rPr>
                <w:rFonts w:asciiTheme="majorBidi" w:hAnsiTheme="majorBidi" w:cstheme="majorBidi"/>
                <w:lang w:val="fr-FR"/>
              </w:rPr>
              <w:t>être également en Europe et sur d</w:t>
            </w:r>
            <w:r>
              <w:rPr>
                <w:rFonts w:asciiTheme="majorBidi" w:hAnsiTheme="majorBidi" w:cstheme="majorBidi"/>
                <w:lang w:val="fr-FR"/>
              </w:rPr>
              <w:t>’</w:t>
            </w:r>
            <w:r w:rsidRPr="009B364F">
              <w:rPr>
                <w:rFonts w:asciiTheme="majorBidi" w:hAnsiTheme="majorBidi" w:cstheme="majorBidi"/>
                <w:lang w:val="fr-FR"/>
              </w:rPr>
              <w:t>autres marchés très prochainement</w:t>
            </w:r>
            <w:r w:rsidR="004D2825" w:rsidRPr="004D2825">
              <w:rPr>
                <w:rFonts w:asciiTheme="majorBidi" w:hAnsiTheme="majorBidi" w:cstheme="majorBidi"/>
                <w:lang w:val="fr-FR"/>
              </w:rPr>
              <w:t>.</w:t>
            </w:r>
          </w:p>
          <w:p w14:paraId="30835947" w14:textId="23D50D09" w:rsidR="00B851A8" w:rsidRPr="00C15547" w:rsidRDefault="00B851A8" w:rsidP="008252D9">
            <w:pPr>
              <w:tabs>
                <w:tab w:val="left" w:pos="3260"/>
              </w:tabs>
              <w:spacing w:after="120"/>
              <w:ind w:left="3260" w:right="1134" w:firstLine="1"/>
              <w:jc w:val="both"/>
            </w:pPr>
            <w:r w:rsidRPr="009B364F">
              <w:rPr>
                <w:rFonts w:asciiTheme="majorBidi" w:hAnsiTheme="majorBidi" w:cstheme="majorBidi"/>
                <w:lang w:val="fr-FR"/>
              </w:rPr>
              <w:t>Certains numéros ONU existants doivent être redéfinis pour prendre en compte les nouveaux produits</w:t>
            </w:r>
            <w:r w:rsidR="004D2825" w:rsidRPr="004D2825">
              <w:rPr>
                <w:rFonts w:asciiTheme="majorBidi" w:hAnsiTheme="majorBidi" w:cstheme="majorBidi"/>
                <w:lang w:val="fr-FR"/>
              </w:rPr>
              <w:t>.</w:t>
            </w:r>
          </w:p>
        </w:tc>
      </w:tr>
      <w:tr w:rsidR="00B851A8" w:rsidRPr="00C15547" w14:paraId="133A1F68" w14:textId="77777777" w:rsidTr="008252D9">
        <w:trPr>
          <w:jc w:val="center"/>
        </w:trPr>
        <w:tc>
          <w:tcPr>
            <w:tcW w:w="9637" w:type="dxa"/>
            <w:shd w:val="clear" w:color="auto" w:fill="auto"/>
          </w:tcPr>
          <w:p w14:paraId="6342C2DA" w14:textId="258A1AF3" w:rsidR="00B851A8" w:rsidRPr="00C15547" w:rsidRDefault="00B851A8" w:rsidP="008252D9">
            <w:pPr>
              <w:tabs>
                <w:tab w:val="left" w:pos="3260"/>
              </w:tabs>
              <w:spacing w:after="120"/>
              <w:ind w:left="3260" w:right="1134" w:hanging="2126"/>
              <w:jc w:val="both"/>
            </w:pPr>
            <w:r w:rsidRPr="009B364F">
              <w:rPr>
                <w:rFonts w:asciiTheme="majorBidi" w:hAnsiTheme="majorBidi" w:cstheme="majorBidi"/>
                <w:b/>
                <w:bCs/>
                <w:lang w:val="fr-FR"/>
              </w:rPr>
              <w:t>Mesure à prendre</w:t>
            </w:r>
            <w:r>
              <w:rPr>
                <w:rFonts w:asciiTheme="majorBidi" w:hAnsiTheme="majorBidi" w:cstheme="majorBidi"/>
                <w:b/>
                <w:bCs/>
                <w:lang w:val="fr-FR"/>
              </w:rPr>
              <w:t> :</w:t>
            </w:r>
            <w:r w:rsidRPr="009B364F">
              <w:rPr>
                <w:rFonts w:asciiTheme="majorBidi" w:hAnsiTheme="majorBidi" w:cstheme="majorBidi"/>
                <w:lang w:val="fr-FR"/>
              </w:rPr>
              <w:tab/>
              <w:t>Échange de vues informel sur les numéros ONU pour ces nouveaux produits, en vue d</w:t>
            </w:r>
            <w:r>
              <w:rPr>
                <w:rFonts w:asciiTheme="majorBidi" w:hAnsiTheme="majorBidi" w:cstheme="majorBidi"/>
                <w:lang w:val="fr-FR"/>
              </w:rPr>
              <w:t>’</w:t>
            </w:r>
            <w:r w:rsidRPr="009B364F">
              <w:rPr>
                <w:rFonts w:asciiTheme="majorBidi" w:hAnsiTheme="majorBidi" w:cstheme="majorBidi"/>
                <w:lang w:val="fr-FR"/>
              </w:rPr>
              <w:t xml:space="preserve">élaborer une proposition </w:t>
            </w:r>
            <w:r>
              <w:rPr>
                <w:rFonts w:asciiTheme="majorBidi" w:hAnsiTheme="majorBidi" w:cstheme="majorBidi"/>
                <w:lang w:val="fr-FR"/>
              </w:rPr>
              <w:t xml:space="preserve">officielle </w:t>
            </w:r>
            <w:r w:rsidRPr="009B364F">
              <w:rPr>
                <w:rFonts w:asciiTheme="majorBidi" w:hAnsiTheme="majorBidi" w:cstheme="majorBidi"/>
                <w:lang w:val="fr-FR"/>
              </w:rPr>
              <w:t xml:space="preserve">détaillée </w:t>
            </w:r>
            <w:r>
              <w:rPr>
                <w:rFonts w:asciiTheme="majorBidi" w:hAnsiTheme="majorBidi" w:cstheme="majorBidi"/>
                <w:lang w:val="fr-FR"/>
              </w:rPr>
              <w:t xml:space="preserve">pour </w:t>
            </w:r>
            <w:r w:rsidRPr="009B364F">
              <w:rPr>
                <w:rFonts w:asciiTheme="majorBidi" w:hAnsiTheme="majorBidi" w:cstheme="majorBidi"/>
                <w:lang w:val="fr-FR"/>
              </w:rPr>
              <w:t>la prochaine session</w:t>
            </w:r>
            <w:r w:rsidR="004D2825" w:rsidRPr="004D2825">
              <w:rPr>
                <w:rFonts w:asciiTheme="majorBidi" w:hAnsiTheme="majorBidi" w:cstheme="majorBidi"/>
                <w:lang w:val="fr-FR"/>
              </w:rPr>
              <w:t>.</w:t>
            </w:r>
          </w:p>
        </w:tc>
      </w:tr>
      <w:tr w:rsidR="00B851A8" w:rsidRPr="00C15547" w14:paraId="4B3120B5" w14:textId="77777777" w:rsidTr="008252D9">
        <w:trPr>
          <w:jc w:val="center"/>
        </w:trPr>
        <w:tc>
          <w:tcPr>
            <w:tcW w:w="9637" w:type="dxa"/>
            <w:shd w:val="clear" w:color="auto" w:fill="auto"/>
          </w:tcPr>
          <w:p w14:paraId="37D39613" w14:textId="1B658B7C" w:rsidR="00B851A8" w:rsidRPr="00C15547" w:rsidRDefault="00B851A8" w:rsidP="008252D9">
            <w:pPr>
              <w:pStyle w:val="SingleTxtG"/>
            </w:pPr>
            <w:r w:rsidRPr="009B364F">
              <w:rPr>
                <w:rFonts w:asciiTheme="majorBidi" w:hAnsiTheme="majorBidi" w:cstheme="majorBidi"/>
                <w:b/>
                <w:bCs/>
                <w:lang w:val="fr-FR"/>
              </w:rPr>
              <w:t>Documents connexes</w:t>
            </w:r>
            <w:r>
              <w:rPr>
                <w:rFonts w:asciiTheme="majorBidi" w:hAnsiTheme="majorBidi" w:cstheme="majorBidi"/>
                <w:b/>
                <w:bCs/>
                <w:lang w:val="fr-FR"/>
              </w:rPr>
              <w:t> </w:t>
            </w:r>
            <w:r w:rsidRPr="009B364F">
              <w:rPr>
                <w:rFonts w:asciiTheme="majorBidi" w:hAnsiTheme="majorBidi" w:cstheme="majorBidi"/>
                <w:b/>
                <w:bCs/>
                <w:lang w:val="fr-FR"/>
              </w:rPr>
              <w:t>:</w:t>
            </w:r>
            <w:r w:rsidRPr="009B364F">
              <w:rPr>
                <w:rFonts w:asciiTheme="majorBidi" w:hAnsiTheme="majorBidi" w:cstheme="majorBidi"/>
                <w:lang w:val="fr-FR"/>
              </w:rPr>
              <w:tab/>
              <w:t>Aucun</w:t>
            </w:r>
            <w:r w:rsidR="004D2825" w:rsidRPr="004D2825">
              <w:rPr>
                <w:rFonts w:asciiTheme="majorBidi" w:hAnsiTheme="majorBidi" w:cstheme="majorBidi"/>
                <w:lang w:val="fr-FR"/>
              </w:rPr>
              <w:t>.</w:t>
            </w:r>
          </w:p>
        </w:tc>
      </w:tr>
      <w:tr w:rsidR="00B851A8" w:rsidRPr="00C15547" w14:paraId="15559374" w14:textId="77777777" w:rsidTr="008252D9">
        <w:trPr>
          <w:jc w:val="center"/>
        </w:trPr>
        <w:tc>
          <w:tcPr>
            <w:tcW w:w="9637" w:type="dxa"/>
            <w:shd w:val="clear" w:color="auto" w:fill="auto"/>
          </w:tcPr>
          <w:p w14:paraId="36C0965F" w14:textId="77777777" w:rsidR="00B851A8" w:rsidRPr="00C15547" w:rsidRDefault="00B851A8" w:rsidP="008252D9"/>
        </w:tc>
      </w:tr>
    </w:tbl>
    <w:p w14:paraId="0F0693EC" w14:textId="4CE2AAAF" w:rsidR="00B851A8" w:rsidRPr="00C15547" w:rsidRDefault="00B851A8" w:rsidP="00B851A8">
      <w:pPr>
        <w:pStyle w:val="HChG"/>
      </w:pPr>
      <w:r w:rsidRPr="00D96C05">
        <w:rPr>
          <w:lang w:val="fr-FR"/>
        </w:rPr>
        <w:lastRenderedPageBreak/>
        <w:tab/>
      </w:r>
      <w:r w:rsidRPr="00C15547">
        <w:rPr>
          <w:lang w:val="fr-FR"/>
        </w:rPr>
        <w:t>I</w:t>
      </w:r>
      <w:r w:rsidR="004D2825" w:rsidRPr="004D2825">
        <w:rPr>
          <w:lang w:val="fr-FR"/>
        </w:rPr>
        <w:t>.</w:t>
      </w:r>
      <w:r w:rsidRPr="00C15547">
        <w:rPr>
          <w:lang w:val="fr-FR"/>
        </w:rPr>
        <w:tab/>
        <w:t>Cadre général</w:t>
      </w:r>
    </w:p>
    <w:p w14:paraId="0A6582DB" w14:textId="37F33916" w:rsidR="00B851A8" w:rsidRPr="009B364F" w:rsidRDefault="00B851A8" w:rsidP="00B851A8">
      <w:pPr>
        <w:pStyle w:val="SingleTxtG"/>
        <w:rPr>
          <w:lang w:val="fr-FR"/>
        </w:rPr>
      </w:pPr>
      <w:r w:rsidRPr="009B364F">
        <w:rPr>
          <w:lang w:val="fr-FR"/>
        </w:rPr>
        <w:t>1</w:t>
      </w:r>
      <w:r w:rsidR="004D2825" w:rsidRPr="004D2825">
        <w:rPr>
          <w:lang w:val="fr-FR"/>
        </w:rPr>
        <w:t>.</w:t>
      </w:r>
      <w:r w:rsidRPr="009B364F">
        <w:rPr>
          <w:lang w:val="fr-FR"/>
        </w:rPr>
        <w:tab/>
        <w:t>Le gaz de pétrole liquéfié (GPL) est un combustible commercial depuis un peu plus d</w:t>
      </w:r>
      <w:r>
        <w:rPr>
          <w:lang w:val="fr-FR"/>
        </w:rPr>
        <w:t>’</w:t>
      </w:r>
      <w:r w:rsidRPr="009B364F">
        <w:rPr>
          <w:lang w:val="fr-FR"/>
        </w:rPr>
        <w:t>un siècle</w:t>
      </w:r>
      <w:r w:rsidR="004D2825" w:rsidRPr="004D2825">
        <w:rPr>
          <w:lang w:val="fr-FR"/>
        </w:rPr>
        <w:t>.</w:t>
      </w:r>
      <w:r w:rsidRPr="009B364F">
        <w:rPr>
          <w:lang w:val="fr-FR"/>
        </w:rPr>
        <w:t xml:space="preserve"> Il s</w:t>
      </w:r>
      <w:r>
        <w:rPr>
          <w:lang w:val="fr-FR"/>
        </w:rPr>
        <w:t>’</w:t>
      </w:r>
      <w:r w:rsidRPr="009B364F">
        <w:rPr>
          <w:lang w:val="fr-FR"/>
        </w:rPr>
        <w:t>agit principalement de propane et de butane, fournis jusqu</w:t>
      </w:r>
      <w:r>
        <w:rPr>
          <w:lang w:val="fr-FR"/>
        </w:rPr>
        <w:t>’</w:t>
      </w:r>
      <w:r w:rsidRPr="009B364F">
        <w:rPr>
          <w:lang w:val="fr-FR"/>
        </w:rPr>
        <w:t>à il y a quelques années uniquement par l</w:t>
      </w:r>
      <w:r>
        <w:rPr>
          <w:lang w:val="fr-FR"/>
        </w:rPr>
        <w:t>’</w:t>
      </w:r>
      <w:r w:rsidRPr="009B364F">
        <w:rPr>
          <w:lang w:val="fr-FR"/>
        </w:rPr>
        <w:t>intermédiaire</w:t>
      </w:r>
      <w:r w:rsidR="00263FD9">
        <w:t> </w:t>
      </w:r>
      <w:r w:rsidRPr="009B364F">
        <w:rPr>
          <w:lang w:val="fr-FR"/>
        </w:rPr>
        <w:t>:</w:t>
      </w:r>
    </w:p>
    <w:p w14:paraId="7359AEEC" w14:textId="326BB154" w:rsidR="00B851A8" w:rsidRPr="009B364F" w:rsidRDefault="00B851A8" w:rsidP="00B851A8">
      <w:pPr>
        <w:pStyle w:val="SingleTxtG"/>
        <w:ind w:left="1701"/>
      </w:pPr>
      <w:r w:rsidRPr="009B364F">
        <w:rPr>
          <w:b/>
          <w:bCs/>
          <w:lang w:val="fr-FR"/>
        </w:rPr>
        <w:t>a)</w:t>
      </w:r>
      <w:r w:rsidRPr="009B364F">
        <w:rPr>
          <w:lang w:val="fr-FR"/>
        </w:rPr>
        <w:tab/>
      </w:r>
      <w:r w:rsidR="00263FD9">
        <w:rPr>
          <w:b/>
          <w:bCs/>
          <w:lang w:val="fr-FR"/>
        </w:rPr>
        <w:t>D</w:t>
      </w:r>
      <w:r w:rsidRPr="009B364F">
        <w:rPr>
          <w:b/>
          <w:bCs/>
          <w:lang w:val="fr-FR"/>
        </w:rPr>
        <w:t>u raffinage du pétrole</w:t>
      </w:r>
      <w:r w:rsidRPr="009B364F">
        <w:rPr>
          <w:lang w:val="fr-FR"/>
        </w:rPr>
        <w:t xml:space="preserve"> (couvert par les définitions et les numéros ONU existants), qui satisfait actuellement 30 à 40 % de la demande mondiale et qui est en baisse</w:t>
      </w:r>
      <w:r>
        <w:rPr>
          <w:lang w:val="fr-FR"/>
        </w:rPr>
        <w:t> ;</w:t>
      </w:r>
    </w:p>
    <w:p w14:paraId="529889BF" w14:textId="61052340" w:rsidR="00B851A8" w:rsidRPr="009B364F" w:rsidRDefault="00B851A8" w:rsidP="00B851A8">
      <w:pPr>
        <w:pStyle w:val="SingleTxtG"/>
        <w:ind w:left="1701"/>
      </w:pPr>
      <w:r w:rsidRPr="009B364F">
        <w:rPr>
          <w:b/>
          <w:bCs/>
          <w:lang w:val="fr-FR"/>
        </w:rPr>
        <w:t>b)</w:t>
      </w:r>
      <w:r w:rsidRPr="009B364F">
        <w:rPr>
          <w:lang w:val="fr-FR"/>
        </w:rPr>
        <w:tab/>
      </w:r>
      <w:r w:rsidR="00263FD9">
        <w:rPr>
          <w:b/>
          <w:bCs/>
          <w:lang w:val="fr-FR"/>
        </w:rPr>
        <w:t>D</w:t>
      </w:r>
      <w:r w:rsidRPr="009B364F">
        <w:rPr>
          <w:b/>
          <w:bCs/>
          <w:lang w:val="fr-FR"/>
        </w:rPr>
        <w:t xml:space="preserve">u traitement du gaz </w:t>
      </w:r>
      <w:proofErr w:type="gramStart"/>
      <w:r w:rsidRPr="009B364F">
        <w:rPr>
          <w:b/>
          <w:bCs/>
          <w:lang w:val="fr-FR"/>
        </w:rPr>
        <w:t xml:space="preserve">naturel </w:t>
      </w:r>
      <w:r w:rsidRPr="009B364F">
        <w:rPr>
          <w:lang w:val="fr-FR"/>
        </w:rPr>
        <w:t xml:space="preserve"> (</w:t>
      </w:r>
      <w:proofErr w:type="gramEnd"/>
      <w:r w:rsidRPr="009B364F">
        <w:rPr>
          <w:lang w:val="fr-FR"/>
        </w:rPr>
        <w:t xml:space="preserve">non couvert par un numéro ONU existant, </w:t>
      </w:r>
      <w:r>
        <w:rPr>
          <w:lang w:val="fr-FR"/>
        </w:rPr>
        <w:t xml:space="preserve">les références concernant seulement le </w:t>
      </w:r>
      <w:r w:rsidRPr="009B364F">
        <w:rPr>
          <w:lang w:val="fr-FR"/>
        </w:rPr>
        <w:t>« pétrole »), qui répond actuellement à 60</w:t>
      </w:r>
      <w:r>
        <w:rPr>
          <w:lang w:val="fr-FR"/>
        </w:rPr>
        <w:t xml:space="preserve"> à </w:t>
      </w:r>
      <w:r w:rsidRPr="009B364F">
        <w:rPr>
          <w:lang w:val="fr-FR"/>
        </w:rPr>
        <w:t>70 % de la demande mondiale</w:t>
      </w:r>
      <w:r w:rsidR="004D2825" w:rsidRPr="004D2825">
        <w:rPr>
          <w:lang w:val="fr-FR"/>
        </w:rPr>
        <w:t>.</w:t>
      </w:r>
      <w:r w:rsidRPr="009B364F">
        <w:rPr>
          <w:lang w:val="fr-FR"/>
        </w:rPr>
        <w:t xml:space="preserve"> Cependant, l</w:t>
      </w:r>
      <w:r>
        <w:rPr>
          <w:lang w:val="fr-FR"/>
        </w:rPr>
        <w:t>’</w:t>
      </w:r>
      <w:r w:rsidRPr="009B364F">
        <w:rPr>
          <w:lang w:val="fr-FR"/>
        </w:rPr>
        <w:t xml:space="preserve">industrie du GPL applique le même numéro ONU (No ONU 1075) que </w:t>
      </w:r>
      <w:r>
        <w:rPr>
          <w:lang w:val="fr-FR"/>
        </w:rPr>
        <w:t xml:space="preserve">pour les </w:t>
      </w:r>
      <w:r w:rsidRPr="009B364F">
        <w:rPr>
          <w:lang w:val="fr-FR"/>
        </w:rPr>
        <w:t>produits d</w:t>
      </w:r>
      <w:r>
        <w:rPr>
          <w:lang w:val="fr-FR"/>
        </w:rPr>
        <w:t>’</w:t>
      </w:r>
      <w:r w:rsidRPr="009B364F">
        <w:rPr>
          <w:lang w:val="fr-FR"/>
        </w:rPr>
        <w:t>origine « pétrolière »</w:t>
      </w:r>
      <w:r w:rsidR="004D2825" w:rsidRPr="004D2825">
        <w:rPr>
          <w:lang w:val="fr-FR"/>
        </w:rPr>
        <w:t>.</w:t>
      </w:r>
    </w:p>
    <w:p w14:paraId="40E94186" w14:textId="05EDFDEA" w:rsidR="00B851A8" w:rsidRPr="009B364F" w:rsidRDefault="00B851A8" w:rsidP="00B851A8">
      <w:pPr>
        <w:pStyle w:val="SingleTxtG"/>
      </w:pPr>
      <w:r w:rsidRPr="009B364F">
        <w:rPr>
          <w:lang w:val="fr-FR"/>
        </w:rPr>
        <w:t>2</w:t>
      </w:r>
      <w:r w:rsidR="004D2825" w:rsidRPr="004D2825">
        <w:rPr>
          <w:lang w:val="fr-FR"/>
        </w:rPr>
        <w:t>.</w:t>
      </w:r>
      <w:r w:rsidRPr="009B364F">
        <w:rPr>
          <w:lang w:val="fr-FR"/>
        </w:rPr>
        <w:tab/>
        <w:t>Aujourd</w:t>
      </w:r>
      <w:r>
        <w:rPr>
          <w:lang w:val="fr-FR"/>
        </w:rPr>
        <w:t>’</w:t>
      </w:r>
      <w:r w:rsidRPr="009B364F">
        <w:rPr>
          <w:lang w:val="fr-FR"/>
        </w:rPr>
        <w:t xml:space="preserve">hui, dans le contexte de la transition énergétique et en vue de la </w:t>
      </w:r>
      <w:proofErr w:type="spellStart"/>
      <w:r w:rsidRPr="009B364F">
        <w:rPr>
          <w:lang w:val="fr-FR"/>
        </w:rPr>
        <w:t>défossilisation</w:t>
      </w:r>
      <w:proofErr w:type="spellEnd"/>
      <w:r w:rsidRPr="009B364F">
        <w:rPr>
          <w:lang w:val="fr-FR"/>
        </w:rPr>
        <w:t>, de la décarbonisation et de la réduction de l</w:t>
      </w:r>
      <w:r>
        <w:rPr>
          <w:lang w:val="fr-FR"/>
        </w:rPr>
        <w:t>’</w:t>
      </w:r>
      <w:r w:rsidRPr="009B364F">
        <w:rPr>
          <w:lang w:val="fr-FR"/>
        </w:rPr>
        <w:t>empreinte carbone globale, l</w:t>
      </w:r>
      <w:r>
        <w:rPr>
          <w:lang w:val="fr-FR"/>
        </w:rPr>
        <w:t>’</w:t>
      </w:r>
      <w:r w:rsidRPr="009B364F">
        <w:rPr>
          <w:lang w:val="fr-FR"/>
        </w:rPr>
        <w:t>industrie du GPL se transforme en incluant dans sa gamme de produits</w:t>
      </w:r>
      <w:r>
        <w:rPr>
          <w:lang w:val="fr-FR"/>
        </w:rPr>
        <w:t>,</w:t>
      </w:r>
      <w:r w:rsidRPr="009B364F">
        <w:rPr>
          <w:lang w:val="fr-FR"/>
        </w:rPr>
        <w:t xml:space="preserve"> </w:t>
      </w:r>
      <w:r>
        <w:rPr>
          <w:lang w:val="fr-FR"/>
        </w:rPr>
        <w:t xml:space="preserve">outre </w:t>
      </w:r>
      <w:r w:rsidRPr="009B364F">
        <w:rPr>
          <w:lang w:val="fr-FR"/>
        </w:rPr>
        <w:t>les mêmes produits propane C</w:t>
      </w:r>
      <w:r w:rsidRPr="00C15547">
        <w:rPr>
          <w:vertAlign w:val="subscript"/>
          <w:lang w:val="fr-FR"/>
        </w:rPr>
        <w:t>3</w:t>
      </w:r>
      <w:r w:rsidRPr="009B364F">
        <w:rPr>
          <w:lang w:val="fr-FR"/>
        </w:rPr>
        <w:t>H</w:t>
      </w:r>
      <w:r w:rsidRPr="00C15547">
        <w:rPr>
          <w:vertAlign w:val="subscript"/>
          <w:lang w:val="fr-FR"/>
        </w:rPr>
        <w:t>8</w:t>
      </w:r>
      <w:r w:rsidRPr="009B364F">
        <w:rPr>
          <w:lang w:val="fr-FR"/>
        </w:rPr>
        <w:t xml:space="preserve"> et butane C</w:t>
      </w:r>
      <w:r w:rsidRPr="00C15547">
        <w:rPr>
          <w:vertAlign w:val="subscript"/>
          <w:lang w:val="fr-FR"/>
        </w:rPr>
        <w:t>4</w:t>
      </w:r>
      <w:r w:rsidRPr="009B364F">
        <w:rPr>
          <w:lang w:val="fr-FR"/>
        </w:rPr>
        <w:t>H</w:t>
      </w:r>
      <w:r w:rsidRPr="00C15547">
        <w:rPr>
          <w:vertAlign w:val="subscript"/>
          <w:lang w:val="fr-FR"/>
        </w:rPr>
        <w:t>10</w:t>
      </w:r>
      <w:r w:rsidRPr="009B364F">
        <w:rPr>
          <w:lang w:val="fr-FR"/>
        </w:rPr>
        <w:t>, ceux d</w:t>
      </w:r>
      <w:r>
        <w:rPr>
          <w:lang w:val="fr-FR"/>
        </w:rPr>
        <w:t>’</w:t>
      </w:r>
      <w:r w:rsidRPr="009B364F">
        <w:rPr>
          <w:lang w:val="fr-FR"/>
        </w:rPr>
        <w:t>origine biologique</w:t>
      </w:r>
      <w:r>
        <w:rPr>
          <w:lang w:val="fr-FR"/>
        </w:rPr>
        <w:t xml:space="preserve">, </w:t>
      </w:r>
      <w:r w:rsidRPr="009B364F">
        <w:rPr>
          <w:lang w:val="fr-FR"/>
        </w:rPr>
        <w:t>renouvelable</w:t>
      </w:r>
      <w:r>
        <w:rPr>
          <w:lang w:val="fr-FR"/>
        </w:rPr>
        <w:t xml:space="preserve"> ou </w:t>
      </w:r>
      <w:r w:rsidRPr="009B364F">
        <w:rPr>
          <w:lang w:val="fr-FR"/>
        </w:rPr>
        <w:t>recyclée, et en s</w:t>
      </w:r>
      <w:r>
        <w:rPr>
          <w:lang w:val="fr-FR"/>
        </w:rPr>
        <w:t>’</w:t>
      </w:r>
      <w:r w:rsidRPr="009B364F">
        <w:rPr>
          <w:lang w:val="fr-FR"/>
        </w:rPr>
        <w:t>éloignant progressivement des produits issus à la fois du raffinage du pétrole et de l</w:t>
      </w:r>
      <w:r>
        <w:rPr>
          <w:lang w:val="fr-FR"/>
        </w:rPr>
        <w:t>’</w:t>
      </w:r>
      <w:r w:rsidRPr="009B364F">
        <w:rPr>
          <w:lang w:val="fr-FR"/>
        </w:rPr>
        <w:t>extraction du gaz naturel</w:t>
      </w:r>
      <w:r w:rsidR="004D2825" w:rsidRPr="004D2825">
        <w:rPr>
          <w:lang w:val="fr-FR"/>
        </w:rPr>
        <w:t>.</w:t>
      </w:r>
      <w:r w:rsidRPr="009B364F">
        <w:rPr>
          <w:lang w:val="fr-FR"/>
        </w:rPr>
        <w:t xml:space="preserve"> </w:t>
      </w:r>
      <w:r>
        <w:rPr>
          <w:lang w:val="fr-FR"/>
        </w:rPr>
        <w:t>Ainsi, c</w:t>
      </w:r>
      <w:r w:rsidRPr="009B364F">
        <w:rPr>
          <w:lang w:val="fr-FR"/>
        </w:rPr>
        <w:t>es deux sources actuelles sont en train d</w:t>
      </w:r>
      <w:r>
        <w:rPr>
          <w:lang w:val="fr-FR"/>
        </w:rPr>
        <w:t>’</w:t>
      </w:r>
      <w:r w:rsidRPr="009B364F">
        <w:rPr>
          <w:lang w:val="fr-FR"/>
        </w:rPr>
        <w:t>être remplacées par des sources non fossiles et bio</w:t>
      </w:r>
      <w:r>
        <w:rPr>
          <w:lang w:val="fr-FR"/>
        </w:rPr>
        <w:t xml:space="preserve">logiques ou </w:t>
      </w:r>
      <w:r w:rsidRPr="009B364F">
        <w:rPr>
          <w:lang w:val="fr-FR"/>
        </w:rPr>
        <w:t>renouvelables</w:t>
      </w:r>
      <w:r w:rsidR="004D2825" w:rsidRPr="004D2825">
        <w:rPr>
          <w:lang w:val="fr-FR"/>
        </w:rPr>
        <w:t>.</w:t>
      </w:r>
    </w:p>
    <w:p w14:paraId="4F83830D" w14:textId="3FA9317E" w:rsidR="00B851A8" w:rsidRPr="009B364F" w:rsidRDefault="00B851A8" w:rsidP="00B851A8">
      <w:pPr>
        <w:pStyle w:val="SingleTxtG"/>
      </w:pPr>
      <w:r w:rsidRPr="009B364F">
        <w:rPr>
          <w:lang w:val="fr-FR"/>
        </w:rPr>
        <w:t>3</w:t>
      </w:r>
      <w:r w:rsidR="004D2825" w:rsidRPr="004D2825">
        <w:rPr>
          <w:lang w:val="fr-FR"/>
        </w:rPr>
        <w:t>.</w:t>
      </w:r>
      <w:r w:rsidRPr="009B364F">
        <w:rPr>
          <w:lang w:val="fr-FR"/>
        </w:rPr>
        <w:tab/>
        <w:t>En outre, l</w:t>
      </w:r>
      <w:r>
        <w:rPr>
          <w:lang w:val="fr-FR"/>
        </w:rPr>
        <w:t>’</w:t>
      </w:r>
      <w:r w:rsidRPr="009B364F">
        <w:rPr>
          <w:lang w:val="fr-FR"/>
        </w:rPr>
        <w:t>industrie du GPL a commencé récemment (aux États-Unis) à inclure dans ses offres d</w:t>
      </w:r>
      <w:r>
        <w:rPr>
          <w:lang w:val="fr-FR"/>
        </w:rPr>
        <w:t>’</w:t>
      </w:r>
      <w:r w:rsidRPr="009B364F">
        <w:rPr>
          <w:lang w:val="fr-FR"/>
        </w:rPr>
        <w:t>autres produits et mélanges d</w:t>
      </w:r>
      <w:r>
        <w:rPr>
          <w:lang w:val="fr-FR"/>
        </w:rPr>
        <w:t>’</w:t>
      </w:r>
      <w:r w:rsidRPr="009B364F">
        <w:rPr>
          <w:lang w:val="fr-FR"/>
        </w:rPr>
        <w:t>origine biologique</w:t>
      </w:r>
      <w:r>
        <w:rPr>
          <w:lang w:val="fr-FR"/>
        </w:rPr>
        <w:t xml:space="preserve">, </w:t>
      </w:r>
      <w:r w:rsidRPr="009B364F">
        <w:rPr>
          <w:lang w:val="fr-FR"/>
        </w:rPr>
        <w:t>renouvelable</w:t>
      </w:r>
      <w:r>
        <w:rPr>
          <w:lang w:val="fr-FR"/>
        </w:rPr>
        <w:t xml:space="preserve"> ou </w:t>
      </w:r>
      <w:r w:rsidRPr="009B364F">
        <w:rPr>
          <w:lang w:val="fr-FR"/>
        </w:rPr>
        <w:t>recyclée à faible empreinte carbone</w:t>
      </w:r>
      <w:r w:rsidR="004D2825" w:rsidRPr="004D2825">
        <w:rPr>
          <w:lang w:val="fr-FR"/>
        </w:rPr>
        <w:t>.</w:t>
      </w:r>
      <w:r w:rsidRPr="009B364F">
        <w:rPr>
          <w:lang w:val="fr-FR"/>
        </w:rPr>
        <w:t xml:space="preserve"> </w:t>
      </w:r>
      <w:r>
        <w:rPr>
          <w:lang w:val="fr-FR"/>
        </w:rPr>
        <w:t xml:space="preserve">Par </w:t>
      </w:r>
      <w:r w:rsidRPr="009B364F">
        <w:rPr>
          <w:lang w:val="fr-FR"/>
        </w:rPr>
        <w:t>exemple</w:t>
      </w:r>
      <w:r>
        <w:rPr>
          <w:lang w:val="fr-FR"/>
        </w:rPr>
        <w:t>,</w:t>
      </w:r>
      <w:r w:rsidRPr="009B364F">
        <w:rPr>
          <w:lang w:val="fr-FR"/>
        </w:rPr>
        <w:t xml:space="preserve"> </w:t>
      </w:r>
      <w:r>
        <w:rPr>
          <w:lang w:val="fr-FR"/>
        </w:rPr>
        <w:t xml:space="preserve">elle propose </w:t>
      </w:r>
      <w:r w:rsidRPr="009B364F">
        <w:rPr>
          <w:lang w:val="fr-FR"/>
        </w:rPr>
        <w:t>du DME (</w:t>
      </w:r>
      <w:proofErr w:type="spellStart"/>
      <w:r w:rsidRPr="009B364F">
        <w:rPr>
          <w:lang w:val="fr-FR"/>
        </w:rPr>
        <w:t>diméthyléther</w:t>
      </w:r>
      <w:proofErr w:type="spellEnd"/>
      <w:r w:rsidRPr="009B364F">
        <w:rPr>
          <w:lang w:val="fr-FR"/>
        </w:rPr>
        <w:t>) renouvelable en tant que composant de mélange ou en tant que combustible autonome</w:t>
      </w:r>
      <w:r w:rsidR="004D2825" w:rsidRPr="004D2825">
        <w:rPr>
          <w:lang w:val="fr-FR"/>
        </w:rPr>
        <w:t>.</w:t>
      </w:r>
      <w:r w:rsidRPr="009B364F">
        <w:rPr>
          <w:lang w:val="fr-FR"/>
        </w:rPr>
        <w:t xml:space="preserve"> Le DME est une molécule aux propriétés physiques similaires à celles du GPL, qui peut provenir de sources fossiles, non fossiles et renouvelables ou recyclées</w:t>
      </w:r>
      <w:r w:rsidR="004D2825" w:rsidRPr="004D2825">
        <w:rPr>
          <w:lang w:val="fr-FR"/>
        </w:rPr>
        <w:t>.</w:t>
      </w:r>
      <w:r w:rsidRPr="009B364F">
        <w:rPr>
          <w:lang w:val="fr-FR"/>
        </w:rPr>
        <w:t xml:space="preserve"> Le DME renouvelable est un gaz liquide complémentaire qui peut être produit à partir de plusieurs matières de base renouvelables</w:t>
      </w:r>
      <w:r>
        <w:rPr>
          <w:lang w:val="fr-FR"/>
        </w:rPr>
        <w:t xml:space="preserve"> ou </w:t>
      </w:r>
      <w:r w:rsidRPr="009B364F">
        <w:rPr>
          <w:lang w:val="fr-FR"/>
        </w:rPr>
        <w:t>recyclées</w:t>
      </w:r>
      <w:r w:rsidR="004D2825" w:rsidRPr="004D2825">
        <w:rPr>
          <w:lang w:val="fr-FR"/>
        </w:rPr>
        <w:t>.</w:t>
      </w:r>
      <w:r w:rsidRPr="009B364F">
        <w:rPr>
          <w:lang w:val="fr-FR"/>
        </w:rPr>
        <w:t xml:space="preserve"> Étant donné qu</w:t>
      </w:r>
      <w:r>
        <w:rPr>
          <w:lang w:val="fr-FR"/>
        </w:rPr>
        <w:t>’</w:t>
      </w:r>
      <w:r w:rsidRPr="009B364F">
        <w:rPr>
          <w:lang w:val="fr-FR"/>
        </w:rPr>
        <w:t>il s</w:t>
      </w:r>
      <w:r>
        <w:rPr>
          <w:lang w:val="fr-FR"/>
        </w:rPr>
        <w:t>’</w:t>
      </w:r>
      <w:r w:rsidRPr="009B364F">
        <w:rPr>
          <w:lang w:val="fr-FR"/>
        </w:rPr>
        <w:t>agit d</w:t>
      </w:r>
      <w:r>
        <w:rPr>
          <w:lang w:val="fr-FR"/>
        </w:rPr>
        <w:t>’</w:t>
      </w:r>
      <w:r w:rsidRPr="009B364F">
        <w:rPr>
          <w:lang w:val="fr-FR"/>
        </w:rPr>
        <w:t>un combustible sûr et propre, il constitue un ajout viable et durable au bouquet énergétique</w:t>
      </w:r>
      <w:r w:rsidR="004D2825" w:rsidRPr="004D2825">
        <w:rPr>
          <w:lang w:val="fr-FR"/>
        </w:rPr>
        <w:t>.</w:t>
      </w:r>
      <w:r w:rsidRPr="009B364F">
        <w:rPr>
          <w:lang w:val="fr-FR"/>
        </w:rPr>
        <w:t xml:space="preserve"> Grâce à sa faible empreinte de gaz à effet de serre (« GES »), il peut réduire les émissions jusqu</w:t>
      </w:r>
      <w:r>
        <w:rPr>
          <w:lang w:val="fr-FR"/>
        </w:rPr>
        <w:t>’</w:t>
      </w:r>
      <w:r w:rsidRPr="009B364F">
        <w:rPr>
          <w:lang w:val="fr-FR"/>
        </w:rPr>
        <w:t>à 85</w:t>
      </w:r>
      <w:r>
        <w:rPr>
          <w:lang w:val="fr-FR"/>
        </w:rPr>
        <w:t xml:space="preserve"> </w:t>
      </w:r>
      <w:r w:rsidRPr="009B364F">
        <w:rPr>
          <w:lang w:val="fr-FR"/>
        </w:rPr>
        <w:t>% par rapport aux combustibles fossiles</w:t>
      </w:r>
      <w:r w:rsidR="004D2825" w:rsidRPr="004D2825">
        <w:rPr>
          <w:lang w:val="fr-FR"/>
        </w:rPr>
        <w:t>.</w:t>
      </w:r>
      <w:r w:rsidRPr="009B364F">
        <w:rPr>
          <w:lang w:val="fr-FR"/>
        </w:rPr>
        <w:t xml:space="preserve"> Sous forme pure ou mélangée, le DME renouvelable peut contribuer à la </w:t>
      </w:r>
      <w:proofErr w:type="spellStart"/>
      <w:r w:rsidRPr="009B364F">
        <w:rPr>
          <w:lang w:val="fr-FR"/>
        </w:rPr>
        <w:t>défossilisation</w:t>
      </w:r>
      <w:proofErr w:type="spellEnd"/>
      <w:r w:rsidRPr="009B364F">
        <w:rPr>
          <w:lang w:val="fr-FR"/>
        </w:rPr>
        <w:t xml:space="preserve"> de l</w:t>
      </w:r>
      <w:r>
        <w:rPr>
          <w:lang w:val="fr-FR"/>
        </w:rPr>
        <w:t>’</w:t>
      </w:r>
      <w:r w:rsidRPr="009B364F">
        <w:rPr>
          <w:lang w:val="fr-FR"/>
        </w:rPr>
        <w:t>industrie du GPL dans tous les types d</w:t>
      </w:r>
      <w:r>
        <w:rPr>
          <w:lang w:val="fr-FR"/>
        </w:rPr>
        <w:t>’</w:t>
      </w:r>
      <w:r w:rsidRPr="009B364F">
        <w:rPr>
          <w:lang w:val="fr-FR"/>
        </w:rPr>
        <w:t>applications</w:t>
      </w:r>
      <w:r w:rsidR="004D2825" w:rsidRPr="004D2825">
        <w:rPr>
          <w:lang w:val="fr-FR"/>
        </w:rPr>
        <w:t>.</w:t>
      </w:r>
      <w:r w:rsidRPr="009B364F">
        <w:rPr>
          <w:lang w:val="fr-FR"/>
        </w:rPr>
        <w:t xml:space="preserve"> </w:t>
      </w:r>
      <w:r>
        <w:rPr>
          <w:lang w:val="fr-FR"/>
        </w:rPr>
        <w:t>De plus, i</w:t>
      </w:r>
      <w:r w:rsidRPr="009B364F">
        <w:rPr>
          <w:lang w:val="fr-FR"/>
        </w:rPr>
        <w:t>l est hautement compatible avec l</w:t>
      </w:r>
      <w:r>
        <w:rPr>
          <w:lang w:val="fr-FR"/>
        </w:rPr>
        <w:t xml:space="preserve">es </w:t>
      </w:r>
      <w:r w:rsidRPr="009B364F">
        <w:rPr>
          <w:lang w:val="fr-FR"/>
        </w:rPr>
        <w:t>infrastructure</w:t>
      </w:r>
      <w:r>
        <w:rPr>
          <w:lang w:val="fr-FR"/>
        </w:rPr>
        <w:t>s</w:t>
      </w:r>
      <w:r w:rsidRPr="009B364F">
        <w:rPr>
          <w:lang w:val="fr-FR"/>
        </w:rPr>
        <w:t xml:space="preserve"> et l</w:t>
      </w:r>
      <w:r>
        <w:rPr>
          <w:lang w:val="fr-FR"/>
        </w:rPr>
        <w:t xml:space="preserve">es </w:t>
      </w:r>
      <w:r w:rsidRPr="009B364F">
        <w:rPr>
          <w:lang w:val="fr-FR"/>
        </w:rPr>
        <w:t>équipement</w:t>
      </w:r>
      <w:r>
        <w:rPr>
          <w:lang w:val="fr-FR"/>
        </w:rPr>
        <w:t>s</w:t>
      </w:r>
      <w:r w:rsidRPr="009B364F">
        <w:rPr>
          <w:lang w:val="fr-FR"/>
        </w:rPr>
        <w:t xml:space="preserve"> GPL existants</w:t>
      </w:r>
      <w:r w:rsidR="004D2825" w:rsidRPr="004D2825">
        <w:rPr>
          <w:lang w:val="fr-FR"/>
        </w:rPr>
        <w:t>.</w:t>
      </w:r>
    </w:p>
    <w:p w14:paraId="03476D9B" w14:textId="5BE2475E" w:rsidR="00B851A8" w:rsidRPr="009B364F" w:rsidRDefault="00B851A8" w:rsidP="00B851A8">
      <w:pPr>
        <w:pStyle w:val="SingleTxtG"/>
      </w:pPr>
      <w:r w:rsidRPr="009B364F">
        <w:rPr>
          <w:lang w:val="fr-FR"/>
        </w:rPr>
        <w:t>4</w:t>
      </w:r>
      <w:r w:rsidR="004D2825" w:rsidRPr="004D2825">
        <w:rPr>
          <w:lang w:val="fr-FR"/>
        </w:rPr>
        <w:t>.</w:t>
      </w:r>
      <w:r w:rsidRPr="009B364F">
        <w:rPr>
          <w:lang w:val="fr-FR"/>
        </w:rPr>
        <w:tab/>
        <w:t xml:space="preserve">Le DME (No ONU 1033) a le même code de </w:t>
      </w:r>
      <w:r>
        <w:rPr>
          <w:lang w:val="fr-FR"/>
        </w:rPr>
        <w:t xml:space="preserve">classement </w:t>
      </w:r>
      <w:r w:rsidRPr="009B364F">
        <w:rPr>
          <w:lang w:val="fr-FR"/>
        </w:rPr>
        <w:t>que le GPL (2F), la même étiquette (2</w:t>
      </w:r>
      <w:r w:rsidR="004D2825" w:rsidRPr="004D2825">
        <w:rPr>
          <w:lang w:val="fr-FR"/>
        </w:rPr>
        <w:t>.</w:t>
      </w:r>
      <w:r w:rsidRPr="009B364F">
        <w:rPr>
          <w:lang w:val="fr-FR"/>
        </w:rPr>
        <w:t xml:space="preserve">1) et </w:t>
      </w:r>
      <w:r>
        <w:rPr>
          <w:lang w:val="fr-FR"/>
        </w:rPr>
        <w:t xml:space="preserve">il </w:t>
      </w:r>
      <w:r w:rsidRPr="009B364F">
        <w:rPr>
          <w:lang w:val="fr-FR"/>
        </w:rPr>
        <w:t>présente des risques identiques</w:t>
      </w:r>
      <w:r>
        <w:rPr>
          <w:lang w:val="fr-FR"/>
        </w:rPr>
        <w:t> </w:t>
      </w:r>
      <w:r w:rsidRPr="009B364F">
        <w:rPr>
          <w:lang w:val="fr-FR"/>
        </w:rPr>
        <w:t>:</w:t>
      </w:r>
    </w:p>
    <w:p w14:paraId="66448BA7" w14:textId="1F2E51B9" w:rsidR="00B851A8" w:rsidRPr="00B851A8" w:rsidRDefault="00B851A8" w:rsidP="00B851A8">
      <w:pPr>
        <w:pStyle w:val="Bullet1G"/>
      </w:pPr>
      <w:r w:rsidRPr="009B364F">
        <w:rPr>
          <w:lang w:val="fr-FR"/>
        </w:rPr>
        <w:t>La pression de vapeur du DME se situe à peu près à mi-chemin entre celle</w:t>
      </w:r>
      <w:r>
        <w:rPr>
          <w:lang w:val="fr-FR"/>
        </w:rPr>
        <w:t>s</w:t>
      </w:r>
      <w:r w:rsidRPr="009B364F">
        <w:rPr>
          <w:lang w:val="fr-FR"/>
        </w:rPr>
        <w:t xml:space="preserve"> du butane et </w:t>
      </w:r>
      <w:r w:rsidRPr="00B851A8">
        <w:t>du propane, soit presque la même que celle d’un mélange 50/50 de butane et de propane</w:t>
      </w:r>
      <w:r w:rsidR="004D2825" w:rsidRPr="004D2825">
        <w:t>.</w:t>
      </w:r>
      <w:r w:rsidRPr="00B851A8">
        <w:t xml:space="preserve"> Il a pour effet de réduire la pression de vapeur des mélanges riches en propane et d’augmenter la pression de vapeur des mélanges riches en butane, mais seulement dans de faibles proportions lorsqu’il est ajouté à la masse maximale de XX</w:t>
      </w:r>
      <w:r>
        <w:t> </w:t>
      </w:r>
      <w:r w:rsidRPr="00B851A8">
        <w:t>%</w:t>
      </w:r>
      <w:r>
        <w:rPr>
          <w:rStyle w:val="FootnoteReference"/>
        </w:rPr>
        <w:footnoteReference w:id="3"/>
      </w:r>
      <w:r w:rsidRPr="00B851A8">
        <w:t xml:space="preserve"> fixée dans la présente proposition</w:t>
      </w:r>
      <w:r>
        <w:t> ;</w:t>
      </w:r>
    </w:p>
    <w:p w14:paraId="6EAE7649" w14:textId="177B840E" w:rsidR="00B851A8" w:rsidRPr="00B851A8" w:rsidRDefault="00B851A8" w:rsidP="00B851A8">
      <w:pPr>
        <w:pStyle w:val="Bullet1G"/>
      </w:pPr>
      <w:r w:rsidRPr="00B851A8">
        <w:t>Des calculs ont été effectués sur la capacité de débit requise pour les soupapes de sécurité (soupapes de décharge)</w:t>
      </w:r>
      <w:r w:rsidR="004D2825" w:rsidRPr="004D2825">
        <w:t>.</w:t>
      </w:r>
      <w:r w:rsidRPr="00B851A8">
        <w:t xml:space="preserve"> Ils montrent que si les soupapes de sécurité sont dimensionnées pour le GPL, elles ont </w:t>
      </w:r>
      <w:proofErr w:type="gramStart"/>
      <w:r w:rsidRPr="00B851A8">
        <w:t>également  une</w:t>
      </w:r>
      <w:proofErr w:type="gramEnd"/>
      <w:r w:rsidRPr="00B851A8">
        <w:t xml:space="preserve"> capacité de débit correcte pour les mélanges DME/GPL (et le DME non mélangé)</w:t>
      </w:r>
      <w:r>
        <w:t> ;</w:t>
      </w:r>
    </w:p>
    <w:p w14:paraId="35FCBF96" w14:textId="41808039" w:rsidR="00B851A8" w:rsidRPr="009B364F" w:rsidRDefault="00B851A8" w:rsidP="00B851A8">
      <w:pPr>
        <w:pStyle w:val="Bullet1G"/>
      </w:pPr>
      <w:r w:rsidRPr="00B851A8">
        <w:t>Les coefficients de</w:t>
      </w:r>
      <w:r w:rsidRPr="009B364F">
        <w:rPr>
          <w:lang w:val="fr-FR"/>
        </w:rPr>
        <w:t xml:space="preserve"> dilatation thermique du DME et du GPL sont presque les mêmes</w:t>
      </w:r>
      <w:r w:rsidR="004D2825" w:rsidRPr="004D2825">
        <w:rPr>
          <w:lang w:val="fr-FR"/>
        </w:rPr>
        <w:t>.</w:t>
      </w:r>
    </w:p>
    <w:p w14:paraId="3C4EBB14" w14:textId="109BCCFC" w:rsidR="00B851A8" w:rsidRPr="009B364F" w:rsidRDefault="00B851A8" w:rsidP="00B851A8">
      <w:pPr>
        <w:pStyle w:val="SingleTxtG"/>
      </w:pPr>
      <w:r w:rsidRPr="009B364F">
        <w:rPr>
          <w:lang w:val="fr-FR"/>
        </w:rPr>
        <w:lastRenderedPageBreak/>
        <w:t>5</w:t>
      </w:r>
      <w:r w:rsidR="004D2825" w:rsidRPr="004D2825">
        <w:rPr>
          <w:lang w:val="fr-FR"/>
        </w:rPr>
        <w:t>.</w:t>
      </w:r>
      <w:r w:rsidRPr="009B364F">
        <w:rPr>
          <w:lang w:val="fr-FR"/>
        </w:rPr>
        <w:tab/>
      </w:r>
      <w:r>
        <w:rPr>
          <w:lang w:val="fr-FR"/>
        </w:rPr>
        <w:t>De</w:t>
      </w:r>
      <w:r w:rsidRPr="009B364F">
        <w:rPr>
          <w:lang w:val="fr-FR"/>
        </w:rPr>
        <w:t xml:space="preserve"> nouvelles offres de produits </w:t>
      </w:r>
      <w:r>
        <w:rPr>
          <w:lang w:val="fr-FR"/>
        </w:rPr>
        <w:t>existent donc</w:t>
      </w:r>
      <w:r w:rsidR="004D2825" w:rsidRPr="004D2825">
        <w:rPr>
          <w:lang w:val="fr-FR"/>
        </w:rPr>
        <w:t>.</w:t>
      </w:r>
      <w:r w:rsidRPr="009B364F">
        <w:rPr>
          <w:lang w:val="fr-FR"/>
        </w:rPr>
        <w:t xml:space="preserve"> </w:t>
      </w:r>
      <w:r>
        <w:rPr>
          <w:lang w:val="fr-FR"/>
        </w:rPr>
        <w:t xml:space="preserve">Comme pour </w:t>
      </w:r>
      <w:r w:rsidRPr="009B364F">
        <w:rPr>
          <w:lang w:val="fr-FR"/>
        </w:rPr>
        <w:t xml:space="preserve">tout autre nouveau combustible commercial en général, </w:t>
      </w:r>
      <w:r>
        <w:rPr>
          <w:lang w:val="fr-FR"/>
        </w:rPr>
        <w:t xml:space="preserve">les produits </w:t>
      </w:r>
      <w:r w:rsidRPr="009B364F">
        <w:rPr>
          <w:lang w:val="fr-FR"/>
        </w:rPr>
        <w:t>doivent être affectés à un numéro ONU qui les prenne correctement en compte</w:t>
      </w:r>
      <w:r w:rsidR="004D2825" w:rsidRPr="004D2825">
        <w:rPr>
          <w:lang w:val="fr-FR"/>
        </w:rPr>
        <w:t>.</w:t>
      </w:r>
    </w:p>
    <w:p w14:paraId="336BC316" w14:textId="4193F578" w:rsidR="00B851A8" w:rsidRPr="009B364F" w:rsidRDefault="00B851A8" w:rsidP="00B851A8">
      <w:pPr>
        <w:pStyle w:val="SingleTxtG"/>
      </w:pPr>
      <w:r w:rsidRPr="009B364F">
        <w:rPr>
          <w:lang w:val="fr-FR"/>
        </w:rPr>
        <w:t>6</w:t>
      </w:r>
      <w:r w:rsidR="004D2825" w:rsidRPr="004D2825">
        <w:rPr>
          <w:lang w:val="fr-FR"/>
        </w:rPr>
        <w:t>.</w:t>
      </w:r>
      <w:r w:rsidRPr="009B364F">
        <w:rPr>
          <w:lang w:val="fr-FR"/>
        </w:rPr>
        <w:tab/>
        <w:t xml:space="preserve">Depuis plusieurs années, certains produits transportés ne correspondent pas tout à fait au numéro ONU utilisé, comme </w:t>
      </w:r>
      <w:r>
        <w:rPr>
          <w:lang w:val="fr-FR"/>
        </w:rPr>
        <w:t xml:space="preserve">dans </w:t>
      </w:r>
      <w:r w:rsidRPr="009B364F">
        <w:rPr>
          <w:lang w:val="fr-FR"/>
        </w:rPr>
        <w:t>l</w:t>
      </w:r>
      <w:r>
        <w:rPr>
          <w:lang w:val="fr-FR"/>
        </w:rPr>
        <w:t>’</w:t>
      </w:r>
      <w:r w:rsidRPr="009B364F">
        <w:rPr>
          <w:lang w:val="fr-FR"/>
        </w:rPr>
        <w:t>exemple ci-dessous, et il y en aura d</w:t>
      </w:r>
      <w:r>
        <w:rPr>
          <w:lang w:val="fr-FR"/>
        </w:rPr>
        <w:t>’</w:t>
      </w:r>
      <w:r w:rsidRPr="009B364F">
        <w:rPr>
          <w:lang w:val="fr-FR"/>
        </w:rPr>
        <w:t>autres à l</w:t>
      </w:r>
      <w:r>
        <w:rPr>
          <w:lang w:val="fr-FR"/>
        </w:rPr>
        <w:t>’</w:t>
      </w:r>
      <w:r w:rsidRPr="009B364F">
        <w:rPr>
          <w:lang w:val="fr-FR"/>
        </w:rPr>
        <w:t xml:space="preserve">avenir qui entreront dans </w:t>
      </w:r>
      <w:r>
        <w:rPr>
          <w:lang w:val="fr-FR"/>
        </w:rPr>
        <w:t xml:space="preserve">cette </w:t>
      </w:r>
      <w:r w:rsidRPr="009B364F">
        <w:rPr>
          <w:lang w:val="fr-FR"/>
        </w:rPr>
        <w:t>catégorie</w:t>
      </w:r>
      <w:r>
        <w:rPr>
          <w:lang w:val="fr-FR"/>
        </w:rPr>
        <w:t> </w:t>
      </w:r>
      <w:r w:rsidRPr="009B364F">
        <w:rPr>
          <w:lang w:val="fr-FR"/>
        </w:rPr>
        <w:t>:</w:t>
      </w:r>
    </w:p>
    <w:p w14:paraId="4827EE25" w14:textId="0AC20B9B" w:rsidR="00B851A8" w:rsidRPr="00B851A8" w:rsidRDefault="00B851A8" w:rsidP="00B851A8">
      <w:pPr>
        <w:pStyle w:val="Bullet1G"/>
      </w:pPr>
      <w:r w:rsidRPr="00B851A8">
        <w:t xml:space="preserve">Le </w:t>
      </w:r>
      <w:proofErr w:type="spellStart"/>
      <w:r w:rsidRPr="00B851A8">
        <w:t>bioGPL</w:t>
      </w:r>
      <w:proofErr w:type="spellEnd"/>
      <w:r w:rsidRPr="00B851A8">
        <w:t xml:space="preserve"> (GPL renouvelable issu de matières de base biologiques ou recyclées) disponible aujourd’hui sur de nombreux marchés européens est transporté dans certaines régions</w:t>
      </w:r>
      <w:r w:rsidR="00155219">
        <w:t xml:space="preserve"> </w:t>
      </w:r>
      <w:r w:rsidRPr="00B851A8">
        <w:t xml:space="preserve">sous le No ONU 1075, qui correspond aux gaz de pétrole liquéfiés ; or, bien que le </w:t>
      </w:r>
      <w:proofErr w:type="spellStart"/>
      <w:r w:rsidRPr="00B851A8">
        <w:t>bioGPL</w:t>
      </w:r>
      <w:proofErr w:type="spellEnd"/>
      <w:r w:rsidRPr="00B851A8">
        <w:t xml:space="preserve"> soit identique au GPL fossile, ce n’est pas un gaz de pétrole</w:t>
      </w:r>
      <w:r w:rsidR="004D2825" w:rsidRPr="004D2825">
        <w:t>.</w:t>
      </w:r>
      <w:r w:rsidRPr="00B851A8">
        <w:t xml:space="preserve"> Le </w:t>
      </w:r>
      <w:proofErr w:type="spellStart"/>
      <w:r w:rsidRPr="00B851A8">
        <w:t>bioGPL</w:t>
      </w:r>
      <w:proofErr w:type="spellEnd"/>
      <w:r w:rsidRPr="00B851A8">
        <w:t xml:space="preserve"> peut exister en tant que produit autonome ou en tant que mélange avec le GPL fossile</w:t>
      </w:r>
      <w:r>
        <w:t> ;</w:t>
      </w:r>
    </w:p>
    <w:p w14:paraId="3EE7E266" w14:textId="3298B993" w:rsidR="00B851A8" w:rsidRPr="009B364F" w:rsidRDefault="00B851A8" w:rsidP="00B851A8">
      <w:pPr>
        <w:pStyle w:val="Bullet1G"/>
      </w:pPr>
      <w:r w:rsidRPr="00B851A8">
        <w:t>Les mélanges</w:t>
      </w:r>
      <w:r w:rsidRPr="009B364F">
        <w:rPr>
          <w:lang w:val="fr-FR"/>
        </w:rPr>
        <w:t xml:space="preserve"> de GPL et de DME (commercialisés il y a de nombreuses années dans certains pays hors d</w:t>
      </w:r>
      <w:r>
        <w:rPr>
          <w:lang w:val="fr-FR"/>
        </w:rPr>
        <w:t>’</w:t>
      </w:r>
      <w:r w:rsidRPr="009B364F">
        <w:rPr>
          <w:lang w:val="fr-FR"/>
        </w:rPr>
        <w:t>Europe</w:t>
      </w:r>
      <w:r>
        <w:rPr>
          <w:lang w:val="fr-FR"/>
        </w:rPr>
        <w:t>,</w:t>
      </w:r>
      <w:r w:rsidRPr="009B364F">
        <w:rPr>
          <w:lang w:val="fr-FR"/>
        </w:rPr>
        <w:t xml:space="preserve"> par exemple en Chine, en Indonésie, etc</w:t>
      </w:r>
      <w:r w:rsidR="004D2825" w:rsidRPr="004D2825">
        <w:rPr>
          <w:lang w:val="fr-FR"/>
        </w:rPr>
        <w:t>.</w:t>
      </w:r>
      <w:r w:rsidRPr="009B364F">
        <w:rPr>
          <w:lang w:val="fr-FR"/>
        </w:rPr>
        <w:t>), n</w:t>
      </w:r>
      <w:r>
        <w:rPr>
          <w:lang w:val="fr-FR"/>
        </w:rPr>
        <w:t>’</w:t>
      </w:r>
      <w:r w:rsidRPr="009B364F">
        <w:rPr>
          <w:lang w:val="fr-FR"/>
        </w:rPr>
        <w:t>ont pas de numéro ONU spécifique et doivent donc être affectés au numéro ONU 3161 (Gaz liquéfiés inflammables, N</w:t>
      </w:r>
      <w:r w:rsidR="004D2825" w:rsidRPr="004D2825">
        <w:rPr>
          <w:lang w:val="fr-FR"/>
        </w:rPr>
        <w:t>.</w:t>
      </w:r>
      <w:r w:rsidRPr="009B364F">
        <w:rPr>
          <w:lang w:val="fr-FR"/>
        </w:rPr>
        <w:t>S</w:t>
      </w:r>
      <w:r w:rsidR="004D2825" w:rsidRPr="004D2825">
        <w:rPr>
          <w:lang w:val="fr-FR"/>
        </w:rPr>
        <w:t>.</w:t>
      </w:r>
      <w:r w:rsidRPr="009B364F">
        <w:rPr>
          <w:lang w:val="fr-FR"/>
        </w:rPr>
        <w:t>A</w:t>
      </w:r>
      <w:r w:rsidR="004D2825" w:rsidRPr="004D2825">
        <w:rPr>
          <w:lang w:val="fr-FR"/>
        </w:rPr>
        <w:t>.</w:t>
      </w:r>
      <w:r w:rsidRPr="009B364F">
        <w:rPr>
          <w:lang w:val="fr-FR"/>
        </w:rPr>
        <w:t>), qui est toutefois un numéro ONU général</w:t>
      </w:r>
      <w:r w:rsidR="004D2825" w:rsidRPr="004D2825">
        <w:rPr>
          <w:lang w:val="fr-FR"/>
        </w:rPr>
        <w:t>.</w:t>
      </w:r>
    </w:p>
    <w:p w14:paraId="60E53E8A" w14:textId="0A600285" w:rsidR="00B851A8" w:rsidRPr="009B364F" w:rsidRDefault="00B851A8" w:rsidP="00B851A8">
      <w:pPr>
        <w:pStyle w:val="SingleTxtG"/>
      </w:pPr>
      <w:r w:rsidRPr="009B364F">
        <w:rPr>
          <w:lang w:val="fr-FR"/>
        </w:rPr>
        <w:t>7</w:t>
      </w:r>
      <w:r w:rsidR="004D2825" w:rsidRPr="004D2825">
        <w:rPr>
          <w:lang w:val="fr-FR"/>
        </w:rPr>
        <w:t>.</w:t>
      </w:r>
      <w:r w:rsidRPr="009B364F">
        <w:rPr>
          <w:lang w:val="fr-FR"/>
        </w:rPr>
        <w:tab/>
        <w:t xml:space="preserve">Le DME ayant </w:t>
      </w:r>
      <w:r>
        <w:rPr>
          <w:lang w:val="fr-FR"/>
        </w:rPr>
        <w:t xml:space="preserve">le </w:t>
      </w:r>
      <w:r w:rsidRPr="009B364F">
        <w:rPr>
          <w:lang w:val="fr-FR"/>
        </w:rPr>
        <w:t xml:space="preserve">même </w:t>
      </w:r>
      <w:r>
        <w:rPr>
          <w:lang w:val="fr-FR"/>
        </w:rPr>
        <w:t>classement</w:t>
      </w:r>
      <w:r w:rsidRPr="009B364F">
        <w:rPr>
          <w:lang w:val="fr-FR"/>
        </w:rPr>
        <w:t>, le même étiquetage et présentant les mêmes dangers que le GPL, l</w:t>
      </w:r>
      <w:r>
        <w:rPr>
          <w:lang w:val="fr-FR"/>
        </w:rPr>
        <w:t>’</w:t>
      </w:r>
      <w:r w:rsidRPr="009B364F">
        <w:rPr>
          <w:lang w:val="fr-FR"/>
        </w:rPr>
        <w:t>autorisation d</w:t>
      </w:r>
      <w:r>
        <w:rPr>
          <w:lang w:val="fr-FR"/>
        </w:rPr>
        <w:t>’</w:t>
      </w:r>
      <w:r w:rsidRPr="009B364F">
        <w:rPr>
          <w:lang w:val="fr-FR"/>
        </w:rPr>
        <w:t>ajouter jusqu</w:t>
      </w:r>
      <w:r>
        <w:rPr>
          <w:lang w:val="fr-FR"/>
        </w:rPr>
        <w:t>’</w:t>
      </w:r>
      <w:r w:rsidRPr="009B364F">
        <w:rPr>
          <w:lang w:val="fr-FR"/>
        </w:rPr>
        <w:t xml:space="preserve">à XX % de DME renouvelable (en masse) au GPL affecté aux </w:t>
      </w:r>
      <w:r>
        <w:rPr>
          <w:lang w:val="fr-FR"/>
        </w:rPr>
        <w:t>Nos</w:t>
      </w:r>
      <w:r w:rsidRPr="009B364F">
        <w:rPr>
          <w:lang w:val="fr-FR"/>
        </w:rPr>
        <w:t xml:space="preserve"> ONU 1075 ou 1965 n</w:t>
      </w:r>
      <w:r>
        <w:rPr>
          <w:lang w:val="fr-FR"/>
        </w:rPr>
        <w:t>’</w:t>
      </w:r>
      <w:r w:rsidRPr="009B364F">
        <w:rPr>
          <w:lang w:val="fr-FR"/>
        </w:rPr>
        <w:t>aura aucun effet sur la sécurité</w:t>
      </w:r>
      <w:r w:rsidR="004D2825" w:rsidRPr="004D2825">
        <w:rPr>
          <w:lang w:val="fr-FR"/>
        </w:rPr>
        <w:t>.</w:t>
      </w:r>
    </w:p>
    <w:p w14:paraId="559D2C04" w14:textId="53BDE18F" w:rsidR="00B851A8" w:rsidRPr="009B364F" w:rsidRDefault="00B851A8" w:rsidP="00B851A8">
      <w:pPr>
        <w:pStyle w:val="SingleTxtG"/>
      </w:pPr>
      <w:r w:rsidRPr="00B44A64">
        <w:rPr>
          <w:lang w:val="fr-FR"/>
        </w:rPr>
        <w:t>8</w:t>
      </w:r>
      <w:r w:rsidR="004D2825" w:rsidRPr="004D2825">
        <w:rPr>
          <w:lang w:val="fr-FR"/>
        </w:rPr>
        <w:t>.</w:t>
      </w:r>
      <w:r w:rsidRPr="009B364F">
        <w:rPr>
          <w:lang w:val="fr-FR"/>
        </w:rPr>
        <w:tab/>
        <w:t>Les services d</w:t>
      </w:r>
      <w:r>
        <w:rPr>
          <w:lang w:val="fr-FR"/>
        </w:rPr>
        <w:t>’</w:t>
      </w:r>
      <w:r w:rsidRPr="009B364F">
        <w:rPr>
          <w:lang w:val="fr-FR"/>
        </w:rPr>
        <w:t xml:space="preserve">urgence reconnaissent instantanément </w:t>
      </w:r>
      <w:proofErr w:type="gramStart"/>
      <w:r w:rsidRPr="009B364F">
        <w:rPr>
          <w:lang w:val="fr-FR"/>
        </w:rPr>
        <w:t xml:space="preserve">les </w:t>
      </w:r>
      <w:r>
        <w:rPr>
          <w:lang w:val="fr-FR"/>
        </w:rPr>
        <w:t xml:space="preserve"> Nos</w:t>
      </w:r>
      <w:proofErr w:type="gramEnd"/>
      <w:r w:rsidRPr="009B364F">
        <w:rPr>
          <w:lang w:val="fr-FR"/>
        </w:rPr>
        <w:t xml:space="preserve"> ONU 1075 et 1965 et connaissent les dangers et les mesures à prendre</w:t>
      </w:r>
      <w:r w:rsidR="004D2825" w:rsidRPr="004D2825">
        <w:rPr>
          <w:lang w:val="fr-FR"/>
        </w:rPr>
        <w:t>.</w:t>
      </w:r>
      <w:r w:rsidRPr="009B364F">
        <w:rPr>
          <w:lang w:val="fr-FR"/>
        </w:rPr>
        <w:t xml:space="preserve"> Cependant, si </w:t>
      </w:r>
      <w:r>
        <w:rPr>
          <w:lang w:val="fr-FR"/>
        </w:rPr>
        <w:t>les professionnels du secteur</w:t>
      </w:r>
      <w:r w:rsidRPr="009B364F">
        <w:rPr>
          <w:lang w:val="fr-FR"/>
        </w:rPr>
        <w:t xml:space="preserve"> transporte</w:t>
      </w:r>
      <w:r>
        <w:rPr>
          <w:lang w:val="fr-FR"/>
        </w:rPr>
        <w:t>nt</w:t>
      </w:r>
      <w:r w:rsidRPr="009B364F">
        <w:rPr>
          <w:lang w:val="fr-FR"/>
        </w:rPr>
        <w:t xml:space="preserve"> le mélange DME renouvelable/GPL en tant que gaz liquéfié inflammable, N</w:t>
      </w:r>
      <w:r w:rsidR="004D2825" w:rsidRPr="004D2825">
        <w:rPr>
          <w:lang w:val="fr-FR"/>
        </w:rPr>
        <w:t>.</w:t>
      </w:r>
      <w:r w:rsidRPr="009B364F">
        <w:rPr>
          <w:lang w:val="fr-FR"/>
        </w:rPr>
        <w:t>S</w:t>
      </w:r>
      <w:r w:rsidR="004D2825" w:rsidRPr="004D2825">
        <w:rPr>
          <w:lang w:val="fr-FR"/>
        </w:rPr>
        <w:t>.</w:t>
      </w:r>
      <w:r w:rsidRPr="009B364F">
        <w:rPr>
          <w:lang w:val="fr-FR"/>
        </w:rPr>
        <w:t>A</w:t>
      </w:r>
      <w:r w:rsidR="004D2825" w:rsidRPr="004D2825">
        <w:rPr>
          <w:lang w:val="fr-FR"/>
        </w:rPr>
        <w:t>.</w:t>
      </w:r>
      <w:r w:rsidRPr="009B364F">
        <w:rPr>
          <w:lang w:val="fr-FR"/>
        </w:rPr>
        <w:t xml:space="preserve"> (No ONU 3161) pendant un certain temps, </w:t>
      </w:r>
      <w:r>
        <w:rPr>
          <w:lang w:val="fr-FR"/>
        </w:rPr>
        <w:t xml:space="preserve">un délai peut être à prévoir pour la confirmation des </w:t>
      </w:r>
      <w:r w:rsidRPr="009B364F">
        <w:rPr>
          <w:lang w:val="fr-FR"/>
        </w:rPr>
        <w:t>mesures d</w:t>
      </w:r>
      <w:r>
        <w:rPr>
          <w:lang w:val="fr-FR"/>
        </w:rPr>
        <w:t>’</w:t>
      </w:r>
      <w:r w:rsidRPr="009B364F">
        <w:rPr>
          <w:lang w:val="fr-FR"/>
        </w:rPr>
        <w:t>urgence requises pour le No ONU 3161</w:t>
      </w:r>
      <w:r w:rsidR="004D2825" w:rsidRPr="004D2825">
        <w:rPr>
          <w:lang w:val="fr-FR"/>
        </w:rPr>
        <w:t>.</w:t>
      </w:r>
      <w:r w:rsidRPr="009B364F">
        <w:rPr>
          <w:lang w:val="fr-FR"/>
        </w:rPr>
        <w:t xml:space="preserve"> Il </w:t>
      </w:r>
      <w:r>
        <w:rPr>
          <w:lang w:val="fr-FR"/>
        </w:rPr>
        <w:t xml:space="preserve">faut aussi tenir compte du </w:t>
      </w:r>
      <w:r w:rsidRPr="009B364F">
        <w:rPr>
          <w:lang w:val="fr-FR"/>
        </w:rPr>
        <w:t>problème du placardage et de l</w:t>
      </w:r>
      <w:r>
        <w:rPr>
          <w:lang w:val="fr-FR"/>
        </w:rPr>
        <w:t>’</w:t>
      </w:r>
      <w:r w:rsidRPr="009B364F">
        <w:rPr>
          <w:lang w:val="fr-FR"/>
        </w:rPr>
        <w:t xml:space="preserve">étiquetage des citernes, des camions-citernes et des bouteilles </w:t>
      </w:r>
      <w:r>
        <w:rPr>
          <w:lang w:val="fr-FR"/>
        </w:rPr>
        <w:t xml:space="preserve">du fait de l’alternance </w:t>
      </w:r>
      <w:r w:rsidRPr="009B364F">
        <w:rPr>
          <w:lang w:val="fr-FR"/>
        </w:rPr>
        <w:t>entre le GPL et les mélanges DME renouvelable/GPL</w:t>
      </w:r>
      <w:r w:rsidR="004D2825" w:rsidRPr="004D2825">
        <w:rPr>
          <w:lang w:val="fr-FR"/>
        </w:rPr>
        <w:t>.</w:t>
      </w:r>
      <w:r w:rsidRPr="009B364F">
        <w:rPr>
          <w:lang w:val="fr-FR"/>
        </w:rPr>
        <w:t xml:space="preserve"> </w:t>
      </w:r>
      <w:r>
        <w:rPr>
          <w:lang w:val="fr-FR"/>
        </w:rPr>
        <w:t xml:space="preserve">Ces opérations sont en effet </w:t>
      </w:r>
      <w:r w:rsidRPr="009B364F">
        <w:rPr>
          <w:lang w:val="fr-FR"/>
        </w:rPr>
        <w:t xml:space="preserve">plus </w:t>
      </w:r>
      <w:r>
        <w:rPr>
          <w:lang w:val="fr-FR"/>
        </w:rPr>
        <w:t xml:space="preserve">simples </w:t>
      </w:r>
      <w:r w:rsidRPr="009B364F">
        <w:rPr>
          <w:lang w:val="fr-FR"/>
        </w:rPr>
        <w:t>avec les citernes et les camions-citernes, mais</w:t>
      </w:r>
      <w:r>
        <w:rPr>
          <w:lang w:val="fr-FR"/>
        </w:rPr>
        <w:t xml:space="preserve"> le sont moins</w:t>
      </w:r>
      <w:r w:rsidRPr="009B364F">
        <w:rPr>
          <w:lang w:val="fr-FR"/>
        </w:rPr>
        <w:t xml:space="preserve"> avec les bouteilles</w:t>
      </w:r>
      <w:r w:rsidR="004D2825" w:rsidRPr="004D2825">
        <w:rPr>
          <w:lang w:val="fr-FR"/>
        </w:rPr>
        <w:t>.</w:t>
      </w:r>
    </w:p>
    <w:p w14:paraId="09AE8746" w14:textId="5B13AE49" w:rsidR="00B851A8" w:rsidRPr="009B364F" w:rsidRDefault="00B851A8" w:rsidP="00B851A8">
      <w:pPr>
        <w:pStyle w:val="HChG"/>
      </w:pPr>
      <w:r w:rsidRPr="009B364F">
        <w:rPr>
          <w:lang w:val="fr-FR"/>
        </w:rPr>
        <w:tab/>
        <w:t>II</w:t>
      </w:r>
      <w:r w:rsidR="004D2825" w:rsidRPr="004D2825">
        <w:rPr>
          <w:lang w:val="fr-FR"/>
        </w:rPr>
        <w:t>.</w:t>
      </w:r>
      <w:r w:rsidRPr="009B364F">
        <w:rPr>
          <w:lang w:val="fr-FR"/>
        </w:rPr>
        <w:tab/>
      </w:r>
      <w:r>
        <w:rPr>
          <w:lang w:val="fr-FR"/>
        </w:rPr>
        <w:t>Situation actuelle</w:t>
      </w:r>
    </w:p>
    <w:p w14:paraId="0788388A" w14:textId="057B335B" w:rsidR="00B851A8" w:rsidRPr="009B364F" w:rsidRDefault="00B851A8" w:rsidP="00B851A8">
      <w:pPr>
        <w:pStyle w:val="SingleTxtG"/>
      </w:pPr>
      <w:r w:rsidRPr="009B364F">
        <w:rPr>
          <w:lang w:val="fr-FR"/>
        </w:rPr>
        <w:t>9</w:t>
      </w:r>
      <w:r w:rsidR="004D2825" w:rsidRPr="004D2825">
        <w:rPr>
          <w:lang w:val="fr-FR"/>
        </w:rPr>
        <w:t>.</w:t>
      </w:r>
      <w:r w:rsidRPr="009B364F">
        <w:rPr>
          <w:lang w:val="fr-FR"/>
        </w:rPr>
        <w:tab/>
        <w:t xml:space="preserve">Le </w:t>
      </w:r>
      <w:r>
        <w:rPr>
          <w:lang w:val="fr-FR"/>
        </w:rPr>
        <w:t>No</w:t>
      </w:r>
      <w:r w:rsidRPr="009B364F">
        <w:rPr>
          <w:lang w:val="fr-FR"/>
        </w:rPr>
        <w:t xml:space="preserve"> ONU 1075, « GAZ DE PÉTROLE LIQUÉFIÉS », doit être modifié pour inclure le GPL d</w:t>
      </w:r>
      <w:r>
        <w:rPr>
          <w:lang w:val="fr-FR"/>
        </w:rPr>
        <w:t>’</w:t>
      </w:r>
      <w:r w:rsidRPr="009B364F">
        <w:rPr>
          <w:lang w:val="fr-FR"/>
        </w:rPr>
        <w:t xml:space="preserve">origine renouvelable, ainsi </w:t>
      </w:r>
      <w:r>
        <w:rPr>
          <w:lang w:val="fr-FR"/>
        </w:rPr>
        <w:t>qu’une</w:t>
      </w:r>
      <w:r w:rsidRPr="009B364F">
        <w:rPr>
          <w:lang w:val="fr-FR"/>
        </w:rPr>
        <w:t xml:space="preserve"> quantité de DME/DME renouvelable</w:t>
      </w:r>
      <w:r w:rsidR="004D2825" w:rsidRPr="004D2825">
        <w:rPr>
          <w:lang w:val="fr-FR"/>
        </w:rPr>
        <w:t>.</w:t>
      </w:r>
    </w:p>
    <w:p w14:paraId="0FEDAAC7" w14:textId="72C062FE" w:rsidR="00B851A8" w:rsidRPr="009B364F" w:rsidRDefault="00B851A8" w:rsidP="00B851A8">
      <w:pPr>
        <w:pStyle w:val="SingleTxtG"/>
      </w:pPr>
      <w:r w:rsidRPr="009B364F">
        <w:rPr>
          <w:lang w:val="fr-FR"/>
        </w:rPr>
        <w:t>10</w:t>
      </w:r>
      <w:r w:rsidR="004D2825" w:rsidRPr="004D2825">
        <w:rPr>
          <w:lang w:val="fr-FR"/>
        </w:rPr>
        <w:t>.</w:t>
      </w:r>
      <w:r w:rsidRPr="009B364F">
        <w:rPr>
          <w:lang w:val="fr-FR"/>
        </w:rPr>
        <w:tab/>
        <w:t xml:space="preserve">Le </w:t>
      </w:r>
      <w:r>
        <w:rPr>
          <w:lang w:val="fr-FR"/>
        </w:rPr>
        <w:t>No</w:t>
      </w:r>
      <w:r w:rsidRPr="009B364F">
        <w:rPr>
          <w:lang w:val="fr-FR"/>
        </w:rPr>
        <w:t xml:space="preserve"> ONU 1965</w:t>
      </w:r>
      <w:r>
        <w:rPr>
          <w:lang w:val="fr-FR"/>
        </w:rPr>
        <w:t>,</w:t>
      </w:r>
      <w:r w:rsidRPr="009B364F">
        <w:rPr>
          <w:lang w:val="fr-FR"/>
        </w:rPr>
        <w:t xml:space="preserve"> « HYDROCARBURES GAZEUX EN MÉLANGE LIQUÉFIÉ, N</w:t>
      </w:r>
      <w:r w:rsidR="004D2825" w:rsidRPr="004D2825">
        <w:rPr>
          <w:lang w:val="fr-FR"/>
        </w:rPr>
        <w:t>.</w:t>
      </w:r>
      <w:r w:rsidRPr="009B364F">
        <w:rPr>
          <w:lang w:val="fr-FR"/>
        </w:rPr>
        <w:t>S</w:t>
      </w:r>
      <w:r w:rsidR="004D2825" w:rsidRPr="004D2825">
        <w:rPr>
          <w:lang w:val="fr-FR"/>
        </w:rPr>
        <w:t>.</w:t>
      </w:r>
      <w:r w:rsidRPr="009B364F">
        <w:rPr>
          <w:lang w:val="fr-FR"/>
        </w:rPr>
        <w:t>A</w:t>
      </w:r>
      <w:r w:rsidR="004D2825" w:rsidRPr="004D2825">
        <w:rPr>
          <w:lang w:val="fr-FR"/>
        </w:rPr>
        <w:t>.</w:t>
      </w:r>
      <w:r w:rsidRPr="009B364F">
        <w:rPr>
          <w:lang w:val="fr-FR"/>
        </w:rPr>
        <w:t> »</w:t>
      </w:r>
      <w:r>
        <w:rPr>
          <w:lang w:val="fr-FR"/>
        </w:rPr>
        <w:t>,</w:t>
      </w:r>
      <w:r w:rsidRPr="009B364F">
        <w:rPr>
          <w:lang w:val="fr-FR"/>
        </w:rPr>
        <w:t xml:space="preserve"> nécessite </w:t>
      </w:r>
      <w:proofErr w:type="gramStart"/>
      <w:r w:rsidRPr="009B364F">
        <w:rPr>
          <w:lang w:val="fr-FR"/>
        </w:rPr>
        <w:t xml:space="preserve">également </w:t>
      </w:r>
      <w:r>
        <w:rPr>
          <w:lang w:val="fr-FR"/>
        </w:rPr>
        <w:t xml:space="preserve"> une</w:t>
      </w:r>
      <w:proofErr w:type="gramEnd"/>
      <w:r>
        <w:rPr>
          <w:lang w:val="fr-FR"/>
        </w:rPr>
        <w:t xml:space="preserve"> modification visant à ajouter </w:t>
      </w:r>
      <w:r w:rsidRPr="009B364F">
        <w:rPr>
          <w:lang w:val="fr-FR"/>
        </w:rPr>
        <w:t>une quantité de DME/DME renouvelable</w:t>
      </w:r>
      <w:r w:rsidR="004D2825" w:rsidRPr="004D2825">
        <w:rPr>
          <w:lang w:val="fr-FR"/>
        </w:rPr>
        <w:t>.</w:t>
      </w:r>
    </w:p>
    <w:p w14:paraId="2BBD40F4" w14:textId="4D2B81D4" w:rsidR="00B851A8" w:rsidRPr="009B364F" w:rsidRDefault="00B851A8" w:rsidP="00B851A8">
      <w:pPr>
        <w:pStyle w:val="HChG"/>
      </w:pPr>
      <w:r w:rsidRPr="009B364F">
        <w:rPr>
          <w:lang w:val="fr-FR"/>
        </w:rPr>
        <w:tab/>
        <w:t>III</w:t>
      </w:r>
      <w:r w:rsidR="004D2825" w:rsidRPr="004D2825">
        <w:rPr>
          <w:lang w:val="fr-FR"/>
        </w:rPr>
        <w:t>.</w:t>
      </w:r>
      <w:r w:rsidRPr="009B364F">
        <w:rPr>
          <w:lang w:val="fr-FR"/>
        </w:rPr>
        <w:tab/>
        <w:t>Proposition</w:t>
      </w:r>
    </w:p>
    <w:p w14:paraId="16718E02" w14:textId="0B175207" w:rsidR="00B851A8" w:rsidRPr="009B364F" w:rsidRDefault="00B851A8" w:rsidP="00B851A8">
      <w:pPr>
        <w:pStyle w:val="SingleTxtG"/>
      </w:pPr>
      <w:r w:rsidRPr="009B364F">
        <w:rPr>
          <w:lang w:val="fr-FR"/>
        </w:rPr>
        <w:t>11</w:t>
      </w:r>
      <w:r w:rsidR="004D2825" w:rsidRPr="004D2825">
        <w:rPr>
          <w:lang w:val="fr-FR"/>
        </w:rPr>
        <w:t>.</w:t>
      </w:r>
      <w:r w:rsidRPr="009B364F">
        <w:rPr>
          <w:lang w:val="fr-FR"/>
        </w:rPr>
        <w:tab/>
        <w:t xml:space="preserve">Modifier la liste des marchandises dangereuses </w:t>
      </w:r>
      <w:r>
        <w:rPr>
          <w:lang w:val="fr-FR"/>
        </w:rPr>
        <w:t>du</w:t>
      </w:r>
      <w:r w:rsidRPr="009B364F">
        <w:rPr>
          <w:lang w:val="fr-FR"/>
        </w:rPr>
        <w:t xml:space="preserve"> 3</w:t>
      </w:r>
      <w:r w:rsidR="004D2825" w:rsidRPr="004D2825">
        <w:rPr>
          <w:lang w:val="fr-FR"/>
        </w:rPr>
        <w:t>.</w:t>
      </w:r>
      <w:r w:rsidRPr="009B364F">
        <w:rPr>
          <w:lang w:val="fr-FR"/>
        </w:rPr>
        <w:t>2</w:t>
      </w:r>
      <w:r w:rsidR="004D2825" w:rsidRPr="004D2825">
        <w:rPr>
          <w:lang w:val="fr-FR"/>
        </w:rPr>
        <w:t>.</w:t>
      </w:r>
      <w:r w:rsidRPr="009B364F">
        <w:rPr>
          <w:lang w:val="fr-FR"/>
        </w:rPr>
        <w:t>2 comme suit</w:t>
      </w:r>
      <w:r w:rsidR="00155219">
        <w:rPr>
          <w:lang w:val="fr-FR"/>
        </w:rPr>
        <w:t> </w:t>
      </w:r>
      <w:r w:rsidRPr="009B364F">
        <w:rPr>
          <w:lang w:val="fr-FR"/>
        </w:rPr>
        <w:t>:</w:t>
      </w:r>
    </w:p>
    <w:tbl>
      <w:tblPr>
        <w:tblStyle w:val="TableGrid"/>
        <w:tblW w:w="7371" w:type="dxa"/>
        <w:tblInd w:w="1134" w:type="dxa"/>
        <w:tblLayout w:type="fixed"/>
        <w:tblLook w:val="04A0" w:firstRow="1" w:lastRow="0" w:firstColumn="1" w:lastColumn="0" w:noHBand="0" w:noVBand="1"/>
      </w:tblPr>
      <w:tblGrid>
        <w:gridCol w:w="1732"/>
        <w:gridCol w:w="5639"/>
      </w:tblGrid>
      <w:tr w:rsidR="00B851A8" w:rsidRPr="00C15547" w14:paraId="75AF9AF3" w14:textId="77777777" w:rsidTr="00B851A8">
        <w:trPr>
          <w:trHeight w:val="601"/>
        </w:trPr>
        <w:tc>
          <w:tcPr>
            <w:tcW w:w="1827" w:type="dxa"/>
          </w:tcPr>
          <w:p w14:paraId="1D61B380" w14:textId="77777777" w:rsidR="00B851A8" w:rsidRPr="009B364F" w:rsidRDefault="00B851A8" w:rsidP="00B851A8">
            <w:pPr>
              <w:suppressAutoHyphens w:val="0"/>
              <w:spacing w:before="60" w:after="60" w:line="220" w:lineRule="atLeast"/>
              <w:ind w:left="57" w:right="57"/>
              <w:rPr>
                <w:rFonts w:asciiTheme="majorBidi" w:hAnsiTheme="majorBidi" w:cstheme="majorBidi"/>
              </w:rPr>
            </w:pPr>
            <w:r w:rsidRPr="009B364F">
              <w:rPr>
                <w:rFonts w:asciiTheme="majorBidi" w:hAnsiTheme="majorBidi" w:cstheme="majorBidi"/>
                <w:lang w:val="fr-FR"/>
              </w:rPr>
              <w:t>No ONU 1075</w:t>
            </w:r>
          </w:p>
        </w:tc>
        <w:tc>
          <w:tcPr>
            <w:tcW w:w="5953" w:type="dxa"/>
          </w:tcPr>
          <w:p w14:paraId="483007FF" w14:textId="01E50A09" w:rsidR="00B851A8" w:rsidRPr="009B364F" w:rsidRDefault="00B851A8" w:rsidP="00B851A8">
            <w:pPr>
              <w:suppressAutoHyphens w:val="0"/>
              <w:spacing w:before="60" w:after="60" w:line="220" w:lineRule="atLeast"/>
              <w:ind w:left="57" w:right="57"/>
              <w:rPr>
                <w:rFonts w:asciiTheme="majorBidi" w:hAnsiTheme="majorBidi" w:cstheme="majorBidi"/>
                <w:u w:val="single"/>
              </w:rPr>
            </w:pPr>
            <w:r w:rsidRPr="009B364F">
              <w:rPr>
                <w:rFonts w:asciiTheme="majorBidi" w:hAnsiTheme="majorBidi" w:cstheme="majorBidi"/>
                <w:lang w:val="fr-FR"/>
              </w:rPr>
              <w:t xml:space="preserve">GAZ DE PÉTROLE LIQUÉFIÉS </w:t>
            </w:r>
            <w:r w:rsidRPr="009B364F">
              <w:rPr>
                <w:rFonts w:asciiTheme="majorBidi" w:hAnsiTheme="majorBidi" w:cstheme="majorBidi"/>
                <w:u w:val="single"/>
                <w:lang w:val="fr-FR"/>
              </w:rPr>
              <w:t xml:space="preserve">ou gaz identiques sur le plan moléculaire provenant de sources renouvelables, </w:t>
            </w:r>
            <w:r>
              <w:rPr>
                <w:rFonts w:asciiTheme="majorBidi" w:hAnsiTheme="majorBidi" w:cstheme="majorBidi"/>
                <w:u w:val="single"/>
                <w:lang w:val="fr-FR"/>
              </w:rPr>
              <w:t xml:space="preserve">pouvant </w:t>
            </w:r>
            <w:r w:rsidRPr="009B364F">
              <w:rPr>
                <w:rFonts w:asciiTheme="majorBidi" w:hAnsiTheme="majorBidi" w:cstheme="majorBidi"/>
                <w:u w:val="single"/>
                <w:lang w:val="fr-FR"/>
              </w:rPr>
              <w:t>également comprendre jusqu</w:t>
            </w:r>
            <w:r>
              <w:rPr>
                <w:rFonts w:asciiTheme="majorBidi" w:hAnsiTheme="majorBidi" w:cstheme="majorBidi"/>
                <w:u w:val="single"/>
                <w:lang w:val="fr-FR"/>
              </w:rPr>
              <w:t>’</w:t>
            </w:r>
            <w:r w:rsidRPr="009B364F">
              <w:rPr>
                <w:rFonts w:asciiTheme="majorBidi" w:hAnsiTheme="majorBidi" w:cstheme="majorBidi"/>
                <w:u w:val="single"/>
                <w:lang w:val="fr-FR"/>
              </w:rPr>
              <w:t>à XX % en masse de DME</w:t>
            </w:r>
          </w:p>
        </w:tc>
      </w:tr>
      <w:tr w:rsidR="00B851A8" w:rsidRPr="00C15547" w14:paraId="1A8D4383" w14:textId="77777777" w:rsidTr="00B851A8">
        <w:trPr>
          <w:trHeight w:val="601"/>
        </w:trPr>
        <w:tc>
          <w:tcPr>
            <w:tcW w:w="1827" w:type="dxa"/>
          </w:tcPr>
          <w:p w14:paraId="6CD849E5" w14:textId="77777777" w:rsidR="00B851A8" w:rsidRPr="009B364F" w:rsidRDefault="00B851A8" w:rsidP="00B851A8">
            <w:pPr>
              <w:suppressAutoHyphens w:val="0"/>
              <w:spacing w:before="60" w:after="60" w:line="220" w:lineRule="atLeast"/>
              <w:ind w:left="57" w:right="57"/>
              <w:rPr>
                <w:rFonts w:asciiTheme="majorBidi" w:hAnsiTheme="majorBidi" w:cstheme="majorBidi"/>
              </w:rPr>
            </w:pPr>
            <w:r w:rsidRPr="009B364F">
              <w:rPr>
                <w:rFonts w:asciiTheme="majorBidi" w:hAnsiTheme="majorBidi" w:cstheme="majorBidi"/>
                <w:lang w:val="fr-FR"/>
              </w:rPr>
              <w:t>No ONU 1965</w:t>
            </w:r>
          </w:p>
        </w:tc>
        <w:tc>
          <w:tcPr>
            <w:tcW w:w="5953" w:type="dxa"/>
          </w:tcPr>
          <w:p w14:paraId="4097CC81" w14:textId="24E96541" w:rsidR="00B851A8" w:rsidRPr="009B364F" w:rsidRDefault="00B851A8" w:rsidP="00B851A8">
            <w:pPr>
              <w:suppressAutoHyphens w:val="0"/>
              <w:spacing w:before="60" w:after="60" w:line="220" w:lineRule="atLeast"/>
              <w:ind w:left="57" w:right="57"/>
              <w:rPr>
                <w:rFonts w:asciiTheme="majorBidi" w:hAnsiTheme="majorBidi" w:cstheme="majorBidi"/>
              </w:rPr>
            </w:pPr>
            <w:r w:rsidRPr="009B364F">
              <w:rPr>
                <w:rFonts w:asciiTheme="majorBidi" w:hAnsiTheme="majorBidi" w:cstheme="majorBidi"/>
                <w:lang w:val="fr-FR"/>
              </w:rPr>
              <w:t>HYDROCARBURES GAZEUX EN MÉLANGE LIQUÉFIÉ, N</w:t>
            </w:r>
            <w:r w:rsidR="004D2825" w:rsidRPr="004D2825">
              <w:rPr>
                <w:rFonts w:asciiTheme="majorBidi" w:hAnsiTheme="majorBidi" w:cstheme="majorBidi"/>
                <w:lang w:val="fr-FR"/>
              </w:rPr>
              <w:t>.</w:t>
            </w:r>
            <w:r w:rsidRPr="009B364F">
              <w:rPr>
                <w:rFonts w:asciiTheme="majorBidi" w:hAnsiTheme="majorBidi" w:cstheme="majorBidi"/>
                <w:lang w:val="fr-FR"/>
              </w:rPr>
              <w:t>S</w:t>
            </w:r>
            <w:r w:rsidR="004D2825" w:rsidRPr="004D2825">
              <w:rPr>
                <w:rFonts w:asciiTheme="majorBidi" w:hAnsiTheme="majorBidi" w:cstheme="majorBidi"/>
                <w:lang w:val="fr-FR"/>
              </w:rPr>
              <w:t>.</w:t>
            </w:r>
            <w:r w:rsidRPr="009B364F">
              <w:rPr>
                <w:rFonts w:asciiTheme="majorBidi" w:hAnsiTheme="majorBidi" w:cstheme="majorBidi"/>
                <w:lang w:val="fr-FR"/>
              </w:rPr>
              <w:t>A</w:t>
            </w:r>
            <w:r w:rsidR="004D2825" w:rsidRPr="004D2825">
              <w:rPr>
                <w:rFonts w:asciiTheme="majorBidi" w:hAnsiTheme="majorBidi" w:cstheme="majorBidi"/>
                <w:lang w:val="fr-FR"/>
              </w:rPr>
              <w:t>.</w:t>
            </w:r>
            <w:r w:rsidRPr="009B364F">
              <w:rPr>
                <w:rFonts w:asciiTheme="majorBidi" w:hAnsiTheme="majorBidi" w:cstheme="majorBidi"/>
                <w:lang w:val="fr-FR"/>
              </w:rPr>
              <w:t xml:space="preserve">, </w:t>
            </w:r>
            <w:r>
              <w:rPr>
                <w:rFonts w:asciiTheme="majorBidi" w:hAnsiTheme="majorBidi" w:cstheme="majorBidi"/>
                <w:u w:val="single"/>
                <w:lang w:val="fr-FR"/>
              </w:rPr>
              <w:t>pouvant</w:t>
            </w:r>
            <w:r w:rsidRPr="009B364F">
              <w:rPr>
                <w:rFonts w:asciiTheme="majorBidi" w:hAnsiTheme="majorBidi" w:cstheme="majorBidi"/>
                <w:u w:val="single"/>
                <w:lang w:val="fr-FR"/>
              </w:rPr>
              <w:t xml:space="preserve"> également </w:t>
            </w:r>
            <w:r>
              <w:rPr>
                <w:rFonts w:asciiTheme="majorBidi" w:hAnsiTheme="majorBidi" w:cstheme="majorBidi"/>
                <w:u w:val="single"/>
                <w:lang w:val="fr-FR"/>
              </w:rPr>
              <w:t>comprendre</w:t>
            </w:r>
            <w:r w:rsidRPr="009B364F">
              <w:rPr>
                <w:rFonts w:asciiTheme="majorBidi" w:hAnsiTheme="majorBidi" w:cstheme="majorBidi"/>
                <w:u w:val="single"/>
                <w:lang w:val="fr-FR"/>
              </w:rPr>
              <w:t xml:space="preserve"> jusqu</w:t>
            </w:r>
            <w:r>
              <w:rPr>
                <w:rFonts w:asciiTheme="majorBidi" w:hAnsiTheme="majorBidi" w:cstheme="majorBidi"/>
                <w:u w:val="single"/>
                <w:lang w:val="fr-FR"/>
              </w:rPr>
              <w:t>’</w:t>
            </w:r>
            <w:r w:rsidRPr="009B364F">
              <w:rPr>
                <w:rFonts w:asciiTheme="majorBidi" w:hAnsiTheme="majorBidi" w:cstheme="majorBidi"/>
                <w:u w:val="single"/>
                <w:lang w:val="fr-FR"/>
              </w:rPr>
              <w:t>à XX % en masse de</w:t>
            </w:r>
            <w:r w:rsidR="00155219">
              <w:rPr>
                <w:rFonts w:asciiTheme="majorBidi" w:hAnsiTheme="majorBidi" w:cstheme="majorBidi"/>
                <w:u w:val="single"/>
                <w:lang w:val="fr-FR"/>
              </w:rPr>
              <w:t> </w:t>
            </w:r>
            <w:r w:rsidRPr="009B364F">
              <w:rPr>
                <w:rFonts w:asciiTheme="majorBidi" w:hAnsiTheme="majorBidi" w:cstheme="majorBidi"/>
                <w:u w:val="single"/>
                <w:lang w:val="fr-FR"/>
              </w:rPr>
              <w:t>DME</w:t>
            </w:r>
          </w:p>
        </w:tc>
      </w:tr>
    </w:tbl>
    <w:p w14:paraId="3863B97B" w14:textId="6F7D9F1E" w:rsidR="00B851A8" w:rsidRPr="009B364F" w:rsidRDefault="00B851A8" w:rsidP="00B851A8">
      <w:pPr>
        <w:pStyle w:val="SingleTxtG"/>
        <w:keepNext/>
        <w:spacing w:before="240"/>
      </w:pPr>
      <w:r w:rsidRPr="009B364F">
        <w:rPr>
          <w:lang w:val="fr-FR"/>
        </w:rPr>
        <w:lastRenderedPageBreak/>
        <w:t>12</w:t>
      </w:r>
      <w:r w:rsidR="004D2825" w:rsidRPr="004D2825">
        <w:rPr>
          <w:lang w:val="fr-FR"/>
        </w:rPr>
        <w:t>.</w:t>
      </w:r>
      <w:r w:rsidRPr="009B364F">
        <w:rPr>
          <w:lang w:val="fr-FR"/>
        </w:rPr>
        <w:tab/>
        <w:t>Modifier l</w:t>
      </w:r>
      <w:r>
        <w:rPr>
          <w:lang w:val="fr-FR"/>
        </w:rPr>
        <w:t>’</w:t>
      </w:r>
      <w:r w:rsidRPr="009B364F">
        <w:rPr>
          <w:lang w:val="fr-FR"/>
        </w:rPr>
        <w:t xml:space="preserve">index alphabétique des </w:t>
      </w:r>
      <w:r>
        <w:rPr>
          <w:lang w:val="fr-FR"/>
        </w:rPr>
        <w:t>matières et objets (a</w:t>
      </w:r>
      <w:r w:rsidRPr="009B364F">
        <w:rPr>
          <w:lang w:val="fr-FR"/>
        </w:rPr>
        <w:t>ppendice A</w:t>
      </w:r>
      <w:r>
        <w:rPr>
          <w:lang w:val="fr-FR"/>
        </w:rPr>
        <w:t>)</w:t>
      </w:r>
      <w:r w:rsidRPr="009B364F">
        <w:rPr>
          <w:lang w:val="fr-FR"/>
        </w:rPr>
        <w:t xml:space="preserve"> comme suit</w:t>
      </w:r>
      <w:r w:rsidR="00155219">
        <w:rPr>
          <w:lang w:val="fr-FR"/>
        </w:rPr>
        <w:t> </w:t>
      </w:r>
      <w:r w:rsidRPr="009B364F">
        <w:rPr>
          <w:lang w:val="fr-FR"/>
        </w:rPr>
        <w:t>:</w:t>
      </w:r>
    </w:p>
    <w:tbl>
      <w:tblPr>
        <w:tblStyle w:val="TableGrid"/>
        <w:tblW w:w="7371" w:type="dxa"/>
        <w:tblInd w:w="1134" w:type="dxa"/>
        <w:tblLayout w:type="fixed"/>
        <w:tblLook w:val="04A0" w:firstRow="1" w:lastRow="0" w:firstColumn="1" w:lastColumn="0" w:noHBand="0" w:noVBand="1"/>
      </w:tblPr>
      <w:tblGrid>
        <w:gridCol w:w="5619"/>
        <w:gridCol w:w="806"/>
        <w:gridCol w:w="946"/>
      </w:tblGrid>
      <w:tr w:rsidR="00B851A8" w:rsidRPr="009B364F" w14:paraId="090536A2" w14:textId="77777777" w:rsidTr="00B851A8">
        <w:trPr>
          <w:trHeight w:val="340"/>
        </w:trPr>
        <w:tc>
          <w:tcPr>
            <w:tcW w:w="5938" w:type="dxa"/>
            <w:vAlign w:val="center"/>
          </w:tcPr>
          <w:p w14:paraId="64CF62B2" w14:textId="77777777" w:rsidR="00B851A8" w:rsidRPr="009B364F" w:rsidRDefault="00B851A8" w:rsidP="00B851A8">
            <w:pPr>
              <w:keepNext/>
              <w:suppressAutoHyphens w:val="0"/>
              <w:spacing w:before="60" w:after="60" w:line="220" w:lineRule="atLeast"/>
              <w:ind w:left="57" w:right="57"/>
              <w:rPr>
                <w:rFonts w:asciiTheme="majorBidi" w:hAnsiTheme="majorBidi" w:cstheme="majorBidi"/>
                <w:b/>
                <w:bCs/>
              </w:rPr>
            </w:pPr>
            <w:r w:rsidRPr="009B364F">
              <w:rPr>
                <w:rFonts w:asciiTheme="majorBidi" w:hAnsiTheme="majorBidi" w:cstheme="majorBidi"/>
                <w:b/>
                <w:bCs/>
                <w:lang w:val="fr-FR"/>
              </w:rPr>
              <w:t>Nom et description</w:t>
            </w:r>
          </w:p>
        </w:tc>
        <w:tc>
          <w:tcPr>
            <w:tcW w:w="850" w:type="dxa"/>
            <w:vAlign w:val="center"/>
          </w:tcPr>
          <w:p w14:paraId="030A3DA7" w14:textId="77777777" w:rsidR="00B851A8" w:rsidRPr="009B364F" w:rsidRDefault="00B851A8" w:rsidP="00B851A8">
            <w:pPr>
              <w:keepNext/>
              <w:suppressAutoHyphens w:val="0"/>
              <w:spacing w:before="60" w:after="60" w:line="220" w:lineRule="atLeast"/>
              <w:ind w:left="57" w:right="57"/>
              <w:jc w:val="center"/>
              <w:rPr>
                <w:rFonts w:asciiTheme="majorBidi" w:hAnsiTheme="majorBidi" w:cstheme="majorBidi"/>
                <w:b/>
                <w:bCs/>
              </w:rPr>
            </w:pPr>
            <w:r w:rsidRPr="009B364F">
              <w:rPr>
                <w:rFonts w:asciiTheme="majorBidi" w:hAnsiTheme="majorBidi" w:cstheme="majorBidi"/>
                <w:b/>
                <w:bCs/>
                <w:lang w:val="fr-FR"/>
              </w:rPr>
              <w:t>Classe</w:t>
            </w:r>
          </w:p>
        </w:tc>
        <w:tc>
          <w:tcPr>
            <w:tcW w:w="998" w:type="dxa"/>
            <w:vAlign w:val="center"/>
          </w:tcPr>
          <w:p w14:paraId="3AEBF43A" w14:textId="2E4D6B58" w:rsidR="00B851A8" w:rsidRPr="009B364F" w:rsidRDefault="00B851A8" w:rsidP="00B851A8">
            <w:pPr>
              <w:keepNext/>
              <w:suppressAutoHyphens w:val="0"/>
              <w:spacing w:before="60" w:after="60" w:line="220" w:lineRule="atLeast"/>
              <w:ind w:left="57" w:right="57"/>
              <w:jc w:val="center"/>
              <w:rPr>
                <w:rFonts w:asciiTheme="majorBidi" w:hAnsiTheme="majorBidi" w:cstheme="majorBidi"/>
                <w:b/>
                <w:bCs/>
              </w:rPr>
            </w:pPr>
            <w:r>
              <w:rPr>
                <w:rFonts w:asciiTheme="majorBidi" w:hAnsiTheme="majorBidi" w:cstheme="majorBidi"/>
                <w:b/>
                <w:bCs/>
                <w:lang w:val="fr-FR"/>
              </w:rPr>
              <w:t>No</w:t>
            </w:r>
            <w:r w:rsidRPr="009B364F">
              <w:rPr>
                <w:rFonts w:asciiTheme="majorBidi" w:hAnsiTheme="majorBidi" w:cstheme="majorBidi"/>
                <w:b/>
                <w:bCs/>
                <w:lang w:val="fr-FR"/>
              </w:rPr>
              <w:t xml:space="preserve"> ONU</w:t>
            </w:r>
          </w:p>
        </w:tc>
      </w:tr>
      <w:tr w:rsidR="00B851A8" w:rsidRPr="009B364F" w14:paraId="2500B05C" w14:textId="77777777" w:rsidTr="00B851A8">
        <w:tc>
          <w:tcPr>
            <w:tcW w:w="5938" w:type="dxa"/>
          </w:tcPr>
          <w:p w14:paraId="2D2679DA" w14:textId="55AE6F0D" w:rsidR="00B851A8" w:rsidRPr="009B364F" w:rsidRDefault="00B851A8" w:rsidP="00B851A8">
            <w:pPr>
              <w:keepNext/>
              <w:suppressAutoHyphens w:val="0"/>
              <w:spacing w:before="60" w:after="60" w:line="220" w:lineRule="atLeast"/>
              <w:ind w:left="57" w:right="57"/>
              <w:rPr>
                <w:rFonts w:asciiTheme="majorBidi" w:hAnsiTheme="majorBidi" w:cstheme="majorBidi"/>
              </w:rPr>
            </w:pPr>
            <w:r w:rsidRPr="009B364F">
              <w:rPr>
                <w:rFonts w:asciiTheme="majorBidi" w:hAnsiTheme="majorBidi" w:cstheme="majorBidi"/>
                <w:lang w:val="fr-FR"/>
              </w:rPr>
              <w:t xml:space="preserve">GAZ DE PÉTROLE LIQUÉFIÉS </w:t>
            </w:r>
            <w:r w:rsidRPr="009B364F">
              <w:rPr>
                <w:rFonts w:asciiTheme="majorBidi" w:hAnsiTheme="majorBidi" w:cstheme="majorBidi"/>
                <w:u w:val="single"/>
                <w:lang w:val="fr-FR"/>
              </w:rPr>
              <w:t xml:space="preserve">ou gaz identiques sur le plan moléculaire provenant de sources renouvelables, </w:t>
            </w:r>
            <w:r>
              <w:rPr>
                <w:rFonts w:asciiTheme="majorBidi" w:hAnsiTheme="majorBidi" w:cstheme="majorBidi"/>
                <w:u w:val="single"/>
                <w:lang w:val="fr-FR"/>
              </w:rPr>
              <w:t xml:space="preserve">pouvant </w:t>
            </w:r>
            <w:r w:rsidRPr="009B364F">
              <w:rPr>
                <w:rFonts w:asciiTheme="majorBidi" w:hAnsiTheme="majorBidi" w:cstheme="majorBidi"/>
                <w:u w:val="single"/>
                <w:lang w:val="fr-FR"/>
              </w:rPr>
              <w:t>également comprendre jusqu</w:t>
            </w:r>
            <w:r>
              <w:rPr>
                <w:rFonts w:asciiTheme="majorBidi" w:hAnsiTheme="majorBidi" w:cstheme="majorBidi"/>
                <w:u w:val="single"/>
                <w:lang w:val="fr-FR"/>
              </w:rPr>
              <w:t>’</w:t>
            </w:r>
            <w:r w:rsidRPr="009B364F">
              <w:rPr>
                <w:rFonts w:asciiTheme="majorBidi" w:hAnsiTheme="majorBidi" w:cstheme="majorBidi"/>
                <w:u w:val="single"/>
                <w:lang w:val="fr-FR"/>
              </w:rPr>
              <w:t>à XX % en masse de DME</w:t>
            </w:r>
          </w:p>
        </w:tc>
        <w:tc>
          <w:tcPr>
            <w:tcW w:w="850" w:type="dxa"/>
          </w:tcPr>
          <w:p w14:paraId="381D6F78" w14:textId="6E59BE82" w:rsidR="00B851A8" w:rsidRPr="009B364F" w:rsidRDefault="00B851A8" w:rsidP="00B851A8">
            <w:pPr>
              <w:keepNext/>
              <w:suppressAutoHyphens w:val="0"/>
              <w:spacing w:before="60" w:after="60" w:line="220" w:lineRule="atLeast"/>
              <w:ind w:left="57" w:right="57"/>
              <w:jc w:val="center"/>
              <w:rPr>
                <w:rFonts w:asciiTheme="majorBidi" w:hAnsiTheme="majorBidi" w:cstheme="majorBidi"/>
              </w:rPr>
            </w:pPr>
            <w:r w:rsidRPr="009B364F">
              <w:rPr>
                <w:rFonts w:asciiTheme="majorBidi" w:hAnsiTheme="majorBidi" w:cstheme="majorBidi"/>
                <w:lang w:val="fr-FR"/>
              </w:rPr>
              <w:t>2</w:t>
            </w:r>
            <w:r w:rsidR="004D2825" w:rsidRPr="004D2825">
              <w:rPr>
                <w:rFonts w:asciiTheme="majorBidi" w:hAnsiTheme="majorBidi" w:cstheme="majorBidi"/>
                <w:lang w:val="fr-FR"/>
              </w:rPr>
              <w:t>.</w:t>
            </w:r>
            <w:r w:rsidRPr="009B364F">
              <w:rPr>
                <w:rFonts w:asciiTheme="majorBidi" w:hAnsiTheme="majorBidi" w:cstheme="majorBidi"/>
                <w:lang w:val="fr-FR"/>
              </w:rPr>
              <w:t>1</w:t>
            </w:r>
          </w:p>
        </w:tc>
        <w:tc>
          <w:tcPr>
            <w:tcW w:w="998" w:type="dxa"/>
          </w:tcPr>
          <w:p w14:paraId="5C4A2F2D" w14:textId="77777777" w:rsidR="00B851A8" w:rsidRPr="009B364F" w:rsidRDefault="00B851A8" w:rsidP="00B851A8">
            <w:pPr>
              <w:keepNext/>
              <w:suppressAutoHyphens w:val="0"/>
              <w:spacing w:before="60" w:after="60" w:line="220" w:lineRule="atLeast"/>
              <w:ind w:left="57" w:right="57"/>
              <w:jc w:val="center"/>
              <w:rPr>
                <w:rFonts w:asciiTheme="majorBidi" w:hAnsiTheme="majorBidi" w:cstheme="majorBidi"/>
              </w:rPr>
            </w:pPr>
            <w:r w:rsidRPr="009B364F">
              <w:rPr>
                <w:rFonts w:asciiTheme="majorBidi" w:hAnsiTheme="majorBidi" w:cstheme="majorBidi"/>
                <w:lang w:val="fr-FR"/>
              </w:rPr>
              <w:t>1075</w:t>
            </w:r>
          </w:p>
        </w:tc>
      </w:tr>
      <w:tr w:rsidR="00B851A8" w:rsidRPr="009B364F" w14:paraId="2AE1B8FD" w14:textId="77777777" w:rsidTr="00B851A8">
        <w:tc>
          <w:tcPr>
            <w:tcW w:w="5938" w:type="dxa"/>
          </w:tcPr>
          <w:p w14:paraId="4387F004" w14:textId="12120A34" w:rsidR="00B851A8" w:rsidRPr="009B364F" w:rsidRDefault="00B851A8" w:rsidP="00B851A8">
            <w:pPr>
              <w:suppressAutoHyphens w:val="0"/>
              <w:spacing w:before="60" w:after="60" w:line="220" w:lineRule="atLeast"/>
              <w:ind w:left="57" w:right="57"/>
              <w:rPr>
                <w:rFonts w:asciiTheme="majorBidi" w:hAnsiTheme="majorBidi" w:cstheme="majorBidi"/>
              </w:rPr>
            </w:pPr>
            <w:r w:rsidRPr="009B364F">
              <w:rPr>
                <w:rFonts w:asciiTheme="majorBidi" w:hAnsiTheme="majorBidi" w:cstheme="majorBidi"/>
                <w:lang w:val="fr-FR"/>
              </w:rPr>
              <w:t>HYDROCARBURES GAZEUX EN MÉLANGE LIQUÉFIÉ, N</w:t>
            </w:r>
            <w:r w:rsidR="004D2825" w:rsidRPr="004D2825">
              <w:rPr>
                <w:rFonts w:asciiTheme="majorBidi" w:hAnsiTheme="majorBidi" w:cstheme="majorBidi"/>
                <w:lang w:val="fr-FR"/>
              </w:rPr>
              <w:t>.</w:t>
            </w:r>
            <w:r w:rsidRPr="009B364F">
              <w:rPr>
                <w:rFonts w:asciiTheme="majorBidi" w:hAnsiTheme="majorBidi" w:cstheme="majorBidi"/>
                <w:lang w:val="fr-FR"/>
              </w:rPr>
              <w:t>S</w:t>
            </w:r>
            <w:r w:rsidR="004D2825" w:rsidRPr="004D2825">
              <w:rPr>
                <w:rFonts w:asciiTheme="majorBidi" w:hAnsiTheme="majorBidi" w:cstheme="majorBidi"/>
                <w:lang w:val="fr-FR"/>
              </w:rPr>
              <w:t>.</w:t>
            </w:r>
            <w:r w:rsidRPr="009B364F">
              <w:rPr>
                <w:rFonts w:asciiTheme="majorBidi" w:hAnsiTheme="majorBidi" w:cstheme="majorBidi"/>
                <w:lang w:val="fr-FR"/>
              </w:rPr>
              <w:t>A</w:t>
            </w:r>
            <w:r w:rsidR="004D2825" w:rsidRPr="004D2825">
              <w:rPr>
                <w:rFonts w:asciiTheme="majorBidi" w:hAnsiTheme="majorBidi" w:cstheme="majorBidi"/>
                <w:lang w:val="fr-FR"/>
              </w:rPr>
              <w:t>.</w:t>
            </w:r>
            <w:r>
              <w:rPr>
                <w:rFonts w:asciiTheme="majorBidi" w:hAnsiTheme="majorBidi" w:cstheme="majorBidi"/>
                <w:lang w:val="fr-FR"/>
              </w:rPr>
              <w:t>,</w:t>
            </w:r>
            <w:r w:rsidRPr="009B364F">
              <w:rPr>
                <w:rFonts w:asciiTheme="majorBidi" w:hAnsiTheme="majorBidi" w:cstheme="majorBidi"/>
                <w:lang w:val="fr-FR"/>
              </w:rPr>
              <w:t xml:space="preserve"> comme </w:t>
            </w:r>
            <w:r>
              <w:rPr>
                <w:rFonts w:asciiTheme="majorBidi" w:hAnsiTheme="majorBidi" w:cstheme="majorBidi"/>
                <w:lang w:val="fr-FR"/>
              </w:rPr>
              <w:t xml:space="preserve">les </w:t>
            </w:r>
            <w:r w:rsidRPr="009B364F">
              <w:rPr>
                <w:rFonts w:asciiTheme="majorBidi" w:hAnsiTheme="majorBidi" w:cstheme="majorBidi"/>
                <w:lang w:val="fr-FR"/>
              </w:rPr>
              <w:t>mélange</w:t>
            </w:r>
            <w:r>
              <w:rPr>
                <w:rFonts w:asciiTheme="majorBidi" w:hAnsiTheme="majorBidi" w:cstheme="majorBidi"/>
                <w:lang w:val="fr-FR"/>
              </w:rPr>
              <w:t>s</w:t>
            </w:r>
            <w:r w:rsidRPr="009B364F">
              <w:rPr>
                <w:rFonts w:asciiTheme="majorBidi" w:hAnsiTheme="majorBidi" w:cstheme="majorBidi"/>
                <w:lang w:val="fr-FR"/>
              </w:rPr>
              <w:t xml:space="preserve"> A, A01, A02, A0, A1, B1, B2, B ou C, </w:t>
            </w:r>
            <w:r>
              <w:rPr>
                <w:rFonts w:asciiTheme="majorBidi" w:hAnsiTheme="majorBidi" w:cstheme="majorBidi"/>
                <w:u w:val="single"/>
                <w:lang w:val="fr-FR"/>
              </w:rPr>
              <w:t>pouvant</w:t>
            </w:r>
            <w:r w:rsidRPr="009B364F">
              <w:rPr>
                <w:rFonts w:asciiTheme="majorBidi" w:hAnsiTheme="majorBidi" w:cstheme="majorBidi"/>
                <w:u w:val="single"/>
                <w:lang w:val="fr-FR"/>
              </w:rPr>
              <w:t xml:space="preserve"> également comprendre jusqu</w:t>
            </w:r>
            <w:r>
              <w:rPr>
                <w:rFonts w:asciiTheme="majorBidi" w:hAnsiTheme="majorBidi" w:cstheme="majorBidi"/>
                <w:u w:val="single"/>
                <w:lang w:val="fr-FR"/>
              </w:rPr>
              <w:t>’</w:t>
            </w:r>
            <w:r w:rsidRPr="009B364F">
              <w:rPr>
                <w:rFonts w:asciiTheme="majorBidi" w:hAnsiTheme="majorBidi" w:cstheme="majorBidi"/>
                <w:u w:val="single"/>
                <w:lang w:val="fr-FR"/>
              </w:rPr>
              <w:t>à XX % en masse de DME</w:t>
            </w:r>
          </w:p>
        </w:tc>
        <w:tc>
          <w:tcPr>
            <w:tcW w:w="850" w:type="dxa"/>
          </w:tcPr>
          <w:p w14:paraId="510FB187" w14:textId="72CF9333" w:rsidR="00B851A8" w:rsidRPr="009B364F" w:rsidRDefault="00B851A8" w:rsidP="00B851A8">
            <w:pPr>
              <w:suppressAutoHyphens w:val="0"/>
              <w:spacing w:before="60" w:after="60" w:line="220" w:lineRule="atLeast"/>
              <w:ind w:left="57" w:right="57"/>
              <w:jc w:val="center"/>
              <w:rPr>
                <w:rFonts w:asciiTheme="majorBidi" w:hAnsiTheme="majorBidi" w:cstheme="majorBidi"/>
              </w:rPr>
            </w:pPr>
            <w:r w:rsidRPr="009B364F">
              <w:rPr>
                <w:rFonts w:asciiTheme="majorBidi" w:hAnsiTheme="majorBidi" w:cstheme="majorBidi"/>
                <w:lang w:val="fr-FR"/>
              </w:rPr>
              <w:t>2</w:t>
            </w:r>
            <w:r w:rsidR="004D2825" w:rsidRPr="004D2825">
              <w:rPr>
                <w:rFonts w:asciiTheme="majorBidi" w:hAnsiTheme="majorBidi" w:cstheme="majorBidi"/>
                <w:lang w:val="fr-FR"/>
              </w:rPr>
              <w:t>.</w:t>
            </w:r>
            <w:r w:rsidRPr="009B364F">
              <w:rPr>
                <w:rFonts w:asciiTheme="majorBidi" w:hAnsiTheme="majorBidi" w:cstheme="majorBidi"/>
                <w:lang w:val="fr-FR"/>
              </w:rPr>
              <w:t>1</w:t>
            </w:r>
          </w:p>
        </w:tc>
        <w:tc>
          <w:tcPr>
            <w:tcW w:w="998" w:type="dxa"/>
          </w:tcPr>
          <w:p w14:paraId="621A6D58" w14:textId="77777777" w:rsidR="00B851A8" w:rsidRPr="009B364F" w:rsidRDefault="00B851A8" w:rsidP="00B851A8">
            <w:pPr>
              <w:suppressAutoHyphens w:val="0"/>
              <w:spacing w:before="60" w:after="60" w:line="220" w:lineRule="atLeast"/>
              <w:ind w:left="57" w:right="57"/>
              <w:jc w:val="center"/>
              <w:rPr>
                <w:rFonts w:asciiTheme="majorBidi" w:hAnsiTheme="majorBidi" w:cstheme="majorBidi"/>
              </w:rPr>
            </w:pPr>
            <w:r w:rsidRPr="009B364F">
              <w:rPr>
                <w:rFonts w:asciiTheme="majorBidi" w:hAnsiTheme="majorBidi" w:cstheme="majorBidi"/>
                <w:lang w:val="fr-FR"/>
              </w:rPr>
              <w:t>1965</w:t>
            </w:r>
          </w:p>
        </w:tc>
      </w:tr>
    </w:tbl>
    <w:p w14:paraId="30828A98" w14:textId="104BBBAC" w:rsidR="00B851A8" w:rsidRPr="00C15547" w:rsidRDefault="00B851A8" w:rsidP="00B851A8">
      <w:pPr>
        <w:pStyle w:val="HChG"/>
      </w:pPr>
      <w:r>
        <w:rPr>
          <w:lang w:val="fr-FR"/>
        </w:rPr>
        <w:tab/>
      </w:r>
      <w:r w:rsidRPr="009B364F">
        <w:rPr>
          <w:lang w:val="fr-FR"/>
        </w:rPr>
        <w:t>IV</w:t>
      </w:r>
      <w:r w:rsidR="004D2825" w:rsidRPr="004D2825">
        <w:rPr>
          <w:lang w:val="fr-FR"/>
        </w:rPr>
        <w:t>.</w:t>
      </w:r>
      <w:r w:rsidRPr="009B364F">
        <w:rPr>
          <w:lang w:val="fr-FR"/>
        </w:rPr>
        <w:tab/>
        <w:t>Incidences sur la sécurité</w:t>
      </w:r>
    </w:p>
    <w:p w14:paraId="1B0BA40A" w14:textId="551C68E4" w:rsidR="00B851A8" w:rsidRPr="00497F60" w:rsidRDefault="00B851A8" w:rsidP="00B851A8">
      <w:pPr>
        <w:pStyle w:val="SingleTxtG"/>
        <w:rPr>
          <w:sz w:val="24"/>
          <w:szCs w:val="24"/>
        </w:rPr>
      </w:pPr>
      <w:r w:rsidRPr="009B364F">
        <w:rPr>
          <w:lang w:val="fr-FR"/>
        </w:rPr>
        <w:t>13</w:t>
      </w:r>
      <w:r w:rsidR="004D2825" w:rsidRPr="004D2825">
        <w:rPr>
          <w:lang w:val="fr-FR"/>
        </w:rPr>
        <w:t>.</w:t>
      </w:r>
      <w:r w:rsidRPr="009B364F">
        <w:rPr>
          <w:lang w:val="fr-FR"/>
        </w:rPr>
        <w:tab/>
        <w:t>Aucune incidence sur la sécurité n</w:t>
      </w:r>
      <w:r>
        <w:rPr>
          <w:lang w:val="fr-FR"/>
        </w:rPr>
        <w:t>’</w:t>
      </w:r>
      <w:r w:rsidRPr="009B364F">
        <w:rPr>
          <w:lang w:val="fr-FR"/>
        </w:rPr>
        <w:t>est prévue dans le cadre de la proposition</w:t>
      </w:r>
      <w:r w:rsidR="004D2825" w:rsidRPr="004D2825">
        <w:rPr>
          <w:lang w:val="fr-FR"/>
        </w:rPr>
        <w:t>.</w:t>
      </w:r>
      <w:r w:rsidRPr="009B364F">
        <w:rPr>
          <w:lang w:val="fr-FR"/>
        </w:rPr>
        <w:t xml:space="preserve"> </w:t>
      </w:r>
      <w:r>
        <w:rPr>
          <w:lang w:val="fr-FR"/>
        </w:rPr>
        <w:t xml:space="preserve">Les professionnels sont </w:t>
      </w:r>
      <w:r w:rsidRPr="009B364F">
        <w:rPr>
          <w:lang w:val="fr-FR"/>
        </w:rPr>
        <w:t>d</w:t>
      </w:r>
      <w:r>
        <w:rPr>
          <w:lang w:val="fr-FR"/>
        </w:rPr>
        <w:t>’</w:t>
      </w:r>
      <w:r w:rsidRPr="009B364F">
        <w:rPr>
          <w:lang w:val="fr-FR"/>
        </w:rPr>
        <w:t xml:space="preserve">avis que </w:t>
      </w:r>
      <w:r>
        <w:rPr>
          <w:lang w:val="fr-FR"/>
        </w:rPr>
        <w:t>le</w:t>
      </w:r>
      <w:r w:rsidRPr="009B364F">
        <w:rPr>
          <w:lang w:val="fr-FR"/>
        </w:rPr>
        <w:t xml:space="preserve"> transport </w:t>
      </w:r>
      <w:r>
        <w:rPr>
          <w:lang w:val="fr-FR"/>
        </w:rPr>
        <w:t>des</w:t>
      </w:r>
      <w:r w:rsidRPr="009B364F">
        <w:rPr>
          <w:lang w:val="fr-FR"/>
        </w:rPr>
        <w:t xml:space="preserve"> mélange</w:t>
      </w:r>
      <w:r>
        <w:rPr>
          <w:lang w:val="fr-FR"/>
        </w:rPr>
        <w:t>s</w:t>
      </w:r>
      <w:r w:rsidRPr="009B364F">
        <w:rPr>
          <w:lang w:val="fr-FR"/>
        </w:rPr>
        <w:t xml:space="preserve"> GPL/DME </w:t>
      </w:r>
      <w:r>
        <w:rPr>
          <w:lang w:val="fr-FR"/>
        </w:rPr>
        <w:t xml:space="preserve">se fera dans les mêmes conditions de sécurité que le transport du </w:t>
      </w:r>
      <w:r w:rsidRPr="009B364F">
        <w:rPr>
          <w:lang w:val="fr-FR"/>
        </w:rPr>
        <w:t>GPL classique</w:t>
      </w:r>
      <w:r w:rsidR="004D2825" w:rsidRPr="004D2825">
        <w:rPr>
          <w:lang w:val="fr-FR"/>
        </w:rPr>
        <w:t>.</w:t>
      </w:r>
    </w:p>
    <w:p w14:paraId="28A0DDAA" w14:textId="77777777" w:rsidR="00B851A8" w:rsidRDefault="00B851A8" w:rsidP="00B851A8">
      <w:pPr>
        <w:suppressAutoHyphens w:val="0"/>
        <w:kinsoku/>
        <w:overflowPunct/>
        <w:autoSpaceDE/>
        <w:autoSpaceDN/>
        <w:adjustRightInd/>
        <w:snapToGrid/>
        <w:spacing w:after="200" w:line="276" w:lineRule="auto"/>
        <w:rPr>
          <w:rFonts w:asciiTheme="majorBidi" w:hAnsiTheme="majorBidi" w:cstheme="majorBidi"/>
          <w:b/>
          <w:bCs/>
          <w:sz w:val="28"/>
          <w:szCs w:val="28"/>
          <w:lang w:val="fr-FR"/>
        </w:rPr>
      </w:pPr>
      <w:r>
        <w:rPr>
          <w:rFonts w:asciiTheme="majorBidi" w:hAnsiTheme="majorBidi" w:cstheme="majorBidi"/>
          <w:bCs/>
          <w:szCs w:val="28"/>
          <w:lang w:val="fr-FR"/>
        </w:rPr>
        <w:br w:type="page"/>
      </w:r>
    </w:p>
    <w:p w14:paraId="3E6487EB" w14:textId="77777777" w:rsidR="00B851A8" w:rsidRPr="00C23C47" w:rsidRDefault="00B851A8" w:rsidP="00B851A8">
      <w:pPr>
        <w:pStyle w:val="HChG"/>
        <w:rPr>
          <w:rFonts w:eastAsia="Arial"/>
        </w:rPr>
      </w:pPr>
      <w:r w:rsidRPr="00C23C47">
        <w:rPr>
          <w:lang w:val="fr-FR"/>
        </w:rPr>
        <w:lastRenderedPageBreak/>
        <w:t>Annexe I</w:t>
      </w:r>
    </w:p>
    <w:p w14:paraId="31BF0EF3" w14:textId="77777777" w:rsidR="00B851A8" w:rsidRPr="00C23C47" w:rsidRDefault="00B851A8" w:rsidP="00B851A8">
      <w:pPr>
        <w:pStyle w:val="HChG"/>
        <w:rPr>
          <w:rFonts w:eastAsia="Arial"/>
        </w:rPr>
      </w:pPr>
      <w:r w:rsidRPr="00497F60">
        <w:rPr>
          <w:sz w:val="24"/>
          <w:szCs w:val="24"/>
          <w:lang w:val="fr-FR"/>
        </w:rPr>
        <w:tab/>
      </w:r>
      <w:r w:rsidRPr="00497F60">
        <w:rPr>
          <w:sz w:val="24"/>
          <w:szCs w:val="24"/>
          <w:lang w:val="fr-FR"/>
        </w:rPr>
        <w:tab/>
      </w:r>
      <w:r w:rsidRPr="00C23C47">
        <w:rPr>
          <w:lang w:val="fr-FR"/>
        </w:rPr>
        <w:t xml:space="preserve">Courbes pression-température pour le DME, le butane, </w:t>
      </w:r>
      <w:r>
        <w:rPr>
          <w:lang w:val="fr-FR"/>
        </w:rPr>
        <w:br/>
      </w:r>
      <w:r w:rsidRPr="00C23C47">
        <w:rPr>
          <w:lang w:val="fr-FR"/>
        </w:rPr>
        <w:t>le propane et les mélanges butane/propane</w:t>
      </w:r>
    </w:p>
    <w:p w14:paraId="38F9A17C" w14:textId="09AD4C2F" w:rsidR="00B851A8" w:rsidRDefault="00B851A8" w:rsidP="00B851A8">
      <w:r w:rsidRPr="00497F60">
        <w:rPr>
          <w:rFonts w:asciiTheme="majorBidi" w:hAnsiTheme="majorBidi" w:cstheme="majorBidi"/>
          <w:noProof/>
          <w:sz w:val="24"/>
          <w:szCs w:val="24"/>
        </w:rPr>
        <w:drawing>
          <wp:inline distT="0" distB="0" distL="0" distR="0" wp14:anchorId="58505AA0" wp14:editId="1DB184C5">
            <wp:extent cx="6120765" cy="3135580"/>
            <wp:effectExtent l="0" t="0" r="0" b="825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8"/>
                    <a:stretch>
                      <a:fillRect/>
                    </a:stretch>
                  </pic:blipFill>
                  <pic:spPr>
                    <a:xfrm>
                      <a:off x="0" y="0"/>
                      <a:ext cx="6120765" cy="3135580"/>
                    </a:xfrm>
                    <a:prstGeom prst="rect">
                      <a:avLst/>
                    </a:prstGeom>
                  </pic:spPr>
                </pic:pic>
              </a:graphicData>
            </a:graphic>
          </wp:inline>
        </w:drawing>
      </w:r>
    </w:p>
    <w:p w14:paraId="10366E8D" w14:textId="2D47A5EC" w:rsidR="00446FE5" w:rsidRPr="00B851A8" w:rsidRDefault="00B851A8" w:rsidP="00B851A8">
      <w:pPr>
        <w:pStyle w:val="SingleTxtG"/>
        <w:spacing w:before="240" w:after="0"/>
        <w:jc w:val="center"/>
        <w:rPr>
          <w:u w:val="single"/>
        </w:rPr>
      </w:pPr>
      <w:r>
        <w:rPr>
          <w:u w:val="single"/>
        </w:rPr>
        <w:tab/>
      </w:r>
      <w:r>
        <w:rPr>
          <w:u w:val="single"/>
        </w:rPr>
        <w:tab/>
      </w:r>
      <w:r>
        <w:rPr>
          <w:u w:val="single"/>
        </w:rPr>
        <w:tab/>
      </w:r>
    </w:p>
    <w:sectPr w:rsidR="00446FE5" w:rsidRPr="00B851A8" w:rsidSect="00B851A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82AF" w14:textId="77777777" w:rsidR="00B41D14" w:rsidRDefault="00B41D14" w:rsidP="00F95C08">
      <w:pPr>
        <w:spacing w:line="240" w:lineRule="auto"/>
      </w:pPr>
    </w:p>
  </w:endnote>
  <w:endnote w:type="continuationSeparator" w:id="0">
    <w:p w14:paraId="202636E6" w14:textId="77777777" w:rsidR="00B41D14" w:rsidRPr="00AC3823" w:rsidRDefault="00B41D14" w:rsidP="00AC3823">
      <w:pPr>
        <w:pStyle w:val="Footer"/>
      </w:pPr>
    </w:p>
  </w:endnote>
  <w:endnote w:type="continuationNotice" w:id="1">
    <w:p w14:paraId="3C6DA72E" w14:textId="77777777" w:rsidR="00B41D14" w:rsidRDefault="00B41D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784" w14:textId="76C51AE0" w:rsidR="00B851A8" w:rsidRPr="00B851A8" w:rsidRDefault="00B851A8" w:rsidP="00B851A8">
    <w:pPr>
      <w:pStyle w:val="Footer"/>
      <w:tabs>
        <w:tab w:val="right" w:pos="9638"/>
      </w:tabs>
    </w:pPr>
    <w:r w:rsidRPr="00B851A8">
      <w:rPr>
        <w:b/>
        <w:sz w:val="18"/>
      </w:rPr>
      <w:fldChar w:fldCharType="begin"/>
    </w:r>
    <w:r w:rsidRPr="00B851A8">
      <w:rPr>
        <w:b/>
        <w:sz w:val="18"/>
      </w:rPr>
      <w:instrText xml:space="preserve"> PAGE  \* MERGEFORMAT </w:instrText>
    </w:r>
    <w:r w:rsidRPr="00B851A8">
      <w:rPr>
        <w:b/>
        <w:sz w:val="18"/>
      </w:rPr>
      <w:fldChar w:fldCharType="separate"/>
    </w:r>
    <w:r w:rsidRPr="00B851A8">
      <w:rPr>
        <w:b/>
        <w:noProof/>
        <w:sz w:val="18"/>
      </w:rPr>
      <w:t>2</w:t>
    </w:r>
    <w:r w:rsidRPr="00B851A8">
      <w:rPr>
        <w:b/>
        <w:sz w:val="18"/>
      </w:rPr>
      <w:fldChar w:fldCharType="end"/>
    </w:r>
    <w:r>
      <w:rPr>
        <w:b/>
        <w:sz w:val="18"/>
      </w:rPr>
      <w:tab/>
    </w:r>
    <w:r>
      <w:t>GE.22-13852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1D52" w14:textId="35E09DC4" w:rsidR="00B851A8" w:rsidRPr="00B851A8" w:rsidRDefault="00B851A8" w:rsidP="00B851A8">
    <w:pPr>
      <w:pStyle w:val="Footer"/>
      <w:tabs>
        <w:tab w:val="right" w:pos="9638"/>
      </w:tabs>
      <w:rPr>
        <w:b/>
        <w:sz w:val="18"/>
      </w:rPr>
    </w:pPr>
    <w:r>
      <w:t>GE.22-13852</w:t>
    </w:r>
    <w:r>
      <w:tab/>
    </w:r>
    <w:r w:rsidRPr="00B851A8">
      <w:rPr>
        <w:b/>
        <w:sz w:val="18"/>
      </w:rPr>
      <w:fldChar w:fldCharType="begin"/>
    </w:r>
    <w:r w:rsidRPr="00B851A8">
      <w:rPr>
        <w:b/>
        <w:sz w:val="18"/>
      </w:rPr>
      <w:instrText xml:space="preserve"> PAGE  \* MERGEFORMAT </w:instrText>
    </w:r>
    <w:r w:rsidRPr="00B851A8">
      <w:rPr>
        <w:b/>
        <w:sz w:val="18"/>
      </w:rPr>
      <w:fldChar w:fldCharType="separate"/>
    </w:r>
    <w:r w:rsidRPr="00B851A8">
      <w:rPr>
        <w:b/>
        <w:noProof/>
        <w:sz w:val="18"/>
      </w:rPr>
      <w:t>3</w:t>
    </w:r>
    <w:r w:rsidRPr="00B851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BEB1" w14:textId="604AD133" w:rsidR="0068456F" w:rsidRPr="00B851A8" w:rsidRDefault="00B851A8" w:rsidP="00B851A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2E8D31D" wp14:editId="52DE4C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13852  (</w:t>
    </w:r>
    <w:proofErr w:type="gramEnd"/>
    <w:r>
      <w:rPr>
        <w:sz w:val="20"/>
      </w:rPr>
      <w:t>F)</w:t>
    </w:r>
    <w:r>
      <w:rPr>
        <w:noProof/>
        <w:sz w:val="20"/>
      </w:rPr>
      <w:drawing>
        <wp:anchor distT="0" distB="0" distL="114300" distR="114300" simplePos="0" relativeHeight="251660288" behindDoc="0" locked="0" layoutInCell="1" allowOverlap="1" wp14:anchorId="0BDA659C" wp14:editId="04351E9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051022    051022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CFDF" w14:textId="77777777" w:rsidR="00B41D14" w:rsidRPr="00AC3823" w:rsidRDefault="00B41D14" w:rsidP="00AC3823">
      <w:pPr>
        <w:pStyle w:val="Footer"/>
        <w:tabs>
          <w:tab w:val="right" w:pos="2155"/>
        </w:tabs>
        <w:spacing w:after="80" w:line="240" w:lineRule="atLeast"/>
        <w:ind w:left="680"/>
        <w:rPr>
          <w:u w:val="single"/>
        </w:rPr>
      </w:pPr>
      <w:r>
        <w:rPr>
          <w:u w:val="single"/>
        </w:rPr>
        <w:tab/>
      </w:r>
    </w:p>
  </w:footnote>
  <w:footnote w:type="continuationSeparator" w:id="0">
    <w:p w14:paraId="4405B0AE" w14:textId="77777777" w:rsidR="00B41D14" w:rsidRPr="00AC3823" w:rsidRDefault="00B41D14" w:rsidP="00AC3823">
      <w:pPr>
        <w:pStyle w:val="Footer"/>
        <w:tabs>
          <w:tab w:val="right" w:pos="2155"/>
        </w:tabs>
        <w:spacing w:after="80" w:line="240" w:lineRule="atLeast"/>
        <w:ind w:left="680"/>
        <w:rPr>
          <w:u w:val="single"/>
        </w:rPr>
      </w:pPr>
      <w:r>
        <w:rPr>
          <w:u w:val="single"/>
        </w:rPr>
        <w:tab/>
      </w:r>
    </w:p>
  </w:footnote>
  <w:footnote w:type="continuationNotice" w:id="1">
    <w:p w14:paraId="2D51B02B" w14:textId="77777777" w:rsidR="00B41D14" w:rsidRPr="00AC3823" w:rsidRDefault="00B41D14">
      <w:pPr>
        <w:spacing w:line="240" w:lineRule="auto"/>
        <w:rPr>
          <w:sz w:val="2"/>
          <w:szCs w:val="2"/>
        </w:rPr>
      </w:pPr>
    </w:p>
  </w:footnote>
  <w:footnote w:id="2">
    <w:p w14:paraId="3E3F2879" w14:textId="0606A8D4" w:rsidR="00B851A8" w:rsidRPr="00C15547" w:rsidRDefault="00B851A8" w:rsidP="00B851A8">
      <w:pPr>
        <w:pStyle w:val="FootnoteText"/>
      </w:pPr>
      <w:r w:rsidRPr="00263FD9">
        <w:rPr>
          <w:rStyle w:val="FootnoteReference"/>
          <w:sz w:val="20"/>
          <w:vertAlign w:val="baseline"/>
        </w:rPr>
        <w:tab/>
      </w:r>
      <w:r w:rsidRPr="00C15547">
        <w:rPr>
          <w:rStyle w:val="FootnoteReference"/>
          <w:sz w:val="20"/>
          <w:vertAlign w:val="baseline"/>
        </w:rPr>
        <w:t>*</w:t>
      </w:r>
      <w:r w:rsidRPr="00263FD9">
        <w:rPr>
          <w:rStyle w:val="FootnoteReference"/>
          <w:sz w:val="20"/>
          <w:vertAlign w:val="baseline"/>
        </w:rPr>
        <w:tab/>
      </w:r>
      <w:r>
        <w:rPr>
          <w:lang w:val="fr-FR"/>
        </w:rPr>
        <w:t>A/75/6 (Sect</w:t>
      </w:r>
      <w:r w:rsidR="004D2825" w:rsidRPr="004D2825">
        <w:rPr>
          <w:lang w:val="fr-FR"/>
        </w:rPr>
        <w:t>.</w:t>
      </w:r>
      <w:r>
        <w:rPr>
          <w:lang w:val="fr-FR"/>
        </w:rPr>
        <w:t xml:space="preserve"> 20), par</w:t>
      </w:r>
      <w:r w:rsidR="004D2825" w:rsidRPr="004D2825">
        <w:rPr>
          <w:lang w:val="fr-FR"/>
        </w:rPr>
        <w:t>.</w:t>
      </w:r>
      <w:r>
        <w:rPr>
          <w:lang w:val="fr-FR"/>
        </w:rPr>
        <w:t xml:space="preserve"> 20</w:t>
      </w:r>
      <w:r w:rsidR="004D2825" w:rsidRPr="004D2825">
        <w:rPr>
          <w:lang w:val="fr-FR"/>
        </w:rPr>
        <w:t>.</w:t>
      </w:r>
      <w:r>
        <w:rPr>
          <w:lang w:val="fr-FR"/>
        </w:rPr>
        <w:t>51</w:t>
      </w:r>
      <w:r w:rsidR="004D2825" w:rsidRPr="004D2825">
        <w:rPr>
          <w:lang w:val="fr-FR"/>
        </w:rPr>
        <w:t>.</w:t>
      </w:r>
    </w:p>
  </w:footnote>
  <w:footnote w:id="3">
    <w:p w14:paraId="40CA4199" w14:textId="69533524" w:rsidR="00B851A8" w:rsidRDefault="00B851A8">
      <w:pPr>
        <w:pStyle w:val="FootnoteText"/>
      </w:pPr>
      <w:r>
        <w:tab/>
      </w:r>
      <w:r>
        <w:rPr>
          <w:rStyle w:val="FootnoteReference"/>
        </w:rPr>
        <w:footnoteRef/>
      </w:r>
      <w:r>
        <w:tab/>
      </w:r>
      <w:r>
        <w:rPr>
          <w:lang w:val="fr-FR"/>
        </w:rPr>
        <w:t>La quantité XX de DME, c’est-à-dire le niveau d’introduction de DME dans le mélange GPL/DME, permettant une compatibilité totale avec les équipements et appareils de l’infrastructure GPL existante, sans aucune incidence sur la sécurité, devrait être comprise entre 10 et 20 %</w:t>
      </w:r>
      <w:r w:rsidR="004D2825" w:rsidRPr="004D2825">
        <w:rPr>
          <w:lang w:val="fr-FR"/>
        </w:rPr>
        <w:t>.</w:t>
      </w:r>
      <w:r>
        <w:rPr>
          <w:lang w:val="fr-FR"/>
        </w:rPr>
        <w:t xml:space="preserve"> Les recherches en cours ont déjà </w:t>
      </w:r>
      <w:r>
        <w:rPr>
          <w:u w:val="single"/>
          <w:lang w:val="fr-FR"/>
        </w:rPr>
        <w:t>confirmé la compatibilité totale à 10 % en masse</w:t>
      </w:r>
      <w:r>
        <w:rPr>
          <w:lang w:val="fr-FR"/>
        </w:rPr>
        <w:t xml:space="preserve"> et ce chiffre devrait augmenter avec l’achèvement des travaux de recherche</w:t>
      </w:r>
      <w:r w:rsidR="004D2825" w:rsidRPr="004D2825">
        <w:rPr>
          <w:lang w:val="fr-FR"/>
        </w:rPr>
        <w:t>.</w:t>
      </w:r>
      <w:r>
        <w:rPr>
          <w:lang w:val="fr-FR"/>
        </w:rPr>
        <w:t xml:space="preserve"> Il sera fermement défini et formellement soumis à la réunion de juin/juillet 2023 pour approbation finale</w:t>
      </w:r>
      <w:r w:rsidR="004D2825" w:rsidRPr="004D282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BD56" w14:textId="5F128578" w:rsidR="00B851A8" w:rsidRPr="00B851A8" w:rsidRDefault="00B14C1D">
    <w:pPr>
      <w:pStyle w:val="Header"/>
    </w:pPr>
    <w:r>
      <w:fldChar w:fldCharType="begin"/>
    </w:r>
    <w:r>
      <w:instrText xml:space="preserve"> TITLE  \* MERGEFORMAT </w:instrText>
    </w:r>
    <w:r>
      <w:fldChar w:fldCharType="separate"/>
    </w:r>
    <w:r>
      <w:t>ST/SG/AC.10/C.3/2022/53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20DC" w14:textId="192839C7" w:rsidR="00B851A8" w:rsidRPr="00B851A8" w:rsidRDefault="00B14C1D" w:rsidP="00B851A8">
    <w:pPr>
      <w:pStyle w:val="Header"/>
      <w:jc w:val="right"/>
    </w:pPr>
    <w:r>
      <w:fldChar w:fldCharType="begin"/>
    </w:r>
    <w:r>
      <w:instrText xml:space="preserve"> TITLE  \* MERGEFORMAT </w:instrText>
    </w:r>
    <w:r>
      <w:fldChar w:fldCharType="separate"/>
    </w:r>
    <w:r>
      <w:t>ST/SG/AC.10/C.3/2022/53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A53B31"/>
    <w:multiLevelType w:val="hybridMultilevel"/>
    <w:tmpl w:val="4510F102"/>
    <w:lvl w:ilvl="0" w:tplc="46B88EB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14"/>
    <w:rsid w:val="00015174"/>
    <w:rsid w:val="00017F94"/>
    <w:rsid w:val="00023842"/>
    <w:rsid w:val="000305D3"/>
    <w:rsid w:val="000334F9"/>
    <w:rsid w:val="0007796D"/>
    <w:rsid w:val="000B7790"/>
    <w:rsid w:val="00111F2F"/>
    <w:rsid w:val="00112BA5"/>
    <w:rsid w:val="00132EA9"/>
    <w:rsid w:val="0014365E"/>
    <w:rsid w:val="00155219"/>
    <w:rsid w:val="00172E49"/>
    <w:rsid w:val="00176178"/>
    <w:rsid w:val="001B4B3B"/>
    <w:rsid w:val="001F525A"/>
    <w:rsid w:val="00223272"/>
    <w:rsid w:val="0024779E"/>
    <w:rsid w:val="00263FD9"/>
    <w:rsid w:val="00283190"/>
    <w:rsid w:val="002832AC"/>
    <w:rsid w:val="002D7C93"/>
    <w:rsid w:val="00441C3B"/>
    <w:rsid w:val="00446FE5"/>
    <w:rsid w:val="00452396"/>
    <w:rsid w:val="004D2825"/>
    <w:rsid w:val="004E2972"/>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9E603E"/>
    <w:rsid w:val="00A30353"/>
    <w:rsid w:val="00A81281"/>
    <w:rsid w:val="00AC3823"/>
    <w:rsid w:val="00AE323C"/>
    <w:rsid w:val="00B00181"/>
    <w:rsid w:val="00B00B0D"/>
    <w:rsid w:val="00B14C1D"/>
    <w:rsid w:val="00B41D14"/>
    <w:rsid w:val="00B765F7"/>
    <w:rsid w:val="00B851A8"/>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21DEF"/>
  <w15:docId w15:val="{F1386D33-AE32-4104-81EF-8D19DC62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B851A8"/>
    <w:rPr>
      <w:rFonts w:ascii="Times New Roman" w:eastAsiaTheme="minorHAnsi" w:hAnsi="Times New Roman" w:cs="Times New Roman"/>
      <w:b/>
      <w:sz w:val="24"/>
      <w:szCs w:val="20"/>
      <w:lang w:eastAsia="en-US"/>
    </w:rPr>
  </w:style>
  <w:style w:type="character" w:customStyle="1" w:styleId="HChGChar">
    <w:name w:val="_ H _Ch_G Char"/>
    <w:link w:val="HChG"/>
    <w:qFormat/>
    <w:locked/>
    <w:rsid w:val="00B851A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B851A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F702275-BFB3-4F37-8C01-A4195BA0E12F}"/>
</file>

<file path=customXml/itemProps2.xml><?xml version="1.0" encoding="utf-8"?>
<ds:datastoreItem xmlns:ds="http://schemas.openxmlformats.org/officeDocument/2006/customXml" ds:itemID="{7D469C82-27A8-47D2-AD35-1A4C21C5A051}"/>
</file>

<file path=customXml/itemProps3.xml><?xml version="1.0" encoding="utf-8"?>
<ds:datastoreItem xmlns:ds="http://schemas.openxmlformats.org/officeDocument/2006/customXml" ds:itemID="{C6B32B34-3800-44A5-A29B-0D123CCDA641}"/>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7550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ST/SG/AC.10/C.3/2022/53</vt:lpstr>
    </vt:vector>
  </TitlesOfParts>
  <Company>DCM</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ST/SG/AC.10/C.3/2022/53</dc:title>
  <dc:subject/>
  <dc:creator>Maud DARICHE</dc:creator>
  <cp:keywords/>
  <cp:lastModifiedBy>Laurence Berthet</cp:lastModifiedBy>
  <cp:revision>3</cp:revision>
  <cp:lastPrinted>2022-10-05T11:21:00Z</cp:lastPrinted>
  <dcterms:created xsi:type="dcterms:W3CDTF">2022-10-05T11:21:00Z</dcterms:created>
  <dcterms:modified xsi:type="dcterms:W3CDTF">2022-10-05T11:21:00Z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