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5E69" w14:textId="77777777" w:rsidR="00477F7C" w:rsidRDefault="00477F7C" w:rsidP="0082103C">
      <w:pPr>
        <w:spacing w:before="120"/>
        <w:rPr>
          <w:rFonts w:asciiTheme="majorBidi" w:hAnsiTheme="majorBidi" w:cstheme="majorBidi"/>
          <w:b/>
        </w:rPr>
      </w:pPr>
    </w:p>
    <w:p w14:paraId="76E6EF02" w14:textId="77777777" w:rsidR="00477F7C" w:rsidRDefault="00477F7C" w:rsidP="0082103C">
      <w:pPr>
        <w:spacing w:before="120"/>
        <w:rPr>
          <w:rFonts w:asciiTheme="majorBidi" w:hAnsiTheme="majorBidi" w:cstheme="majorBidi"/>
          <w:b/>
        </w:rPr>
      </w:pPr>
    </w:p>
    <w:p w14:paraId="3D257862" w14:textId="4D5B7423" w:rsidR="005055BF" w:rsidRDefault="002C0C47" w:rsidP="002C0C47">
      <w:pPr>
        <w:pStyle w:val="HChG"/>
      </w:pPr>
      <w:r w:rsidRPr="0072183C">
        <w:tab/>
      </w:r>
      <w:r w:rsidRPr="0072183C">
        <w:tab/>
      </w:r>
      <w:r w:rsidR="00F254D5" w:rsidRPr="005973A3">
        <w:t xml:space="preserve">Proposal </w:t>
      </w:r>
      <w:r w:rsidR="0057039A" w:rsidRPr="005973A3">
        <w:t xml:space="preserve">for </w:t>
      </w:r>
      <w:r w:rsidR="004D560F">
        <w:t>amendments</w:t>
      </w:r>
      <w:r w:rsidR="00FB174B">
        <w:t xml:space="preserve"> to</w:t>
      </w:r>
      <w:r w:rsidR="00161F22">
        <w:t xml:space="preserve"> </w:t>
      </w:r>
      <w:bookmarkStart w:id="0" w:name="_Hlk116285359"/>
      <w:r w:rsidR="00FB174B">
        <w:t xml:space="preserve">UN Regulation No. </w:t>
      </w:r>
      <w:r w:rsidR="008F083A">
        <w:t>46</w:t>
      </w:r>
      <w:r w:rsidR="00FB174B">
        <w:t xml:space="preserve"> (</w:t>
      </w:r>
      <w:r w:rsidR="008F083A">
        <w:rPr>
          <w:bCs/>
        </w:rPr>
        <w:t>Devices for indirect vision</w:t>
      </w:r>
      <w:r w:rsidR="00FB174B">
        <w:t>)</w:t>
      </w:r>
    </w:p>
    <w:bookmarkEnd w:id="0"/>
    <w:p w14:paraId="2B381787" w14:textId="3D95C218" w:rsidR="002E5C78" w:rsidRPr="005973A3" w:rsidRDefault="005055BF" w:rsidP="008F083A">
      <w:pPr>
        <w:pStyle w:val="HChG"/>
      </w:pPr>
      <w:r>
        <w:tab/>
      </w:r>
      <w:r w:rsidR="002C0C47" w:rsidRPr="0072183C">
        <w:tab/>
      </w:r>
    </w:p>
    <w:p w14:paraId="3D45E7E0" w14:textId="519550BF" w:rsidR="005055BF" w:rsidRDefault="005055BF" w:rsidP="005C55E1">
      <w:pPr>
        <w:pStyle w:val="SingleTxtG"/>
        <w:ind w:left="1138" w:right="1138" w:firstLine="563"/>
      </w:pPr>
      <w:r w:rsidRPr="005055BF">
        <w:t xml:space="preserve">The text reproduced below was prepared by the expert from the International Organization of Motor Vehicle Manufacturers (OICA) to </w:t>
      </w:r>
      <w:r w:rsidR="000E12D3">
        <w:t xml:space="preserve">introduce provisions for exterior rear-view mirrors fixed to the protective housing. </w:t>
      </w:r>
      <w:r w:rsidRPr="005055BF">
        <w:t xml:space="preserve">The modifications to the </w:t>
      </w:r>
      <w:r w:rsidR="000E12D3">
        <w:t xml:space="preserve">current </w:t>
      </w:r>
      <w:r w:rsidR="008F083A">
        <w:t>text of the regulation</w:t>
      </w:r>
      <w:r w:rsidRPr="005055BF">
        <w:t xml:space="preserve"> are marked in </w:t>
      </w:r>
      <w:r w:rsidR="008F083A">
        <w:t>bold for new and strikethrough for deleted</w:t>
      </w:r>
      <w:r>
        <w:t xml:space="preserve"> characters</w:t>
      </w:r>
      <w:r w:rsidR="008F083A">
        <w:t>.</w:t>
      </w:r>
    </w:p>
    <w:p w14:paraId="7018E3F3" w14:textId="77777777" w:rsidR="005055BF" w:rsidRDefault="005055BF" w:rsidP="005C55E1">
      <w:pPr>
        <w:pStyle w:val="SingleTxtG"/>
        <w:ind w:left="1138" w:right="1138" w:firstLine="563"/>
      </w:pPr>
    </w:p>
    <w:p w14:paraId="50B62D92" w14:textId="63240714" w:rsidR="00DF0E34" w:rsidRPr="005973A3" w:rsidRDefault="00B9350C" w:rsidP="00E12118">
      <w:pPr>
        <w:pStyle w:val="HChG"/>
        <w:rPr>
          <w:rFonts w:asciiTheme="majorBidi" w:hAnsiTheme="majorBidi" w:cstheme="majorBidi"/>
          <w:b w:val="0"/>
        </w:rPr>
      </w:pPr>
      <w:r w:rsidRPr="005973A3">
        <w:rPr>
          <w:rFonts w:asciiTheme="majorBidi" w:hAnsiTheme="majorBidi" w:cstheme="majorBidi"/>
          <w:szCs w:val="28"/>
        </w:rPr>
        <w:tab/>
      </w:r>
      <w:r w:rsidR="00DF0E34" w:rsidRPr="005973A3">
        <w:rPr>
          <w:rFonts w:asciiTheme="majorBidi" w:hAnsiTheme="majorBidi" w:cstheme="majorBidi"/>
        </w:rPr>
        <w:t>I.</w:t>
      </w:r>
      <w:r w:rsidR="00DF0E34" w:rsidRPr="005973A3">
        <w:rPr>
          <w:rFonts w:asciiTheme="majorBidi" w:hAnsiTheme="majorBidi" w:cstheme="majorBidi"/>
        </w:rPr>
        <w:tab/>
      </w:r>
      <w:r w:rsidR="00DF0E34" w:rsidRPr="005973A3">
        <w:t>Proposal</w:t>
      </w:r>
    </w:p>
    <w:p w14:paraId="4F49D2EA" w14:textId="7F738AA6" w:rsidR="004D560F" w:rsidRDefault="004D560F" w:rsidP="004D560F">
      <w:pPr>
        <w:spacing w:before="120" w:after="120"/>
        <w:ind w:left="1134" w:right="1134"/>
        <w:jc w:val="both"/>
        <w:rPr>
          <w:lang w:eastAsia="fr-FR"/>
        </w:rPr>
      </w:pPr>
      <w:r>
        <w:rPr>
          <w:i/>
          <w:iCs/>
          <w:lang w:eastAsia="fr-FR"/>
        </w:rPr>
        <w:t xml:space="preserve">Paragraph </w:t>
      </w:r>
      <w:r w:rsidR="0081366C">
        <w:rPr>
          <w:i/>
          <w:iCs/>
          <w:lang w:eastAsia="fr-FR"/>
        </w:rPr>
        <w:t>6.1.1.2</w:t>
      </w:r>
      <w:r>
        <w:rPr>
          <w:i/>
          <w:iCs/>
          <w:lang w:eastAsia="fr-FR"/>
        </w:rPr>
        <w:t xml:space="preserve">., </w:t>
      </w:r>
      <w:r>
        <w:rPr>
          <w:lang w:eastAsia="fr-FR"/>
        </w:rPr>
        <w:t>amend to read:</w:t>
      </w:r>
    </w:p>
    <w:p w14:paraId="689845D9" w14:textId="34BC7691" w:rsidR="00A51B4C" w:rsidRDefault="00A51B4C" w:rsidP="004D560F">
      <w:pPr>
        <w:spacing w:before="120" w:after="120"/>
        <w:ind w:left="1134" w:right="1134"/>
        <w:jc w:val="both"/>
        <w:rPr>
          <w:lang w:eastAsia="fr-FR"/>
        </w:rPr>
      </w:pPr>
    </w:p>
    <w:p w14:paraId="38D1E51D" w14:textId="77777777" w:rsidR="00A51B4C" w:rsidRPr="000566AE" w:rsidRDefault="00A51B4C" w:rsidP="00A51B4C">
      <w:pPr>
        <w:spacing w:after="120"/>
        <w:ind w:left="2268" w:right="1134" w:hanging="1134"/>
        <w:jc w:val="both"/>
      </w:pPr>
      <w:r w:rsidRPr="000566AE">
        <w:t>6.1.1.2.</w:t>
      </w:r>
      <w:r w:rsidRPr="000566AE">
        <w:tab/>
        <w:t>(a)</w:t>
      </w:r>
      <w:r w:rsidRPr="000566AE">
        <w:tab/>
        <w:t>Rear-view mirrors (Classes II to VII)</w:t>
      </w:r>
    </w:p>
    <w:p w14:paraId="1D2BBA27" w14:textId="77777777" w:rsidR="000D7399" w:rsidRPr="000D7399" w:rsidRDefault="00A51B4C" w:rsidP="000D7399">
      <w:pPr>
        <w:spacing w:after="120"/>
        <w:ind w:left="2835" w:right="1134"/>
        <w:jc w:val="both"/>
        <w:rPr>
          <w:strike/>
        </w:rPr>
      </w:pPr>
      <w:r w:rsidRPr="000566AE">
        <w:tab/>
      </w:r>
      <w:r w:rsidR="000D7399" w:rsidRPr="000D7399">
        <w:rPr>
          <w:strike/>
        </w:rPr>
        <w:t>The edge of the reflecting surface shall be enclosed in a protective housing (holder, etc.) which, on its perimeter, shall have a value "c" greater than or equal to 2.5 mm at all points and in all directions.</w:t>
      </w:r>
    </w:p>
    <w:p w14:paraId="31911B8C" w14:textId="15137D82" w:rsidR="000D7399" w:rsidRPr="000D7399" w:rsidRDefault="000D7399" w:rsidP="000D7399">
      <w:pPr>
        <w:spacing w:after="120"/>
        <w:ind w:left="2835" w:right="1134" w:hanging="1134"/>
        <w:jc w:val="both"/>
        <w:rPr>
          <w:b/>
          <w:bCs/>
        </w:rPr>
      </w:pPr>
      <w:r w:rsidRPr="000D7399">
        <w:rPr>
          <w:b/>
          <w:bCs/>
        </w:rPr>
        <w:tab/>
        <w:t>In cases where the edge of the reflecting surface is enclosed in a protective housing (holder, etc.), the radius of curvature "c" on its perimeter shall be not less than 2.5 mm at all points and in all directions.</w:t>
      </w:r>
    </w:p>
    <w:p w14:paraId="26DA983C" w14:textId="27C2941C" w:rsidR="000D7399" w:rsidRPr="000D7399" w:rsidRDefault="000D7399" w:rsidP="000D7399">
      <w:pPr>
        <w:spacing w:after="120"/>
        <w:ind w:left="2835" w:right="1134"/>
        <w:jc w:val="both"/>
        <w:rPr>
          <w:b/>
        </w:rPr>
      </w:pPr>
      <w:r w:rsidRPr="000D7399">
        <w:rPr>
          <w:b/>
          <w:bCs/>
        </w:rPr>
        <w:t>In cases where the edge of the reflecting surface projects beyond the protective housing independent from any adjustment position, the radius of curvature "c" shall apply to the edge of the projecting part.</w:t>
      </w:r>
    </w:p>
    <w:p w14:paraId="2B0F0F7D" w14:textId="6EB8AC45" w:rsidR="000D7399" w:rsidRPr="000D7399" w:rsidRDefault="000D7399" w:rsidP="000D7399">
      <w:pPr>
        <w:spacing w:after="120"/>
        <w:ind w:left="2835" w:right="1134"/>
        <w:jc w:val="both"/>
      </w:pPr>
      <w:r w:rsidRPr="000D7399">
        <w:rPr>
          <w:b/>
        </w:rPr>
        <w:t>In cases</w:t>
      </w:r>
      <w:r w:rsidRPr="000D7399">
        <w:t xml:space="preserve"> </w:t>
      </w:r>
      <w:r w:rsidRPr="000D7399">
        <w:rPr>
          <w:b/>
        </w:rPr>
        <w:t>where</w:t>
      </w:r>
      <w:r w:rsidRPr="000D7399">
        <w:t xml:space="preserve"> </w:t>
      </w:r>
      <w:r w:rsidRPr="000D7399">
        <w:rPr>
          <w:strike/>
        </w:rPr>
        <w:t>If</w:t>
      </w:r>
      <w:r w:rsidRPr="000D7399">
        <w:t xml:space="preserve"> the reflecting surface projects beyond the protective housing </w:t>
      </w:r>
      <w:r w:rsidRPr="000D7399">
        <w:rPr>
          <w:b/>
        </w:rPr>
        <w:t>in any adjustment position</w:t>
      </w:r>
      <w:r w:rsidRPr="000D7399">
        <w:t>, the radius of curvature "c" on the edge of the projecting part shall be not less than 2.5 mm and the reflecting surface shall return into the protective housing under a force of 50 N applied to the point of greatest projection, relative to the protective housing, in a horizontal direction, approximately parallel to the longitudinal median plane of the vehicle.</w:t>
      </w:r>
    </w:p>
    <w:p w14:paraId="7BD1F224" w14:textId="30BA9A90" w:rsidR="000D7399" w:rsidRPr="000D7399" w:rsidRDefault="000D7399" w:rsidP="000D7399">
      <w:pPr>
        <w:spacing w:after="120"/>
        <w:ind w:left="2835" w:right="1134" w:hanging="567"/>
        <w:jc w:val="both"/>
      </w:pPr>
      <w:r w:rsidRPr="000D7399">
        <w:t>(b)</w:t>
      </w:r>
      <w:r w:rsidRPr="000D7399">
        <w:tab/>
        <w:t>Rear-view mirrors (Class I)</w:t>
      </w:r>
    </w:p>
    <w:p w14:paraId="40435713" w14:textId="1C98267D" w:rsidR="000D7399" w:rsidRPr="000D7399" w:rsidRDefault="000D7399" w:rsidP="000D7399">
      <w:pPr>
        <w:spacing w:after="120"/>
        <w:ind w:left="2835" w:right="1134" w:hanging="1134"/>
        <w:jc w:val="both"/>
      </w:pPr>
      <w:r w:rsidRPr="000D7399">
        <w:tab/>
      </w:r>
      <w:r w:rsidRPr="000D7399">
        <w:tab/>
        <w:t>In cases where the edge of the reflecting surface is enclosed in a protective housing (holder, etc.), the radius of curvature "c" on its perimeter shall be not less than 2.5 mm at all points and in all directions. In cases, where the edge of the reflecting surface projects beyond the protective housing, this requirement shall apply to the edge of the projecting part."</w:t>
      </w:r>
    </w:p>
    <w:p w14:paraId="674F6B77" w14:textId="14094FC5" w:rsidR="00A51B4C" w:rsidRDefault="00A51B4C" w:rsidP="00A51B4C">
      <w:pPr>
        <w:spacing w:after="120"/>
        <w:ind w:left="2835" w:right="1134" w:hanging="1134"/>
        <w:jc w:val="both"/>
      </w:pPr>
    </w:p>
    <w:p w14:paraId="6DE3829E" w14:textId="6467CD57" w:rsidR="00895B0C" w:rsidRPr="00895B0C" w:rsidRDefault="00895B0C" w:rsidP="00C2516A">
      <w:pPr>
        <w:spacing w:after="120"/>
        <w:ind w:left="2835" w:right="1134" w:hanging="1701"/>
        <w:jc w:val="both"/>
      </w:pPr>
      <w:r w:rsidRPr="00895B0C">
        <w:t>For information only</w:t>
      </w:r>
      <w:r w:rsidR="001F6463">
        <w:t xml:space="preserve"> (text unchanged)</w:t>
      </w:r>
      <w:r w:rsidRPr="00895B0C">
        <w:t>:</w:t>
      </w:r>
    </w:p>
    <w:p w14:paraId="4C16DD1C" w14:textId="16DF11FD" w:rsidR="00895B0C" w:rsidRPr="00895B0C" w:rsidRDefault="00C2516A" w:rsidP="00C2516A">
      <w:pPr>
        <w:spacing w:after="120"/>
        <w:ind w:left="2268" w:right="1134" w:hanging="1134"/>
        <w:jc w:val="both"/>
      </w:pPr>
      <w:r>
        <w:t>“</w:t>
      </w:r>
      <w:r w:rsidR="00895B0C" w:rsidRPr="00895B0C">
        <w:t>6.1.1.3.</w:t>
      </w:r>
      <w:r w:rsidR="00895B0C" w:rsidRPr="00895B0C">
        <w:tab/>
        <w:t xml:space="preserve">When the mirror is mounted on a plane surface, all parts, irrespective of the adjustment position of the device, including those parts remaining attached to </w:t>
      </w:r>
      <w:r w:rsidR="00895B0C" w:rsidRPr="00895B0C">
        <w:lastRenderedPageBreak/>
        <w:t>the support after the test provided for in paragraph 6.3.2. below, which are in potential, static contact with a sphere either 165</w:t>
      </w:r>
      <w:r w:rsidR="00895B0C">
        <w:t> </w:t>
      </w:r>
      <w:r w:rsidR="00895B0C" w:rsidRPr="00895B0C">
        <w:t>mm in diameter in the case of a Class I mirror or 100</w:t>
      </w:r>
      <w:r w:rsidR="00895B0C">
        <w:t> </w:t>
      </w:r>
      <w:r w:rsidR="00895B0C" w:rsidRPr="00895B0C">
        <w:t>mm in diameter in the case of a Class II to VII mirror, shall have a radius of curvature 'c' of not less than 2.5 mm.</w:t>
      </w:r>
    </w:p>
    <w:p w14:paraId="242D62CD" w14:textId="4E603755" w:rsidR="00895B0C" w:rsidRDefault="00895B0C" w:rsidP="00C2516A">
      <w:pPr>
        <w:spacing w:after="120"/>
        <w:ind w:left="2268" w:right="1134" w:hanging="1134"/>
        <w:jc w:val="both"/>
      </w:pPr>
      <w:r w:rsidRPr="00895B0C">
        <w:t>6.1.1.4.</w:t>
      </w:r>
      <w:r w:rsidRPr="00895B0C">
        <w:tab/>
        <w:t>The requirements in paragraphs 6.1.1.2. and 6.1.1.3. above shall not apply to parts of the external surface which protrude less than 5 mm, but the outward facing angles of such parts shall be blunted, save where such parts protrude less than 1.5 mm. For determining the dimension of the projection, the following method shall apply:</w:t>
      </w:r>
      <w:r w:rsidR="00C2516A">
        <w:t>”</w:t>
      </w:r>
    </w:p>
    <w:p w14:paraId="5C378727" w14:textId="77777777" w:rsidR="00C2516A" w:rsidRPr="00895B0C" w:rsidRDefault="00C2516A" w:rsidP="00C2516A">
      <w:pPr>
        <w:spacing w:after="120"/>
        <w:ind w:left="2268" w:right="1134" w:hanging="1134"/>
        <w:jc w:val="both"/>
      </w:pPr>
    </w:p>
    <w:p w14:paraId="2967EA26" w14:textId="320DF57B" w:rsidR="00DF0E34" w:rsidRDefault="00B9350C" w:rsidP="00A51B4C">
      <w:pPr>
        <w:pStyle w:val="HChG"/>
        <w:rPr>
          <w:rFonts w:asciiTheme="majorBidi" w:hAnsiTheme="majorBidi" w:cstheme="majorBidi"/>
          <w:szCs w:val="28"/>
        </w:rPr>
      </w:pPr>
      <w:r w:rsidRPr="005973A3">
        <w:rPr>
          <w:rFonts w:asciiTheme="majorBidi" w:hAnsiTheme="majorBidi" w:cstheme="majorBidi"/>
          <w:szCs w:val="28"/>
        </w:rPr>
        <w:tab/>
      </w:r>
      <w:r w:rsidR="00DF0E34" w:rsidRPr="005973A3">
        <w:rPr>
          <w:rFonts w:asciiTheme="majorBidi" w:hAnsiTheme="majorBidi" w:cstheme="majorBidi"/>
          <w:szCs w:val="28"/>
        </w:rPr>
        <w:t>II</w:t>
      </w:r>
      <w:r w:rsidRPr="005973A3">
        <w:rPr>
          <w:rFonts w:asciiTheme="majorBidi" w:hAnsiTheme="majorBidi" w:cstheme="majorBidi"/>
          <w:szCs w:val="28"/>
        </w:rPr>
        <w:t>.</w:t>
      </w:r>
      <w:r w:rsidR="00DF0E34" w:rsidRPr="005973A3">
        <w:rPr>
          <w:rFonts w:asciiTheme="majorBidi" w:hAnsiTheme="majorBidi" w:cstheme="majorBidi"/>
          <w:szCs w:val="28"/>
        </w:rPr>
        <w:tab/>
        <w:t>Justification</w:t>
      </w:r>
    </w:p>
    <w:p w14:paraId="36B986A9" w14:textId="779CCB7D" w:rsidR="0081366C" w:rsidRPr="0081366C" w:rsidRDefault="0081366C" w:rsidP="0081366C">
      <w:pPr>
        <w:pStyle w:val="SingleTxtG"/>
        <w:ind w:left="1138" w:right="1138" w:firstLine="563"/>
      </w:pPr>
      <w:r w:rsidRPr="0081366C">
        <w:t>The current text of UN Regulation No. 46 on ‘Devices for indirect vision’ allows rear-view mirrors of Class I to have a reflecting surface which projects beyond the protective housing.</w:t>
      </w:r>
    </w:p>
    <w:p w14:paraId="066FE162" w14:textId="23505C55" w:rsidR="0081366C" w:rsidRPr="0081366C" w:rsidRDefault="0081366C" w:rsidP="0081366C">
      <w:pPr>
        <w:pStyle w:val="SingleTxtG"/>
        <w:ind w:left="1138" w:right="1138" w:firstLine="563"/>
      </w:pPr>
      <w:r w:rsidRPr="0081366C">
        <w:t>For Class II to VII mirrors, it is only possible to have a reflecting surface projecting beyond the housing in single adjustment positions. In this case, the reflecting surface must return into the protective housing if a force of 50 N is applied. This requirement cannot be met by mirrors where the reflecting surface is assembled onto the housing (frameless).</w:t>
      </w:r>
    </w:p>
    <w:p w14:paraId="0D2613DE" w14:textId="77777777" w:rsidR="0081366C" w:rsidRPr="0081366C" w:rsidRDefault="0081366C" w:rsidP="0081366C">
      <w:pPr>
        <w:pStyle w:val="SingleTxtG"/>
        <w:ind w:left="1138" w:right="1138" w:firstLine="563"/>
      </w:pPr>
      <w:r w:rsidRPr="0081366C">
        <w:t>A frameless design of the mirror could reduce the width and height of the mirror significantly (up to 30%). This would then have two major benefits: a reduction of collision probability with bicyclists/pedestrians and a reduction of the aerodynamic resistance (</w:t>
      </w:r>
      <w:proofErr w:type="spellStart"/>
      <w:r w:rsidRPr="0081366C">
        <w:t>c</w:t>
      </w:r>
      <w:r w:rsidRPr="0081366C">
        <w:softHyphen/>
      </w:r>
      <w:r w:rsidRPr="0081366C">
        <w:rPr>
          <w:vertAlign w:val="subscript"/>
        </w:rPr>
        <w:t>w</w:t>
      </w:r>
      <w:proofErr w:type="spellEnd"/>
      <w:r w:rsidRPr="0081366C">
        <w:t>).</w:t>
      </w:r>
    </w:p>
    <w:p w14:paraId="3A81D18B" w14:textId="4C977ADD" w:rsidR="0064474D" w:rsidRDefault="0081366C" w:rsidP="000D7399">
      <w:pPr>
        <w:pStyle w:val="SingleTxtG"/>
        <w:ind w:left="1138" w:right="1138" w:firstLine="563"/>
      </w:pPr>
      <w:r>
        <w:rPr>
          <w:noProof/>
        </w:rPr>
        <w:drawing>
          <wp:inline distT="0" distB="0" distL="0" distR="0" wp14:anchorId="6A513E49" wp14:editId="49CF53BB">
            <wp:extent cx="4711700" cy="2299970"/>
            <wp:effectExtent l="0" t="0" r="0" b="5080"/>
            <wp:docPr id="3" name="Grafik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agram&#10;&#10;Description automatically generated"/>
                    <pic:cNvPicPr>
                      <a:picLocks noChangeAspect="1"/>
                    </pic:cNvPicPr>
                  </pic:nvPicPr>
                  <pic:blipFill>
                    <a:blip r:embed="rId11"/>
                    <a:stretch>
                      <a:fillRect/>
                    </a:stretch>
                  </pic:blipFill>
                  <pic:spPr>
                    <a:xfrm>
                      <a:off x="0" y="0"/>
                      <a:ext cx="4711700" cy="2299970"/>
                    </a:xfrm>
                    <a:prstGeom prst="rect">
                      <a:avLst/>
                    </a:prstGeom>
                  </pic:spPr>
                </pic:pic>
              </a:graphicData>
            </a:graphic>
          </wp:inline>
        </w:drawing>
      </w:r>
    </w:p>
    <w:p w14:paraId="5CBF9208" w14:textId="06E5800F" w:rsidR="0081366C" w:rsidRPr="0081366C" w:rsidRDefault="00C2516A" w:rsidP="0081366C">
      <w:pPr>
        <w:pStyle w:val="SingleTxtG"/>
        <w:ind w:left="1138" w:right="1138" w:firstLine="563"/>
      </w:pPr>
      <w:r>
        <w:t>The o</w:t>
      </w:r>
      <w:r w:rsidR="0081366C" w:rsidRPr="0081366C">
        <w:t xml:space="preserve">ther requirements on the radius of curvature (paragraphs 6.1.1.3. and 6.1.1.4.) </w:t>
      </w:r>
      <w:r>
        <w:t>remain unchanged</w:t>
      </w:r>
      <w:r w:rsidR="0081366C" w:rsidRPr="0081366C">
        <w:t>.</w:t>
      </w:r>
      <w:r>
        <w:t xml:space="preserve"> </w:t>
      </w:r>
      <w:r w:rsidR="0081366C" w:rsidRPr="0081366C">
        <w:t xml:space="preserve">The impact test according to paragraph 6.3.2 still </w:t>
      </w:r>
      <w:proofErr w:type="gramStart"/>
      <w:r w:rsidR="0081366C" w:rsidRPr="0081366C">
        <w:t>has to</w:t>
      </w:r>
      <w:proofErr w:type="gramEnd"/>
      <w:r w:rsidR="0081366C" w:rsidRPr="0081366C">
        <w:t xml:space="preserve"> be fulfilled.</w:t>
      </w:r>
    </w:p>
    <w:p w14:paraId="2C6614CE" w14:textId="6338FAE0" w:rsidR="000D7399" w:rsidRDefault="000D7399" w:rsidP="000D7399">
      <w:pPr>
        <w:pStyle w:val="SingleTxtG"/>
        <w:ind w:left="1138" w:right="1138" w:firstLine="563"/>
      </w:pPr>
    </w:p>
    <w:p w14:paraId="3D9EEF9D" w14:textId="3DD9789D" w:rsidR="00DA42EC" w:rsidRDefault="00093C25" w:rsidP="00093C25">
      <w:pPr>
        <w:spacing w:before="240"/>
        <w:jc w:val="center"/>
        <w:rPr>
          <w:sz w:val="24"/>
          <w:szCs w:val="24"/>
          <w:u w:val="single"/>
        </w:rPr>
      </w:pPr>
      <w:r w:rsidRPr="005973A3">
        <w:rPr>
          <w:sz w:val="24"/>
          <w:szCs w:val="24"/>
          <w:u w:val="single"/>
        </w:rPr>
        <w:tab/>
      </w:r>
      <w:r w:rsidRPr="005973A3">
        <w:rPr>
          <w:sz w:val="24"/>
          <w:szCs w:val="24"/>
          <w:u w:val="single"/>
        </w:rPr>
        <w:tab/>
      </w:r>
      <w:r w:rsidRPr="005973A3">
        <w:rPr>
          <w:sz w:val="24"/>
          <w:szCs w:val="24"/>
          <w:u w:val="single"/>
        </w:rPr>
        <w:tab/>
      </w:r>
    </w:p>
    <w:p w14:paraId="1175F42C" w14:textId="75250557" w:rsidR="00AA0B2E" w:rsidRDefault="00AA0B2E" w:rsidP="00093C25">
      <w:pPr>
        <w:spacing w:before="240"/>
        <w:jc w:val="center"/>
        <w:rPr>
          <w:sz w:val="24"/>
          <w:szCs w:val="24"/>
          <w:u w:val="single"/>
        </w:rPr>
      </w:pPr>
    </w:p>
    <w:sectPr w:rsidR="00AA0B2E" w:rsidSect="002312DA">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79D9" w14:textId="77777777" w:rsidR="00F824B2" w:rsidRDefault="00F824B2" w:rsidP="00203C11">
      <w:pPr>
        <w:spacing w:line="240" w:lineRule="auto"/>
      </w:pPr>
      <w:r>
        <w:separator/>
      </w:r>
    </w:p>
  </w:endnote>
  <w:endnote w:type="continuationSeparator" w:id="0">
    <w:p w14:paraId="14BA906F" w14:textId="77777777" w:rsidR="00F824B2" w:rsidRDefault="00F824B2" w:rsidP="00203C11">
      <w:pPr>
        <w:spacing w:line="240" w:lineRule="auto"/>
      </w:pPr>
      <w:r>
        <w:continuationSeparator/>
      </w:r>
    </w:p>
  </w:endnote>
  <w:endnote w:type="continuationNotice" w:id="1">
    <w:p w14:paraId="41C0E0B5" w14:textId="77777777" w:rsidR="00F824B2" w:rsidRDefault="00F824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3989" w14:textId="6D4D1C91" w:rsidR="001A3756" w:rsidRPr="002312DA" w:rsidRDefault="002312DA" w:rsidP="002312DA">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D01EAC">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7AD6" w14:textId="7A3A7A3F" w:rsidR="001A3756" w:rsidRPr="002312DA" w:rsidRDefault="002312DA" w:rsidP="002312DA">
    <w:pPr>
      <w:pStyle w:val="Footer"/>
      <w:tabs>
        <w:tab w:val="right" w:pos="9638"/>
      </w:tabs>
      <w:jc w:val="right"/>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8E23" w14:textId="77777777" w:rsidR="00916EA8" w:rsidRDefault="0091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88CC" w14:textId="77777777" w:rsidR="00F824B2" w:rsidRPr="00E378AC" w:rsidRDefault="00F824B2" w:rsidP="00E378AC">
      <w:pPr>
        <w:tabs>
          <w:tab w:val="right" w:pos="2155"/>
        </w:tabs>
        <w:spacing w:after="80"/>
        <w:ind w:left="680"/>
        <w:rPr>
          <w:u w:val="single"/>
        </w:rPr>
      </w:pPr>
      <w:r>
        <w:rPr>
          <w:u w:val="single"/>
        </w:rPr>
        <w:tab/>
      </w:r>
    </w:p>
  </w:footnote>
  <w:footnote w:type="continuationSeparator" w:id="0">
    <w:p w14:paraId="05220332" w14:textId="77777777" w:rsidR="00F824B2" w:rsidRDefault="00F824B2">
      <w:r>
        <w:continuationSeparator/>
      </w:r>
    </w:p>
  </w:footnote>
  <w:footnote w:type="continuationNotice" w:id="1">
    <w:p w14:paraId="51D7AB4F" w14:textId="77777777" w:rsidR="00F824B2" w:rsidRDefault="00F824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B16" w14:textId="77777777" w:rsidR="00916EA8" w:rsidRDefault="00916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AD8D" w14:textId="01CED05E" w:rsidR="00606343" w:rsidRPr="00477F7C" w:rsidRDefault="00606343" w:rsidP="009523F1">
    <w:pPr>
      <w:pStyle w:val="Header"/>
      <w:jc w:val="right"/>
      <w:rPr>
        <w:strik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43" w:type="dxa"/>
      <w:tblLook w:val="04A0" w:firstRow="1" w:lastRow="0" w:firstColumn="1" w:lastColumn="0" w:noHBand="0" w:noVBand="1"/>
    </w:tblPr>
    <w:tblGrid>
      <w:gridCol w:w="5529"/>
      <w:gridCol w:w="4394"/>
    </w:tblGrid>
    <w:tr w:rsidR="00DB6FF9" w:rsidRPr="007B2734" w14:paraId="15EACDE5" w14:textId="77777777" w:rsidTr="009019DC">
      <w:tc>
        <w:tcPr>
          <w:tcW w:w="5529" w:type="dxa"/>
          <w:hideMark/>
        </w:tcPr>
        <w:p w14:paraId="72CB5D6D" w14:textId="68F3DE0C" w:rsidR="00DB6FF9" w:rsidRDefault="00554FB8" w:rsidP="00DB6FF9">
          <w:pPr>
            <w:tabs>
              <w:tab w:val="center" w:pos="4320"/>
              <w:tab w:val="right" w:pos="8640"/>
            </w:tabs>
            <w:spacing w:line="240" w:lineRule="auto"/>
            <w:rPr>
              <w:rFonts w:eastAsia="Times New Roman"/>
            </w:rPr>
          </w:pPr>
          <w:r w:rsidRPr="00554FB8">
            <w:rPr>
              <w:rFonts w:eastAsia="Times New Roman"/>
            </w:rPr>
            <w:t xml:space="preserve">Submitted by the expert from International </w:t>
          </w:r>
          <w:r>
            <w:rPr>
              <w:rFonts w:eastAsia="Times New Roman"/>
            </w:rPr>
            <w:t xml:space="preserve">Organization of Motor Vehicle Manufacturers </w:t>
          </w:r>
        </w:p>
      </w:tc>
      <w:tc>
        <w:tcPr>
          <w:tcW w:w="4394" w:type="dxa"/>
          <w:hideMark/>
        </w:tcPr>
        <w:p w14:paraId="7ECC155B" w14:textId="4F361067" w:rsidR="00DB6FF9" w:rsidRDefault="00DB6FF9" w:rsidP="00DB6FF9">
          <w:pPr>
            <w:spacing w:line="240" w:lineRule="auto"/>
            <w:ind w:left="497"/>
            <w:jc w:val="right"/>
            <w:rPr>
              <w:rFonts w:eastAsia="Times New Roman"/>
            </w:rPr>
          </w:pPr>
          <w:r>
            <w:rPr>
              <w:rFonts w:eastAsia="Times New Roman"/>
            </w:rPr>
            <w:t>Informal document No. GRSG-12</w:t>
          </w:r>
          <w:r w:rsidR="005055BF">
            <w:rPr>
              <w:rFonts w:eastAsia="Times New Roman"/>
            </w:rPr>
            <w:t>4</w:t>
          </w:r>
          <w:r>
            <w:rPr>
              <w:rFonts w:eastAsia="Times New Roman"/>
            </w:rPr>
            <w:t>-</w:t>
          </w:r>
          <w:r w:rsidR="00F271EA">
            <w:rPr>
              <w:rFonts w:eastAsia="Times New Roman"/>
            </w:rPr>
            <w:t>16</w:t>
          </w:r>
        </w:p>
        <w:p w14:paraId="765C4083" w14:textId="58C18F93" w:rsidR="00DB6FF9" w:rsidRDefault="00DB6FF9" w:rsidP="00DB6FF9">
          <w:pPr>
            <w:spacing w:line="240" w:lineRule="auto"/>
            <w:ind w:left="497"/>
            <w:jc w:val="right"/>
            <w:rPr>
              <w:rFonts w:eastAsia="Times New Roman"/>
            </w:rPr>
          </w:pPr>
          <w:r>
            <w:rPr>
              <w:rFonts w:eastAsia="Times New Roman"/>
            </w:rPr>
            <w:t>(12</w:t>
          </w:r>
          <w:r w:rsidR="005055BF">
            <w:rPr>
              <w:rFonts w:eastAsia="Times New Roman"/>
            </w:rPr>
            <w:t>4</w:t>
          </w:r>
          <w:r>
            <w:rPr>
              <w:rFonts w:eastAsia="Times New Roman"/>
            </w:rPr>
            <w:t xml:space="preserve"> GRSG, </w:t>
          </w:r>
          <w:r w:rsidR="005055BF">
            <w:rPr>
              <w:rFonts w:eastAsia="Times New Roman"/>
            </w:rPr>
            <w:t>11-14 October</w:t>
          </w:r>
          <w:r>
            <w:rPr>
              <w:rFonts w:eastAsia="Times New Roman"/>
            </w:rPr>
            <w:t xml:space="preserve"> 2022</w:t>
          </w:r>
        </w:p>
        <w:p w14:paraId="4C23D68D" w14:textId="16AED0F3" w:rsidR="00DB6FF9" w:rsidRDefault="00DB6FF9" w:rsidP="00DB6FF9">
          <w:pPr>
            <w:spacing w:line="240" w:lineRule="auto"/>
            <w:ind w:left="497"/>
            <w:jc w:val="right"/>
            <w:rPr>
              <w:rFonts w:eastAsia="Times New Roman"/>
            </w:rPr>
          </w:pPr>
          <w:r>
            <w:rPr>
              <w:rFonts w:eastAsia="Times New Roman"/>
            </w:rPr>
            <w:t xml:space="preserve">Agenda item </w:t>
          </w:r>
          <w:r w:rsidR="000E12D3">
            <w:rPr>
              <w:rFonts w:eastAsia="Times New Roman"/>
            </w:rPr>
            <w:t>18</w:t>
          </w:r>
          <w:r w:rsidR="00916EA8">
            <w:rPr>
              <w:rFonts w:eastAsia="Times New Roman"/>
            </w:rPr>
            <w:t>(</w:t>
          </w:r>
          <w:r w:rsidR="00C3290C">
            <w:rPr>
              <w:rFonts w:eastAsia="Times New Roman"/>
            </w:rPr>
            <w:t>f</w:t>
          </w:r>
          <w:r w:rsidR="00916EA8">
            <w:rPr>
              <w:rFonts w:eastAsia="Times New Roman"/>
            </w:rPr>
            <w:t>)</w:t>
          </w:r>
          <w:r w:rsidR="004334D2">
            <w:rPr>
              <w:rFonts w:eastAsia="Times New Roman"/>
            </w:rPr>
            <w:t>)</w:t>
          </w:r>
          <w:r>
            <w:rPr>
              <w:rFonts w:eastAsia="Times New Roman"/>
            </w:rPr>
            <w:t>.</w:t>
          </w:r>
        </w:p>
      </w:tc>
    </w:tr>
  </w:tbl>
  <w:p w14:paraId="37DB4AA5" w14:textId="77777777" w:rsidR="00DB6FF9" w:rsidRDefault="00DB6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1" w15:restartNumberingAfterBreak="0">
    <w:nsid w:val="0D3D0231"/>
    <w:multiLevelType w:val="hybridMultilevel"/>
    <w:tmpl w:val="145C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4" w15:restartNumberingAfterBreak="0">
    <w:nsid w:val="24713DDA"/>
    <w:multiLevelType w:val="hybridMultilevel"/>
    <w:tmpl w:val="3FE0F4A2"/>
    <w:lvl w:ilvl="0" w:tplc="2D8219A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6"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8"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9" w15:restartNumberingAfterBreak="0">
    <w:nsid w:val="528F0387"/>
    <w:multiLevelType w:val="hybridMultilevel"/>
    <w:tmpl w:val="95D4708E"/>
    <w:lvl w:ilvl="0" w:tplc="0B9A874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779798A"/>
    <w:multiLevelType w:val="hybridMultilevel"/>
    <w:tmpl w:val="533A6B6C"/>
    <w:lvl w:ilvl="0" w:tplc="4E32540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2"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23"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4"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5"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7" w15:restartNumberingAfterBreak="0">
    <w:nsid w:val="6E2004E1"/>
    <w:multiLevelType w:val="hybridMultilevel"/>
    <w:tmpl w:val="5636DADE"/>
    <w:lvl w:ilvl="0" w:tplc="084C86F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30"/>
  </w:num>
  <w:num w:numId="23">
    <w:abstractNumId w:val="20"/>
  </w:num>
  <w:num w:numId="24">
    <w:abstractNumId w:val="29"/>
  </w:num>
  <w:num w:numId="25">
    <w:abstractNumId w:val="28"/>
  </w:num>
  <w:num w:numId="26">
    <w:abstractNumId w:val="16"/>
  </w:num>
  <w:num w:numId="27">
    <w:abstractNumId w:val="25"/>
  </w:num>
  <w:num w:numId="28">
    <w:abstractNumId w:val="18"/>
  </w:num>
  <w:num w:numId="29">
    <w:abstractNumId w:val="22"/>
  </w:num>
  <w:num w:numId="30">
    <w:abstractNumId w:val="17"/>
  </w:num>
  <w:num w:numId="31">
    <w:abstractNumId w:val="23"/>
  </w:num>
  <w:num w:numId="32">
    <w:abstractNumId w:val="10"/>
  </w:num>
  <w:num w:numId="33">
    <w:abstractNumId w:val="15"/>
  </w:num>
  <w:num w:numId="34">
    <w:abstractNumId w:val="24"/>
  </w:num>
  <w:num w:numId="35">
    <w:abstractNumId w:val="26"/>
  </w:num>
  <w:num w:numId="36">
    <w:abstractNumId w:val="13"/>
  </w:num>
  <w:num w:numId="37">
    <w:abstractNumId w:val="27"/>
  </w:num>
  <w:num w:numId="38">
    <w:abstractNumId w:val="21"/>
  </w:num>
  <w:num w:numId="39">
    <w:abstractNumId w:val="11"/>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567"/>
  <w:hyphenationZone w:val="425"/>
  <w:evenAndOddHeaders/>
  <w:characterSpacingControl w:val="doNotCompress"/>
  <w:hdrShapeDefaults>
    <o:shapedefaults v:ext="edit" spidmax="4097">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01812"/>
    <w:rsid w:val="00001B94"/>
    <w:rsid w:val="0000476F"/>
    <w:rsid w:val="000107D8"/>
    <w:rsid w:val="00025CF8"/>
    <w:rsid w:val="000313AB"/>
    <w:rsid w:val="000350BE"/>
    <w:rsid w:val="00044292"/>
    <w:rsid w:val="00050805"/>
    <w:rsid w:val="00053B4D"/>
    <w:rsid w:val="00055FA8"/>
    <w:rsid w:val="00056FD9"/>
    <w:rsid w:val="0005715A"/>
    <w:rsid w:val="00066E26"/>
    <w:rsid w:val="00071608"/>
    <w:rsid w:val="0007628C"/>
    <w:rsid w:val="0008620F"/>
    <w:rsid w:val="00093C25"/>
    <w:rsid w:val="000977DF"/>
    <w:rsid w:val="000A219B"/>
    <w:rsid w:val="000B7E36"/>
    <w:rsid w:val="000C356D"/>
    <w:rsid w:val="000C721D"/>
    <w:rsid w:val="000C75E6"/>
    <w:rsid w:val="000D367D"/>
    <w:rsid w:val="000D5239"/>
    <w:rsid w:val="000D7399"/>
    <w:rsid w:val="000E12D3"/>
    <w:rsid w:val="000E252E"/>
    <w:rsid w:val="000F390A"/>
    <w:rsid w:val="00101BEF"/>
    <w:rsid w:val="00104600"/>
    <w:rsid w:val="0011327F"/>
    <w:rsid w:val="00115362"/>
    <w:rsid w:val="00120BF2"/>
    <w:rsid w:val="001309F4"/>
    <w:rsid w:val="001508CE"/>
    <w:rsid w:val="00151208"/>
    <w:rsid w:val="00156754"/>
    <w:rsid w:val="00161F22"/>
    <w:rsid w:val="00163E92"/>
    <w:rsid w:val="0016717E"/>
    <w:rsid w:val="001702B5"/>
    <w:rsid w:val="001708E2"/>
    <w:rsid w:val="0017097E"/>
    <w:rsid w:val="00170E8B"/>
    <w:rsid w:val="00174CAC"/>
    <w:rsid w:val="001776B8"/>
    <w:rsid w:val="00186822"/>
    <w:rsid w:val="00190BEE"/>
    <w:rsid w:val="00192C4B"/>
    <w:rsid w:val="00197A14"/>
    <w:rsid w:val="00197E0D"/>
    <w:rsid w:val="001A3756"/>
    <w:rsid w:val="001B5B00"/>
    <w:rsid w:val="001C03BD"/>
    <w:rsid w:val="001C1580"/>
    <w:rsid w:val="001C3ACD"/>
    <w:rsid w:val="001C3BB8"/>
    <w:rsid w:val="001D0DAC"/>
    <w:rsid w:val="001D6C5C"/>
    <w:rsid w:val="001E50C1"/>
    <w:rsid w:val="001E6F5C"/>
    <w:rsid w:val="001F067D"/>
    <w:rsid w:val="001F1DCE"/>
    <w:rsid w:val="001F27DC"/>
    <w:rsid w:val="001F3F6A"/>
    <w:rsid w:val="001F6463"/>
    <w:rsid w:val="002002E8"/>
    <w:rsid w:val="00203BAB"/>
    <w:rsid w:val="00203C11"/>
    <w:rsid w:val="00213FC5"/>
    <w:rsid w:val="00214421"/>
    <w:rsid w:val="00216BF2"/>
    <w:rsid w:val="00222D9F"/>
    <w:rsid w:val="00223E27"/>
    <w:rsid w:val="002312DA"/>
    <w:rsid w:val="002355C0"/>
    <w:rsid w:val="00242021"/>
    <w:rsid w:val="002474FC"/>
    <w:rsid w:val="00253068"/>
    <w:rsid w:val="00254D5C"/>
    <w:rsid w:val="00255851"/>
    <w:rsid w:val="00255A96"/>
    <w:rsid w:val="0026241E"/>
    <w:rsid w:val="00265779"/>
    <w:rsid w:val="00265F33"/>
    <w:rsid w:val="0027542D"/>
    <w:rsid w:val="00277E64"/>
    <w:rsid w:val="00284571"/>
    <w:rsid w:val="002879CA"/>
    <w:rsid w:val="002B3BEA"/>
    <w:rsid w:val="002B4811"/>
    <w:rsid w:val="002C0C47"/>
    <w:rsid w:val="002C6AE3"/>
    <w:rsid w:val="002C6F37"/>
    <w:rsid w:val="002D24E5"/>
    <w:rsid w:val="002E1A58"/>
    <w:rsid w:val="002E3A07"/>
    <w:rsid w:val="002E5C78"/>
    <w:rsid w:val="002E6B62"/>
    <w:rsid w:val="00302B09"/>
    <w:rsid w:val="0031013E"/>
    <w:rsid w:val="00311838"/>
    <w:rsid w:val="00323083"/>
    <w:rsid w:val="00326F61"/>
    <w:rsid w:val="003303C9"/>
    <w:rsid w:val="00333AFC"/>
    <w:rsid w:val="00340A6E"/>
    <w:rsid w:val="00343F08"/>
    <w:rsid w:val="0034700A"/>
    <w:rsid w:val="00351879"/>
    <w:rsid w:val="00362A08"/>
    <w:rsid w:val="00363633"/>
    <w:rsid w:val="00363C7A"/>
    <w:rsid w:val="0036548C"/>
    <w:rsid w:val="003668EB"/>
    <w:rsid w:val="0038232D"/>
    <w:rsid w:val="003828E4"/>
    <w:rsid w:val="00386259"/>
    <w:rsid w:val="00390014"/>
    <w:rsid w:val="0039598B"/>
    <w:rsid w:val="00395AF4"/>
    <w:rsid w:val="00395E28"/>
    <w:rsid w:val="00397754"/>
    <w:rsid w:val="003A4A40"/>
    <w:rsid w:val="003C36F4"/>
    <w:rsid w:val="003C567E"/>
    <w:rsid w:val="003C5CB5"/>
    <w:rsid w:val="003C7D56"/>
    <w:rsid w:val="003D4CFE"/>
    <w:rsid w:val="003E46C0"/>
    <w:rsid w:val="003E65AD"/>
    <w:rsid w:val="003F6A1F"/>
    <w:rsid w:val="003F74FE"/>
    <w:rsid w:val="0040340A"/>
    <w:rsid w:val="00407F56"/>
    <w:rsid w:val="00411DA6"/>
    <w:rsid w:val="0041465B"/>
    <w:rsid w:val="00416C08"/>
    <w:rsid w:val="00430781"/>
    <w:rsid w:val="00432AB5"/>
    <w:rsid w:val="004334D2"/>
    <w:rsid w:val="004356BD"/>
    <w:rsid w:val="00436A7E"/>
    <w:rsid w:val="00443D8B"/>
    <w:rsid w:val="00454729"/>
    <w:rsid w:val="00461D8F"/>
    <w:rsid w:val="00477F7C"/>
    <w:rsid w:val="004866EB"/>
    <w:rsid w:val="004A29E9"/>
    <w:rsid w:val="004B1181"/>
    <w:rsid w:val="004B4C14"/>
    <w:rsid w:val="004C01D3"/>
    <w:rsid w:val="004C7EC4"/>
    <w:rsid w:val="004D0240"/>
    <w:rsid w:val="004D0435"/>
    <w:rsid w:val="004D133E"/>
    <w:rsid w:val="004D3868"/>
    <w:rsid w:val="004D3A5F"/>
    <w:rsid w:val="004D4317"/>
    <w:rsid w:val="004D560F"/>
    <w:rsid w:val="004D5823"/>
    <w:rsid w:val="004D5A4F"/>
    <w:rsid w:val="004E1C7E"/>
    <w:rsid w:val="004E39C6"/>
    <w:rsid w:val="004E652D"/>
    <w:rsid w:val="004F2445"/>
    <w:rsid w:val="00502847"/>
    <w:rsid w:val="00504ACC"/>
    <w:rsid w:val="005055BF"/>
    <w:rsid w:val="00505C75"/>
    <w:rsid w:val="005065E2"/>
    <w:rsid w:val="00507731"/>
    <w:rsid w:val="00511ED0"/>
    <w:rsid w:val="00516F85"/>
    <w:rsid w:val="005350D6"/>
    <w:rsid w:val="00540D96"/>
    <w:rsid w:val="00541169"/>
    <w:rsid w:val="00541748"/>
    <w:rsid w:val="00547077"/>
    <w:rsid w:val="00550B71"/>
    <w:rsid w:val="00554FB8"/>
    <w:rsid w:val="00567D32"/>
    <w:rsid w:val="0057039A"/>
    <w:rsid w:val="005750C8"/>
    <w:rsid w:val="005762BC"/>
    <w:rsid w:val="00577F18"/>
    <w:rsid w:val="00592DED"/>
    <w:rsid w:val="0059330F"/>
    <w:rsid w:val="005973A3"/>
    <w:rsid w:val="005A393A"/>
    <w:rsid w:val="005A39FD"/>
    <w:rsid w:val="005B07E6"/>
    <w:rsid w:val="005B3E3F"/>
    <w:rsid w:val="005B6C32"/>
    <w:rsid w:val="005C55E1"/>
    <w:rsid w:val="005D0420"/>
    <w:rsid w:val="005D0473"/>
    <w:rsid w:val="005D37CC"/>
    <w:rsid w:val="005D3C17"/>
    <w:rsid w:val="005D69EF"/>
    <w:rsid w:val="005F358D"/>
    <w:rsid w:val="005F3F70"/>
    <w:rsid w:val="005F4DCB"/>
    <w:rsid w:val="006007D4"/>
    <w:rsid w:val="00602464"/>
    <w:rsid w:val="0060374F"/>
    <w:rsid w:val="00603B01"/>
    <w:rsid w:val="0060598C"/>
    <w:rsid w:val="00605F2E"/>
    <w:rsid w:val="00606343"/>
    <w:rsid w:val="00610341"/>
    <w:rsid w:val="00616A64"/>
    <w:rsid w:val="0062604B"/>
    <w:rsid w:val="00627026"/>
    <w:rsid w:val="006321A9"/>
    <w:rsid w:val="00634B98"/>
    <w:rsid w:val="0064474D"/>
    <w:rsid w:val="0065651D"/>
    <w:rsid w:val="0068126D"/>
    <w:rsid w:val="006836B4"/>
    <w:rsid w:val="00686461"/>
    <w:rsid w:val="006A17B1"/>
    <w:rsid w:val="006A2B1F"/>
    <w:rsid w:val="006A37B9"/>
    <w:rsid w:val="006B40F3"/>
    <w:rsid w:val="006B5828"/>
    <w:rsid w:val="006C15FC"/>
    <w:rsid w:val="006C2F16"/>
    <w:rsid w:val="006D1252"/>
    <w:rsid w:val="006D3A81"/>
    <w:rsid w:val="006F13D9"/>
    <w:rsid w:val="006F2B2E"/>
    <w:rsid w:val="006F4C48"/>
    <w:rsid w:val="006F525D"/>
    <w:rsid w:val="006F6664"/>
    <w:rsid w:val="007021CC"/>
    <w:rsid w:val="00705242"/>
    <w:rsid w:val="007100F5"/>
    <w:rsid w:val="00717951"/>
    <w:rsid w:val="00717F9C"/>
    <w:rsid w:val="0072183C"/>
    <w:rsid w:val="00723DD4"/>
    <w:rsid w:val="00741F61"/>
    <w:rsid w:val="0074607C"/>
    <w:rsid w:val="00750D10"/>
    <w:rsid w:val="00750E06"/>
    <w:rsid w:val="007544F3"/>
    <w:rsid w:val="00781FDD"/>
    <w:rsid w:val="0078308E"/>
    <w:rsid w:val="00785AC2"/>
    <w:rsid w:val="00797729"/>
    <w:rsid w:val="007A0900"/>
    <w:rsid w:val="007B4AD8"/>
    <w:rsid w:val="007C2E38"/>
    <w:rsid w:val="007C5525"/>
    <w:rsid w:val="007C5EE4"/>
    <w:rsid w:val="007D1613"/>
    <w:rsid w:val="007D1EE3"/>
    <w:rsid w:val="007D3A93"/>
    <w:rsid w:val="007D4306"/>
    <w:rsid w:val="007D43EB"/>
    <w:rsid w:val="007D4B49"/>
    <w:rsid w:val="007D725D"/>
    <w:rsid w:val="007E05EA"/>
    <w:rsid w:val="007E6B7A"/>
    <w:rsid w:val="007F5CA4"/>
    <w:rsid w:val="007F68D2"/>
    <w:rsid w:val="008058D9"/>
    <w:rsid w:val="00806DEA"/>
    <w:rsid w:val="00810A73"/>
    <w:rsid w:val="0081293A"/>
    <w:rsid w:val="00813236"/>
    <w:rsid w:val="0081366C"/>
    <w:rsid w:val="008162AE"/>
    <w:rsid w:val="0082103C"/>
    <w:rsid w:val="00827009"/>
    <w:rsid w:val="00831DAA"/>
    <w:rsid w:val="00840DF3"/>
    <w:rsid w:val="008424B3"/>
    <w:rsid w:val="0084718D"/>
    <w:rsid w:val="00851340"/>
    <w:rsid w:val="00852485"/>
    <w:rsid w:val="0085291D"/>
    <w:rsid w:val="00852CAE"/>
    <w:rsid w:val="00862068"/>
    <w:rsid w:val="00864117"/>
    <w:rsid w:val="008647A4"/>
    <w:rsid w:val="008664FB"/>
    <w:rsid w:val="00873DD3"/>
    <w:rsid w:val="00874127"/>
    <w:rsid w:val="00875329"/>
    <w:rsid w:val="00875CD1"/>
    <w:rsid w:val="00882765"/>
    <w:rsid w:val="00890C66"/>
    <w:rsid w:val="00891C12"/>
    <w:rsid w:val="00895B0C"/>
    <w:rsid w:val="0089676E"/>
    <w:rsid w:val="008A0611"/>
    <w:rsid w:val="008A4549"/>
    <w:rsid w:val="008B5987"/>
    <w:rsid w:val="008D28DC"/>
    <w:rsid w:val="008D35D2"/>
    <w:rsid w:val="008D5A13"/>
    <w:rsid w:val="008E158E"/>
    <w:rsid w:val="008F083A"/>
    <w:rsid w:val="008F1276"/>
    <w:rsid w:val="008F3F56"/>
    <w:rsid w:val="00913619"/>
    <w:rsid w:val="00913BE1"/>
    <w:rsid w:val="00915571"/>
    <w:rsid w:val="00916EA8"/>
    <w:rsid w:val="0092617C"/>
    <w:rsid w:val="009265B6"/>
    <w:rsid w:val="00926B71"/>
    <w:rsid w:val="00933439"/>
    <w:rsid w:val="00940BF8"/>
    <w:rsid w:val="00941811"/>
    <w:rsid w:val="00944ACD"/>
    <w:rsid w:val="009523F1"/>
    <w:rsid w:val="00955848"/>
    <w:rsid w:val="009578D0"/>
    <w:rsid w:val="0097132E"/>
    <w:rsid w:val="00973A7E"/>
    <w:rsid w:val="00977511"/>
    <w:rsid w:val="009A2543"/>
    <w:rsid w:val="009A4E96"/>
    <w:rsid w:val="009A6DCE"/>
    <w:rsid w:val="009B0B1C"/>
    <w:rsid w:val="009B1D25"/>
    <w:rsid w:val="009B279C"/>
    <w:rsid w:val="009B402E"/>
    <w:rsid w:val="009B4427"/>
    <w:rsid w:val="009B55B4"/>
    <w:rsid w:val="009B561E"/>
    <w:rsid w:val="009B6B25"/>
    <w:rsid w:val="009C2EAF"/>
    <w:rsid w:val="009C403A"/>
    <w:rsid w:val="009C5365"/>
    <w:rsid w:val="009C681F"/>
    <w:rsid w:val="009C74AF"/>
    <w:rsid w:val="009D0DA6"/>
    <w:rsid w:val="009E1190"/>
    <w:rsid w:val="009E646F"/>
    <w:rsid w:val="009E6A52"/>
    <w:rsid w:val="00A04921"/>
    <w:rsid w:val="00A0523F"/>
    <w:rsid w:val="00A06F32"/>
    <w:rsid w:val="00A11034"/>
    <w:rsid w:val="00A1240F"/>
    <w:rsid w:val="00A13274"/>
    <w:rsid w:val="00A21BD6"/>
    <w:rsid w:val="00A2214E"/>
    <w:rsid w:val="00A240E8"/>
    <w:rsid w:val="00A30A47"/>
    <w:rsid w:val="00A31792"/>
    <w:rsid w:val="00A332BC"/>
    <w:rsid w:val="00A333A6"/>
    <w:rsid w:val="00A35240"/>
    <w:rsid w:val="00A40BF6"/>
    <w:rsid w:val="00A51B4C"/>
    <w:rsid w:val="00A540DB"/>
    <w:rsid w:val="00A5509C"/>
    <w:rsid w:val="00A7506B"/>
    <w:rsid w:val="00A82472"/>
    <w:rsid w:val="00A83E8D"/>
    <w:rsid w:val="00A968BD"/>
    <w:rsid w:val="00A97E47"/>
    <w:rsid w:val="00AA0B2E"/>
    <w:rsid w:val="00AA28F4"/>
    <w:rsid w:val="00AA6F27"/>
    <w:rsid w:val="00AA7959"/>
    <w:rsid w:val="00AB142A"/>
    <w:rsid w:val="00AC4428"/>
    <w:rsid w:val="00AD5209"/>
    <w:rsid w:val="00AD58C9"/>
    <w:rsid w:val="00AD7A91"/>
    <w:rsid w:val="00AE23A3"/>
    <w:rsid w:val="00AE439A"/>
    <w:rsid w:val="00AE6268"/>
    <w:rsid w:val="00AE6E78"/>
    <w:rsid w:val="00AF2C09"/>
    <w:rsid w:val="00AF54A0"/>
    <w:rsid w:val="00AF702D"/>
    <w:rsid w:val="00B00785"/>
    <w:rsid w:val="00B10910"/>
    <w:rsid w:val="00B14772"/>
    <w:rsid w:val="00B22616"/>
    <w:rsid w:val="00B41ABE"/>
    <w:rsid w:val="00B477C3"/>
    <w:rsid w:val="00B47A63"/>
    <w:rsid w:val="00B54562"/>
    <w:rsid w:val="00B5691B"/>
    <w:rsid w:val="00B641B7"/>
    <w:rsid w:val="00B73C4E"/>
    <w:rsid w:val="00B82ED8"/>
    <w:rsid w:val="00B87A1D"/>
    <w:rsid w:val="00B9350C"/>
    <w:rsid w:val="00BA2AF9"/>
    <w:rsid w:val="00BA4071"/>
    <w:rsid w:val="00BA51DC"/>
    <w:rsid w:val="00BA5A6C"/>
    <w:rsid w:val="00BE257A"/>
    <w:rsid w:val="00BE40B1"/>
    <w:rsid w:val="00BE7A0C"/>
    <w:rsid w:val="00BF094B"/>
    <w:rsid w:val="00BF3520"/>
    <w:rsid w:val="00BF4FC4"/>
    <w:rsid w:val="00C0054A"/>
    <w:rsid w:val="00C026FB"/>
    <w:rsid w:val="00C04036"/>
    <w:rsid w:val="00C05EAD"/>
    <w:rsid w:val="00C06B5B"/>
    <w:rsid w:val="00C155CC"/>
    <w:rsid w:val="00C1580A"/>
    <w:rsid w:val="00C174CE"/>
    <w:rsid w:val="00C2516A"/>
    <w:rsid w:val="00C3082F"/>
    <w:rsid w:val="00C3290C"/>
    <w:rsid w:val="00C32DAD"/>
    <w:rsid w:val="00C3560A"/>
    <w:rsid w:val="00C41001"/>
    <w:rsid w:val="00C45436"/>
    <w:rsid w:val="00C539CE"/>
    <w:rsid w:val="00C57497"/>
    <w:rsid w:val="00C57DBD"/>
    <w:rsid w:val="00C61D52"/>
    <w:rsid w:val="00C72C55"/>
    <w:rsid w:val="00C74127"/>
    <w:rsid w:val="00C756B1"/>
    <w:rsid w:val="00C75BB4"/>
    <w:rsid w:val="00C765C1"/>
    <w:rsid w:val="00C77684"/>
    <w:rsid w:val="00C9028E"/>
    <w:rsid w:val="00C909FE"/>
    <w:rsid w:val="00C92457"/>
    <w:rsid w:val="00C93206"/>
    <w:rsid w:val="00C97203"/>
    <w:rsid w:val="00CA2168"/>
    <w:rsid w:val="00CA2779"/>
    <w:rsid w:val="00CA51E8"/>
    <w:rsid w:val="00CC1CE8"/>
    <w:rsid w:val="00CC6E4A"/>
    <w:rsid w:val="00CD1564"/>
    <w:rsid w:val="00CD29FA"/>
    <w:rsid w:val="00CD5859"/>
    <w:rsid w:val="00CF3016"/>
    <w:rsid w:val="00CF5AE2"/>
    <w:rsid w:val="00D01EAC"/>
    <w:rsid w:val="00D06F91"/>
    <w:rsid w:val="00D104D9"/>
    <w:rsid w:val="00D25ADF"/>
    <w:rsid w:val="00D26521"/>
    <w:rsid w:val="00D33AF6"/>
    <w:rsid w:val="00D429BE"/>
    <w:rsid w:val="00D55DBE"/>
    <w:rsid w:val="00D60A57"/>
    <w:rsid w:val="00D71217"/>
    <w:rsid w:val="00D7196E"/>
    <w:rsid w:val="00D7493A"/>
    <w:rsid w:val="00D82442"/>
    <w:rsid w:val="00D84DB0"/>
    <w:rsid w:val="00D87149"/>
    <w:rsid w:val="00D87F6B"/>
    <w:rsid w:val="00D9262A"/>
    <w:rsid w:val="00D93D8E"/>
    <w:rsid w:val="00D96DA8"/>
    <w:rsid w:val="00D97F19"/>
    <w:rsid w:val="00DA0B89"/>
    <w:rsid w:val="00DA42EC"/>
    <w:rsid w:val="00DB6FF9"/>
    <w:rsid w:val="00DB7AD1"/>
    <w:rsid w:val="00DB7DA0"/>
    <w:rsid w:val="00DC0D2A"/>
    <w:rsid w:val="00DC3EA1"/>
    <w:rsid w:val="00DC6A9F"/>
    <w:rsid w:val="00DD62BA"/>
    <w:rsid w:val="00DE2F50"/>
    <w:rsid w:val="00DF0E34"/>
    <w:rsid w:val="00DF5B41"/>
    <w:rsid w:val="00E00D92"/>
    <w:rsid w:val="00E01D68"/>
    <w:rsid w:val="00E12118"/>
    <w:rsid w:val="00E16F6A"/>
    <w:rsid w:val="00E20B39"/>
    <w:rsid w:val="00E25EA4"/>
    <w:rsid w:val="00E3089E"/>
    <w:rsid w:val="00E378AC"/>
    <w:rsid w:val="00E37B92"/>
    <w:rsid w:val="00E43A91"/>
    <w:rsid w:val="00E45FCE"/>
    <w:rsid w:val="00E61D73"/>
    <w:rsid w:val="00E63B7E"/>
    <w:rsid w:val="00E70DDA"/>
    <w:rsid w:val="00E71A27"/>
    <w:rsid w:val="00E807AB"/>
    <w:rsid w:val="00E8137B"/>
    <w:rsid w:val="00E866A5"/>
    <w:rsid w:val="00E87D2A"/>
    <w:rsid w:val="00E967C3"/>
    <w:rsid w:val="00E97B60"/>
    <w:rsid w:val="00EB2713"/>
    <w:rsid w:val="00EC6C24"/>
    <w:rsid w:val="00ED2A2A"/>
    <w:rsid w:val="00EE1470"/>
    <w:rsid w:val="00EE1CA3"/>
    <w:rsid w:val="00EE28BC"/>
    <w:rsid w:val="00EE415B"/>
    <w:rsid w:val="00EE57D4"/>
    <w:rsid w:val="00EF0E0D"/>
    <w:rsid w:val="00EF3BC6"/>
    <w:rsid w:val="00EF48EF"/>
    <w:rsid w:val="00F00C55"/>
    <w:rsid w:val="00F034FF"/>
    <w:rsid w:val="00F03DAB"/>
    <w:rsid w:val="00F102C5"/>
    <w:rsid w:val="00F118AA"/>
    <w:rsid w:val="00F15B64"/>
    <w:rsid w:val="00F15C8E"/>
    <w:rsid w:val="00F2434C"/>
    <w:rsid w:val="00F25052"/>
    <w:rsid w:val="00F254D5"/>
    <w:rsid w:val="00F26835"/>
    <w:rsid w:val="00F26FEC"/>
    <w:rsid w:val="00F271EA"/>
    <w:rsid w:val="00F41422"/>
    <w:rsid w:val="00F44D0B"/>
    <w:rsid w:val="00F46647"/>
    <w:rsid w:val="00F545D1"/>
    <w:rsid w:val="00F607C0"/>
    <w:rsid w:val="00F65F87"/>
    <w:rsid w:val="00F675A7"/>
    <w:rsid w:val="00F740FA"/>
    <w:rsid w:val="00F7502A"/>
    <w:rsid w:val="00F75616"/>
    <w:rsid w:val="00F77AD7"/>
    <w:rsid w:val="00F824B2"/>
    <w:rsid w:val="00F8597C"/>
    <w:rsid w:val="00F877FE"/>
    <w:rsid w:val="00F941A8"/>
    <w:rsid w:val="00F943EE"/>
    <w:rsid w:val="00FA07FE"/>
    <w:rsid w:val="00FB174B"/>
    <w:rsid w:val="00FB3167"/>
    <w:rsid w:val="00FB5C78"/>
    <w:rsid w:val="00FB6628"/>
    <w:rsid w:val="00FB6924"/>
    <w:rsid w:val="00FB7AEC"/>
    <w:rsid w:val="00FC5A7E"/>
    <w:rsid w:val="00FC653E"/>
    <w:rsid w:val="00FF695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0AD080"/>
  <w15:docId w15:val="{626881A8-E3A2-4C1E-9A26-ACB0DCAB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1"/>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203C11"/>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504ACC"/>
    <w:rPr>
      <w:lang w:val="en-GB" w:eastAsia="en-US"/>
    </w:rPr>
  </w:style>
  <w:style w:type="character" w:customStyle="1" w:styleId="apple-converted-space">
    <w:name w:val="apple-converted-space"/>
    <w:basedOn w:val="DefaultParagraphFont"/>
    <w:rsid w:val="00AA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9682">
      <w:bodyDiv w:val="1"/>
      <w:marLeft w:val="0"/>
      <w:marRight w:val="0"/>
      <w:marTop w:val="0"/>
      <w:marBottom w:val="0"/>
      <w:divBdr>
        <w:top w:val="none" w:sz="0" w:space="0" w:color="auto"/>
        <w:left w:val="none" w:sz="0" w:space="0" w:color="auto"/>
        <w:bottom w:val="none" w:sz="0" w:space="0" w:color="auto"/>
        <w:right w:val="none" w:sz="0" w:space="0" w:color="auto"/>
      </w:divBdr>
    </w:div>
    <w:div w:id="476921648">
      <w:bodyDiv w:val="1"/>
      <w:marLeft w:val="0"/>
      <w:marRight w:val="0"/>
      <w:marTop w:val="0"/>
      <w:marBottom w:val="0"/>
      <w:divBdr>
        <w:top w:val="none" w:sz="0" w:space="0" w:color="auto"/>
        <w:left w:val="none" w:sz="0" w:space="0" w:color="auto"/>
        <w:bottom w:val="none" w:sz="0" w:space="0" w:color="auto"/>
        <w:right w:val="none" w:sz="0" w:space="0" w:color="auto"/>
      </w:divBdr>
    </w:div>
    <w:div w:id="522717813">
      <w:bodyDiv w:val="1"/>
      <w:marLeft w:val="0"/>
      <w:marRight w:val="0"/>
      <w:marTop w:val="0"/>
      <w:marBottom w:val="0"/>
      <w:divBdr>
        <w:top w:val="none" w:sz="0" w:space="0" w:color="auto"/>
        <w:left w:val="none" w:sz="0" w:space="0" w:color="auto"/>
        <w:bottom w:val="none" w:sz="0" w:space="0" w:color="auto"/>
        <w:right w:val="none" w:sz="0" w:space="0" w:color="auto"/>
      </w:divBdr>
    </w:div>
    <w:div w:id="869925583">
      <w:bodyDiv w:val="1"/>
      <w:marLeft w:val="0"/>
      <w:marRight w:val="0"/>
      <w:marTop w:val="0"/>
      <w:marBottom w:val="0"/>
      <w:divBdr>
        <w:top w:val="none" w:sz="0" w:space="0" w:color="auto"/>
        <w:left w:val="none" w:sz="0" w:space="0" w:color="auto"/>
        <w:bottom w:val="none" w:sz="0" w:space="0" w:color="auto"/>
        <w:right w:val="none" w:sz="0" w:space="0" w:color="auto"/>
      </w:divBdr>
    </w:div>
    <w:div w:id="1498765603">
      <w:bodyDiv w:val="1"/>
      <w:marLeft w:val="0"/>
      <w:marRight w:val="0"/>
      <w:marTop w:val="0"/>
      <w:marBottom w:val="0"/>
      <w:divBdr>
        <w:top w:val="none" w:sz="0" w:space="0" w:color="auto"/>
        <w:left w:val="none" w:sz="0" w:space="0" w:color="auto"/>
        <w:bottom w:val="none" w:sz="0" w:space="0" w:color="auto"/>
        <w:right w:val="none" w:sz="0" w:space="0" w:color="auto"/>
      </w:divBdr>
    </w:div>
    <w:div w:id="1582829900">
      <w:bodyDiv w:val="1"/>
      <w:marLeft w:val="0"/>
      <w:marRight w:val="0"/>
      <w:marTop w:val="0"/>
      <w:marBottom w:val="0"/>
      <w:divBdr>
        <w:top w:val="none" w:sz="0" w:space="0" w:color="auto"/>
        <w:left w:val="none" w:sz="0" w:space="0" w:color="auto"/>
        <w:bottom w:val="none" w:sz="0" w:space="0" w:color="auto"/>
        <w:right w:val="none" w:sz="0" w:space="0" w:color="auto"/>
      </w:divBdr>
    </w:div>
    <w:div w:id="1692875548">
      <w:bodyDiv w:val="1"/>
      <w:marLeft w:val="0"/>
      <w:marRight w:val="0"/>
      <w:marTop w:val="0"/>
      <w:marBottom w:val="0"/>
      <w:divBdr>
        <w:top w:val="none" w:sz="0" w:space="0" w:color="auto"/>
        <w:left w:val="none" w:sz="0" w:space="0" w:color="auto"/>
        <w:bottom w:val="none" w:sz="0" w:space="0" w:color="auto"/>
        <w:right w:val="none" w:sz="0" w:space="0" w:color="auto"/>
      </w:divBdr>
    </w:div>
    <w:div w:id="1948538061">
      <w:bodyDiv w:val="1"/>
      <w:marLeft w:val="0"/>
      <w:marRight w:val="0"/>
      <w:marTop w:val="0"/>
      <w:marBottom w:val="0"/>
      <w:divBdr>
        <w:top w:val="none" w:sz="0" w:space="0" w:color="auto"/>
        <w:left w:val="none" w:sz="0" w:space="0" w:color="auto"/>
        <w:bottom w:val="none" w:sz="0" w:space="0" w:color="auto"/>
        <w:right w:val="none" w:sz="0" w:space="0" w:color="auto"/>
      </w:divBdr>
    </w:div>
    <w:div w:id="20337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FE845-EBBE-47EC-B2D2-F090260E92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D940C4B-B8B7-4B6D-BF11-2A1F8379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AFC38-5D2A-4AD8-ADF5-B5B129883C29}">
  <ds:schemaRefs>
    <ds:schemaRef ds:uri="http://schemas.openxmlformats.org/officeDocument/2006/bibliography"/>
  </ds:schemaRefs>
</ds:datastoreItem>
</file>

<file path=customXml/itemProps4.xml><?xml version="1.0" encoding="utf-8"?>
<ds:datastoreItem xmlns:ds="http://schemas.openxmlformats.org/officeDocument/2006/customXml" ds:itemID="{78AAF6A4-B3FB-4CC1-9D16-FCA0EAEDF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3264</Characters>
  <Application>Microsoft Office Word</Application>
  <DocSecurity>0</DocSecurity>
  <Lines>64</Lines>
  <Paragraphs>28</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Titolo</vt:lpstr>
      </vt:variant>
      <vt:variant>
        <vt:i4>1</vt:i4>
      </vt:variant>
    </vt:vector>
  </HeadingPairs>
  <TitlesOfParts>
    <vt:vector size="4" baseType="lpstr">
      <vt:lpstr>ECE/TRANS/WP.29/GRSG/2022/12</vt:lpstr>
      <vt:lpstr>ECE/TRANS/WP.29/GRSG/2021/11</vt:lpstr>
      <vt:lpstr>ECE/TRANS/WP.29/GRSG/2021/11</vt:lpstr>
      <vt:lpstr>ECE/TRANS/WP.29/GRSG/2019/34</vt:lpstr>
    </vt:vector>
  </TitlesOfParts>
  <Company>MIT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ECE/TRANS/WP.29/GRSG/2022/12</dc:title>
  <dc:subject>2200379</dc:subject>
  <dc:creator>MIT</dc:creator>
  <cp:keywords/>
  <dc:description/>
  <cp:lastModifiedBy>Edoardo Gianotti</cp:lastModifiedBy>
  <cp:revision>2</cp:revision>
  <cp:lastPrinted>2019-07-19T11:29:00Z</cp:lastPrinted>
  <dcterms:created xsi:type="dcterms:W3CDTF">2022-10-25T07:27:00Z</dcterms:created>
  <dcterms:modified xsi:type="dcterms:W3CDTF">2022-10-25T07:27:00Z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ies>
</file>