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C61D" w14:textId="77777777" w:rsidR="00C45FD9" w:rsidRPr="000F0560" w:rsidRDefault="00C45FD9" w:rsidP="00C45FD9">
      <w:pPr>
        <w:jc w:val="right"/>
        <w:outlineLvl w:val="0"/>
        <w:rPr>
          <w:sz w:val="28"/>
          <w:szCs w:val="28"/>
        </w:rPr>
      </w:pPr>
      <w:r w:rsidRPr="00513362">
        <w:rPr>
          <w:sz w:val="40"/>
          <w:szCs w:val="40"/>
        </w:rPr>
        <w:t>ECE</w:t>
      </w:r>
      <w:r>
        <w:t>/NICOSIA.CONF/2022/L.1</w:t>
      </w:r>
    </w:p>
    <w:p w14:paraId="67232B9D" w14:textId="77777777" w:rsidR="00C45FD9" w:rsidRPr="000F0560" w:rsidRDefault="00C45FD9" w:rsidP="00C45FD9">
      <w:pPr>
        <w:jc w:val="center"/>
        <w:rPr>
          <w:b/>
          <w:bCs/>
        </w:rPr>
      </w:pPr>
    </w:p>
    <w:tbl>
      <w:tblPr>
        <w:tblW w:w="4700" w:type="dxa"/>
        <w:tblInd w:w="6079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298"/>
      </w:tblGrid>
      <w:tr w:rsidR="00C45FD9" w:rsidRPr="000F0560" w14:paraId="78737936" w14:textId="77777777" w:rsidTr="00DB5F22">
        <w:tc>
          <w:tcPr>
            <w:tcW w:w="3402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4B4D0139" w14:textId="77777777" w:rsidR="00C45FD9" w:rsidRDefault="00C45FD9" w:rsidP="00DB5F22">
            <w:pPr>
              <w:spacing w:after="40" w:line="240" w:lineRule="auto"/>
              <w:rPr>
                <w:rFonts w:ascii="Arial Black" w:hAnsi="Arial Black" w:cs="Arial"/>
                <w:color w:val="00B050"/>
              </w:rPr>
            </w:pPr>
          </w:p>
          <w:p w14:paraId="6434C3B8" w14:textId="77777777" w:rsidR="00C45FD9" w:rsidRDefault="00C45FD9" w:rsidP="00DB5F22">
            <w:pPr>
              <w:spacing w:after="40" w:line="240" w:lineRule="auto"/>
              <w:rPr>
                <w:rFonts w:ascii="Arial Black" w:hAnsi="Arial Black" w:cs="Arial"/>
                <w:color w:val="00B050"/>
              </w:rPr>
            </w:pPr>
            <w:r>
              <w:object w:dxaOrig="6405" w:dyaOrig="1875" w14:anchorId="24C346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5pt;height:50pt" o:ole="">
                  <v:imagedata r:id="rId8" o:title=""/>
                </v:shape>
                <o:OLEObject Type="Embed" ProgID="PBrush" ShapeID="_x0000_i1025" DrawAspect="Content" ObjectID="_1726563778" r:id="rId9"/>
              </w:object>
            </w:r>
          </w:p>
          <w:p w14:paraId="574545C8" w14:textId="77777777" w:rsidR="00C45FD9" w:rsidRPr="000F0560" w:rsidRDefault="00C45FD9" w:rsidP="00DB5F22">
            <w:pPr>
              <w:spacing w:after="40" w:line="240" w:lineRule="auto"/>
              <w:rPr>
                <w:rFonts w:ascii="Arial Black" w:hAnsi="Arial Black" w:cs="Arial"/>
                <w:color w:val="00B050"/>
              </w:rPr>
            </w:pP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14:paraId="1792DEA1" w14:textId="77777777" w:rsidR="00C45FD9" w:rsidRPr="000F0560" w:rsidRDefault="00C45FD9" w:rsidP="00DB5F2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45FD9" w:rsidRPr="000F0560" w14:paraId="61517365" w14:textId="77777777" w:rsidTr="00DB5F22">
        <w:tc>
          <w:tcPr>
            <w:tcW w:w="3402" w:type="dxa"/>
            <w:tcBorders>
              <w:top w:val="single" w:sz="12" w:space="0" w:color="339966"/>
            </w:tcBorders>
            <w:shd w:val="clear" w:color="auto" w:fill="auto"/>
          </w:tcPr>
          <w:p w14:paraId="00FE0BB3" w14:textId="77777777" w:rsidR="00C45FD9" w:rsidRPr="000F0560" w:rsidRDefault="00C45FD9" w:rsidP="00DB5F22">
            <w:pPr>
              <w:spacing w:before="8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14:paraId="2D1387E7" w14:textId="77777777" w:rsidR="00C45FD9" w:rsidRPr="000F0560" w:rsidRDefault="00C45FD9" w:rsidP="00DB5F22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14:paraId="7871E1CB" w14:textId="5B80FE1B" w:rsidR="00C45FD9" w:rsidRDefault="00C45FD9" w:rsidP="00513362">
      <w:pPr>
        <w:jc w:val="center"/>
        <w:rPr>
          <w:b/>
          <w:bCs/>
          <w:sz w:val="28"/>
        </w:rPr>
      </w:pPr>
    </w:p>
    <w:p w14:paraId="7EA139A8" w14:textId="77777777" w:rsidR="00513362" w:rsidRPr="000F0560" w:rsidRDefault="00513362" w:rsidP="00513362">
      <w:pPr>
        <w:jc w:val="center"/>
        <w:rPr>
          <w:b/>
          <w:bCs/>
          <w:sz w:val="28"/>
        </w:rPr>
      </w:pPr>
    </w:p>
    <w:p w14:paraId="43F00DF9" w14:textId="69FD6555" w:rsidR="00C45FD9" w:rsidRPr="000F0560" w:rsidRDefault="00C45FD9" w:rsidP="00C45FD9">
      <w:pPr>
        <w:pStyle w:val="HMG"/>
      </w:pPr>
      <w:r>
        <w:tab/>
      </w:r>
      <w:r>
        <w:tab/>
      </w:r>
      <w:r w:rsidRPr="00C45FD9">
        <w:t>Девятая конференция министров «Окружающая среда для Европы»</w:t>
      </w:r>
    </w:p>
    <w:p w14:paraId="391A8164" w14:textId="77777777" w:rsidR="00C45FD9" w:rsidRPr="00996EE5" w:rsidRDefault="00C45FD9" w:rsidP="00C45FD9">
      <w:pPr>
        <w:pStyle w:val="HChG"/>
      </w:pPr>
      <w:r>
        <w:tab/>
      </w:r>
      <w:r>
        <w:tab/>
        <w:t xml:space="preserve">Никосия, 5–7 октября </w:t>
      </w:r>
      <w:r w:rsidRPr="00C45FD9">
        <w:t>2022</w:t>
      </w:r>
      <w:r>
        <w:t xml:space="preserve"> года</w:t>
      </w:r>
    </w:p>
    <w:p w14:paraId="48E2B531" w14:textId="77777777" w:rsidR="00C45FD9" w:rsidRPr="00996EE5" w:rsidRDefault="00C45FD9" w:rsidP="00C45FD9">
      <w:pPr>
        <w:pBdr>
          <w:bottom w:val="single" w:sz="12" w:space="1" w:color="auto"/>
        </w:pBdr>
        <w:jc w:val="center"/>
        <w:rPr>
          <w:b/>
          <w:bCs/>
        </w:rPr>
      </w:pPr>
    </w:p>
    <w:p w14:paraId="3C4DE6CD" w14:textId="77777777" w:rsidR="00C45FD9" w:rsidRPr="00996EE5" w:rsidRDefault="00C45FD9" w:rsidP="00C45FD9">
      <w:pPr>
        <w:pStyle w:val="HChG"/>
      </w:pPr>
      <w:r>
        <w:tab/>
      </w:r>
      <w:r>
        <w:tab/>
        <w:t xml:space="preserve">Проект </w:t>
      </w:r>
      <w:r w:rsidRPr="00C45FD9">
        <w:t>декларации</w:t>
      </w:r>
      <w:r>
        <w:t xml:space="preserve"> министров </w:t>
      </w:r>
      <w:bookmarkStart w:id="0" w:name="_Hlk115887019"/>
      <w:r>
        <w:t>девятой Конференции министров «Окружающая среда для Европы»</w:t>
      </w:r>
      <w:bookmarkEnd w:id="0"/>
    </w:p>
    <w:p w14:paraId="0D5598C5" w14:textId="6D4C8362" w:rsidR="00C45FD9" w:rsidRDefault="00C45FD9" w:rsidP="00C45FD9">
      <w:pPr>
        <w:jc w:val="center"/>
        <w:rPr>
          <w:sz w:val="28"/>
        </w:rPr>
      </w:pPr>
    </w:p>
    <w:p w14:paraId="2B5946BB" w14:textId="1AFB3ECA" w:rsidR="00C45FD9" w:rsidRDefault="00C45FD9" w:rsidP="00C45FD9">
      <w:pPr>
        <w:jc w:val="center"/>
        <w:rPr>
          <w:sz w:val="28"/>
        </w:rPr>
      </w:pPr>
    </w:p>
    <w:p w14:paraId="33A49078" w14:textId="77777777" w:rsidR="00C45FD9" w:rsidRPr="00996EE5" w:rsidRDefault="00C45FD9" w:rsidP="00C45FD9">
      <w:pPr>
        <w:jc w:val="center"/>
        <w:rPr>
          <w:sz w:val="28"/>
        </w:rPr>
      </w:pPr>
    </w:p>
    <w:p w14:paraId="27D2764A" w14:textId="77777777" w:rsidR="00C45FD9" w:rsidRPr="00996EE5" w:rsidRDefault="00C45FD9" w:rsidP="00C45FD9">
      <w:pPr>
        <w:jc w:val="center"/>
        <w:rPr>
          <w:sz w:val="28"/>
        </w:rPr>
      </w:pPr>
    </w:p>
    <w:p w14:paraId="5010BB9D" w14:textId="77777777" w:rsidR="00C45FD9" w:rsidRPr="00996EE5" w:rsidRDefault="00C45FD9" w:rsidP="00C45FD9">
      <w:pPr>
        <w:jc w:val="center"/>
        <w:rPr>
          <w:sz w:val="28"/>
        </w:rPr>
      </w:pPr>
    </w:p>
    <w:p w14:paraId="2CFA61DC" w14:textId="77777777" w:rsidR="00C45FD9" w:rsidRPr="00996EE5" w:rsidRDefault="00C45FD9" w:rsidP="00C45FD9">
      <w:pPr>
        <w:jc w:val="center"/>
        <w:rPr>
          <w:sz w:val="28"/>
        </w:rPr>
      </w:pPr>
    </w:p>
    <w:p w14:paraId="1C88F703" w14:textId="7D63DE8D" w:rsidR="00C45FD9" w:rsidRDefault="00C45FD9" w:rsidP="00C45FD9">
      <w:pPr>
        <w:jc w:val="center"/>
        <w:rPr>
          <w:sz w:val="28"/>
        </w:rPr>
      </w:pPr>
    </w:p>
    <w:p w14:paraId="7B5DBE6E" w14:textId="565F81DD" w:rsidR="00513362" w:rsidRDefault="00513362" w:rsidP="00C45FD9">
      <w:pPr>
        <w:jc w:val="center"/>
        <w:rPr>
          <w:sz w:val="28"/>
        </w:rPr>
      </w:pPr>
    </w:p>
    <w:p w14:paraId="2905D786" w14:textId="6029FA28" w:rsidR="00513362" w:rsidRDefault="00513362" w:rsidP="00C45FD9">
      <w:pPr>
        <w:jc w:val="center"/>
        <w:rPr>
          <w:sz w:val="28"/>
        </w:rPr>
      </w:pPr>
    </w:p>
    <w:p w14:paraId="456EBF80" w14:textId="44B56BB7" w:rsidR="00513362" w:rsidRDefault="00513362" w:rsidP="00C45FD9">
      <w:pPr>
        <w:jc w:val="center"/>
        <w:rPr>
          <w:sz w:val="28"/>
        </w:rPr>
      </w:pPr>
    </w:p>
    <w:p w14:paraId="7EF219A1" w14:textId="77777777" w:rsidR="00513362" w:rsidRPr="00996EE5" w:rsidRDefault="00513362" w:rsidP="00C45FD9">
      <w:pPr>
        <w:jc w:val="center"/>
        <w:rPr>
          <w:sz w:val="28"/>
        </w:rPr>
      </w:pPr>
    </w:p>
    <w:p w14:paraId="4D78E982" w14:textId="77777777" w:rsidR="00C45FD9" w:rsidRPr="00996EE5" w:rsidRDefault="00C45FD9" w:rsidP="00C45FD9">
      <w:pPr>
        <w:jc w:val="center"/>
        <w:rPr>
          <w:sz w:val="28"/>
        </w:rPr>
      </w:pPr>
    </w:p>
    <w:p w14:paraId="32A2FBA4" w14:textId="77777777" w:rsidR="00C45FD9" w:rsidRPr="00996EE5" w:rsidRDefault="00C45FD9" w:rsidP="00C45FD9">
      <w:pPr>
        <w:jc w:val="center"/>
        <w:rPr>
          <w:sz w:val="28"/>
        </w:rPr>
      </w:pPr>
    </w:p>
    <w:p w14:paraId="319C8D22" w14:textId="77777777" w:rsidR="00C45FD9" w:rsidRPr="00996EE5" w:rsidRDefault="00C45FD9" w:rsidP="00C45FD9">
      <w:pPr>
        <w:jc w:val="center"/>
        <w:rPr>
          <w:sz w:val="28"/>
        </w:rPr>
      </w:pPr>
    </w:p>
    <w:p w14:paraId="5DDF20ED" w14:textId="77777777" w:rsidR="00C45FD9" w:rsidRPr="00996EE5" w:rsidRDefault="00C45FD9" w:rsidP="00C45FD9">
      <w:pPr>
        <w:jc w:val="center"/>
        <w:rPr>
          <w:sz w:val="28"/>
        </w:rPr>
      </w:pPr>
    </w:p>
    <w:p w14:paraId="53FEFA30" w14:textId="77777777" w:rsidR="00C45FD9" w:rsidRPr="000F0560" w:rsidRDefault="00C45FD9" w:rsidP="00C45FD9">
      <w:pPr>
        <w:jc w:val="center"/>
      </w:pPr>
      <w:r w:rsidRPr="000F0560">
        <w:object w:dxaOrig="921" w:dyaOrig="1077" w14:anchorId="726A5DD6">
          <v:shape id="_x0000_i1026" type="#_x0000_t75" style="width:58.5pt;height:48pt" o:ole="" fillcolor="window">
            <v:imagedata r:id="rId10" o:title="" croptop="-46f" cropbottom="-46f" cropleft="-4960f" cropright="-4960f"/>
          </v:shape>
          <o:OLEObject Type="Embed" ProgID="Word.Picture.8" ShapeID="_x0000_i1026" DrawAspect="Content" ObjectID="_1726563779" r:id="rId11"/>
        </w:object>
      </w:r>
    </w:p>
    <w:p w14:paraId="77D0F853" w14:textId="77777777" w:rsidR="00C45FD9" w:rsidRPr="000F0560" w:rsidRDefault="00C45FD9" w:rsidP="00C45FD9">
      <w:pPr>
        <w:jc w:val="center"/>
      </w:pPr>
    </w:p>
    <w:p w14:paraId="26D36FC8" w14:textId="77777777" w:rsidR="00C45FD9" w:rsidRPr="00AA4A5F" w:rsidRDefault="00C45FD9" w:rsidP="00C45FD9">
      <w:pPr>
        <w:jc w:val="center"/>
        <w:rPr>
          <w:sz w:val="24"/>
          <w:szCs w:val="24"/>
        </w:rPr>
      </w:pPr>
      <w:r w:rsidRPr="00AA4A5F">
        <w:rPr>
          <w:sz w:val="24"/>
          <w:szCs w:val="24"/>
        </w:rPr>
        <w:t>ОРГАНИЗАЦИЯ ОБЪЕДИНЕННЫХ НАЦИЙ</w:t>
      </w:r>
    </w:p>
    <w:p w14:paraId="1874073A" w14:textId="77777777" w:rsidR="00C45FD9" w:rsidRPr="000F0560" w:rsidRDefault="00C45FD9" w:rsidP="00C45FD9">
      <w:pPr>
        <w:jc w:val="center"/>
      </w:pPr>
    </w:p>
    <w:p w14:paraId="3645FF0F" w14:textId="77777777" w:rsidR="00C45FD9" w:rsidRPr="000F0560" w:rsidRDefault="00C45FD9" w:rsidP="00C45FD9">
      <w:pPr>
        <w:jc w:val="center"/>
      </w:pPr>
    </w:p>
    <w:p w14:paraId="3656A4C3" w14:textId="77777777" w:rsidR="00C45FD9" w:rsidRPr="000F0560" w:rsidRDefault="00C45FD9" w:rsidP="00C45FD9">
      <w:pPr>
        <w:jc w:val="center"/>
      </w:pPr>
    </w:p>
    <w:p w14:paraId="34FB9D2A" w14:textId="77777777" w:rsidR="00C45FD9" w:rsidRPr="000F0560" w:rsidRDefault="00C45FD9" w:rsidP="00C45FD9">
      <w:pPr>
        <w:jc w:val="center"/>
      </w:pPr>
    </w:p>
    <w:p w14:paraId="69D0A599" w14:textId="77777777" w:rsidR="00533D92" w:rsidRDefault="00533D92">
      <w:pPr>
        <w:suppressAutoHyphens w:val="0"/>
        <w:spacing w:line="240" w:lineRule="auto"/>
      </w:pPr>
      <w:r>
        <w:br w:type="page"/>
      </w:r>
    </w:p>
    <w:p w14:paraId="0E94CCE4" w14:textId="77777777" w:rsidR="00533D92" w:rsidRDefault="00533D92">
      <w:pPr>
        <w:suppressAutoHyphens w:val="0"/>
        <w:spacing w:line="240" w:lineRule="auto"/>
      </w:pPr>
    </w:p>
    <w:p w14:paraId="5DECA45B" w14:textId="373F3303" w:rsidR="00533D92" w:rsidRDefault="00533D92">
      <w:pPr>
        <w:suppressAutoHyphens w:val="0"/>
        <w:spacing w:line="240" w:lineRule="auto"/>
      </w:pPr>
      <w:r>
        <w:br w:type="page"/>
      </w:r>
    </w:p>
    <w:p w14:paraId="2CB854DA" w14:textId="77777777" w:rsidR="00533D92" w:rsidRDefault="00533D92" w:rsidP="00D9145B">
      <w:pPr>
        <w:sectPr w:rsidR="00533D92" w:rsidSect="00533D92">
          <w:headerReference w:type="even" r:id="rId12"/>
          <w:headerReference w:type="default" r:id="rId13"/>
          <w:footerReference w:type="default" r:id="rId14"/>
          <w:headerReference w:type="first" r:id="rId15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533D92" w14:paraId="61A52D57" w14:textId="77777777" w:rsidTr="00DB5F2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2426E3F" w14:textId="77777777" w:rsidR="00533D92" w:rsidRDefault="00533D92" w:rsidP="00DB5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98C078E" w14:textId="77777777" w:rsidR="00533D92" w:rsidRPr="00BD33EE" w:rsidRDefault="00533D92" w:rsidP="00DB5F2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C0AB3EC" w14:textId="77777777" w:rsidR="00533D92" w:rsidRDefault="00533D92" w:rsidP="00DB5F22">
            <w:pPr>
              <w:jc w:val="right"/>
            </w:pPr>
            <w:r w:rsidRPr="00533D92">
              <w:rPr>
                <w:sz w:val="40"/>
              </w:rPr>
              <w:t>ECE</w:t>
            </w:r>
            <w:r>
              <w:t>/NICOSIA.CONF/2022/L.1</w:t>
            </w:r>
          </w:p>
        </w:tc>
      </w:tr>
      <w:tr w:rsidR="00533D92" w:rsidRPr="00533D92" w14:paraId="45D0F0A2" w14:textId="77777777" w:rsidTr="00DB5F2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C93CD2" w14:textId="77777777" w:rsidR="00533D92" w:rsidRDefault="00533D92" w:rsidP="00DB5F2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A1F64D1" wp14:editId="416B574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2F1270" w14:textId="77777777" w:rsidR="00533D92" w:rsidRPr="00033EE1" w:rsidRDefault="00533D92" w:rsidP="00DB5F22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E33DD5" w14:textId="77777777" w:rsidR="00533D92" w:rsidRDefault="00533D92" w:rsidP="00DB5F2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43C80AFE" w14:textId="77777777" w:rsidR="00533D92" w:rsidRDefault="00533D92" w:rsidP="00DB5F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October 2022</w:t>
            </w:r>
          </w:p>
          <w:p w14:paraId="6C5A7A5A" w14:textId="77777777" w:rsidR="00533D92" w:rsidRDefault="00533D92" w:rsidP="00DB5F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614C4DB" w14:textId="77777777" w:rsidR="00533D92" w:rsidRPr="008D53B6" w:rsidRDefault="00533D92" w:rsidP="00DB5F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BAC3FFA" w14:textId="77777777" w:rsidR="00533D92" w:rsidRDefault="00533D92" w:rsidP="00533D92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A3DAA81" w14:textId="64003BA1" w:rsidR="00C45FD9" w:rsidRPr="00AA4A5F" w:rsidRDefault="00C45FD9" w:rsidP="00C45FD9">
      <w:pPr>
        <w:spacing w:before="120" w:line="240" w:lineRule="auto"/>
        <w:rPr>
          <w:bCs/>
          <w:sz w:val="28"/>
          <w:szCs w:val="28"/>
        </w:rPr>
      </w:pPr>
      <w:r w:rsidRPr="00AA4A5F">
        <w:rPr>
          <w:bCs/>
          <w:sz w:val="28"/>
          <w:szCs w:val="28"/>
        </w:rPr>
        <w:t xml:space="preserve">Девятая Конференция министров </w:t>
      </w:r>
      <w:r w:rsidR="00513362">
        <w:rPr>
          <w:bCs/>
          <w:sz w:val="28"/>
          <w:szCs w:val="28"/>
        </w:rPr>
        <w:br/>
      </w:r>
      <w:r w:rsidRPr="00AA4A5F">
        <w:rPr>
          <w:bCs/>
          <w:sz w:val="28"/>
          <w:szCs w:val="28"/>
        </w:rPr>
        <w:t>«Окружающая среда для Европы»</w:t>
      </w:r>
    </w:p>
    <w:p w14:paraId="7AC2DAAC" w14:textId="77777777" w:rsidR="00C45FD9" w:rsidRPr="00AA4A5F" w:rsidRDefault="00C45FD9" w:rsidP="00C45FD9">
      <w:pPr>
        <w:tabs>
          <w:tab w:val="left" w:pos="3261"/>
        </w:tabs>
        <w:spacing w:before="120"/>
      </w:pPr>
      <w:r w:rsidRPr="00AA4A5F">
        <w:t>Никосия, 5–7 октября 2022 года</w:t>
      </w:r>
    </w:p>
    <w:p w14:paraId="204BE116" w14:textId="77777777" w:rsidR="00C45FD9" w:rsidRPr="00996EE5" w:rsidRDefault="00C45FD9" w:rsidP="00C45FD9">
      <w:r>
        <w:t>Пункт 8 предварительной повестки дня</w:t>
      </w:r>
    </w:p>
    <w:p w14:paraId="1A06D25A" w14:textId="77777777" w:rsidR="00C45FD9" w:rsidRPr="00996EE5" w:rsidRDefault="00C45FD9" w:rsidP="00C45FD9">
      <w:pPr>
        <w:rPr>
          <w:b/>
          <w:bCs/>
        </w:rPr>
      </w:pPr>
      <w:r>
        <w:rPr>
          <w:b/>
          <w:bCs/>
        </w:rPr>
        <w:t>Утверждение итогов Конференции</w:t>
      </w:r>
    </w:p>
    <w:p w14:paraId="12C07381" w14:textId="1BA918E2" w:rsidR="00C45FD9" w:rsidRPr="00996EE5" w:rsidRDefault="00C45FD9" w:rsidP="00C45FD9">
      <w:pPr>
        <w:pStyle w:val="HChG"/>
      </w:pPr>
      <w:r>
        <w:tab/>
      </w:r>
      <w:r>
        <w:tab/>
      </w:r>
      <w:r>
        <w:rPr>
          <w:bCs/>
        </w:rPr>
        <w:t>Проект Декларации министров</w:t>
      </w:r>
    </w:p>
    <w:p w14:paraId="7C1BE72A" w14:textId="77777777" w:rsidR="00C45FD9" w:rsidRPr="00996EE5" w:rsidRDefault="00C45FD9" w:rsidP="00C45FD9">
      <w:pPr>
        <w:pStyle w:val="SingleTxtG"/>
      </w:pPr>
      <w:r>
        <w:t>1.</w:t>
      </w:r>
      <w:r>
        <w:tab/>
        <w:t xml:space="preserve">Мы, министры и главы делегаций из [число] стран региона Европейской экономической комиссии (ЕЭК) Организации Объединенных Наций и представитель Европейского союза, собравшись 5–7 октября 2022 года в Никосии в рамках девятой Конференции министров «Окружающая среда для Европы», выступаем со следующей декларацией. </w:t>
      </w:r>
    </w:p>
    <w:p w14:paraId="55802527" w14:textId="5C5735B1" w:rsidR="00C45FD9" w:rsidRPr="00996EE5" w:rsidRDefault="00C45FD9" w:rsidP="00C45FD9">
      <w:pPr>
        <w:pStyle w:val="SingleTxtG"/>
      </w:pPr>
      <w:r>
        <w:t>2.</w:t>
      </w:r>
      <w:r>
        <w:tab/>
        <w:t>Мы напоминаем, что процесс «Окружающая среда для Европы» был запущен в 1991</w:t>
      </w:r>
      <w:r w:rsidR="003C3F46">
        <w:rPr>
          <w:lang w:val="fr-CH"/>
        </w:rPr>
        <w:t> </w:t>
      </w:r>
      <w:r>
        <w:t xml:space="preserve">году в замке Добржиш в тогдашней Чехословакии с общей целью укрепления сотрудничества по защите и улучшению окружающей среды, направленного на мир, стабильность и устойчивое развитие, признавая при этом, что сотрудничество по сближению качества окружающей среды и экологической политики в Европе представляет собой мощную интегрирующую силу и является одним из краеугольных камней строительства новой Европы. </w:t>
      </w:r>
    </w:p>
    <w:p w14:paraId="301E1C6A" w14:textId="6BB891E9" w:rsidR="00C45FD9" w:rsidRPr="00996EE5" w:rsidRDefault="00C45FD9" w:rsidP="00C45FD9">
      <w:pPr>
        <w:pStyle w:val="SingleTxtG"/>
      </w:pPr>
      <w:r>
        <w:t>3.</w:t>
      </w:r>
      <w:r>
        <w:tab/>
        <w:t>Мы глубоко сожалеем, что движение, намеченное в Добржише в целях создания более устойчивого общеевропейского региона, было резко прервано в феврале 2022 года. В этой связи мы решительно осуждаем неспровоцированную и неоправданную агрессию против Украины со стороны вооруженных сил Российской Федерации и напоминаем о резолюции ES-11/1 Генеральной Ассамблеи об агрессии против Украины, поддержанной 141</w:t>
      </w:r>
      <w:r w:rsidR="009A3D61">
        <w:rPr>
          <w:lang w:val="fr-CH"/>
        </w:rPr>
        <w:t> </w:t>
      </w:r>
      <w:r>
        <w:t xml:space="preserve">государством </w:t>
      </w:r>
      <w:r w:rsidR="003C3F46" w:rsidRPr="00107F63">
        <w:t>—</w:t>
      </w:r>
      <w:r>
        <w:t xml:space="preserve"> членом Организации Объединенных Наций, в которой выражается глубочайшее сожаление по поводу агрессии, совершенной Российской Федерацией против Украины, которая нарушает международное право и Устав Организации Объединенных Наций, подрывает международную безопасность и стабильность и оказывает разрушительное воздействие на жизнь людей и окружающую среду. Мы также осуждаем участие Беларуси в этом акте агрессии против Украины. ЕЭК была создана для того, чтобы помочь разрушенной войной Европе восстановиться и построить свое будущее на основе мира и взаимного сотрудничества. Мы настаиваем на том, что мир является предпосылкой для международного сотрудничества. Мы также крайне обеспокоены тем пагубным воздействием, которое эта военная агрессия против Украины и ее народа уже оказала и будет оказывать на окружающую среду. Экологические последствия этой агрессии, скорее всего, также будут угрожать жизни и здоровью людей, как непосредственно, так и в долгосрочном плане.</w:t>
      </w:r>
    </w:p>
    <w:p w14:paraId="0E34E0C8" w14:textId="2AEBD81F" w:rsidR="00C45FD9" w:rsidRPr="00B94912" w:rsidRDefault="00C45FD9" w:rsidP="00513362">
      <w:pPr>
        <w:pStyle w:val="SingleTxtG"/>
        <w:rPr>
          <w:b/>
          <w:bCs/>
        </w:rPr>
      </w:pPr>
      <w:r>
        <w:t>4.</w:t>
      </w:r>
      <w:r>
        <w:tab/>
        <w:t xml:space="preserve">Мы признаем необходимость оценки экологических последствий военной агрессии против Украины как для этой страны, так и для окружающего региона и подтверждаем нашу поддержку Украины в ее восстановлении, включая </w:t>
      </w:r>
      <w:r>
        <w:lastRenderedPageBreak/>
        <w:t xml:space="preserve">предоставление последующей помощи для восстановления. Мы предлагаем секретариату ЕЭК в сотрудничестве с Программой Организации Объединенных Наций по окружающей среде, Организацией экономического сотрудничества и развития и другими организациями определить приоритетность оценки наиболее неотложных экологических потребностей Украины на основе методологии Программы обзоров результативности экологической деятельности ЕЭК и результатов текущих и планируемых оценок воздействия и выработать рекомендации по продвижению устойчивого восстановления страны в соответствии с Луганской </w:t>
      </w:r>
      <w:r w:rsidRPr="00141BF8">
        <w:t>декларацией и ее семью принципами, принятыми на Конференции по восстановлению Украины 4</w:t>
      </w:r>
      <w:r w:rsidR="00107F63">
        <w:rPr>
          <w:lang w:val="fr-CH"/>
        </w:rPr>
        <w:t>–</w:t>
      </w:r>
      <w:r w:rsidRPr="00141BF8">
        <w:t>5 июля 2022 года.</w:t>
      </w:r>
    </w:p>
    <w:p w14:paraId="1DA01D11" w14:textId="7EF97F82" w:rsidR="00C45FD9" w:rsidRPr="00996EE5" w:rsidRDefault="00C45FD9" w:rsidP="00C45FD9">
      <w:pPr>
        <w:pStyle w:val="SingleTxtG"/>
      </w:pPr>
      <w:r>
        <w:t>5.</w:t>
      </w:r>
      <w:r>
        <w:tab/>
        <w:t xml:space="preserve">Мы полностью признаем всю серьезность вызовов, стоящих перед нашей планетой и нашим регионом, в том числе в свете пандемии коронавирусного заболевания (COVID-19), и подчеркиваем, что для нахождения путей успешного решения этих серьезных вызовов, в частности касающихся биоразнообразия, изменения климата и общего загрязнения, требуется совместный и скоординированный ответ, который может обеспечить лишь тесное международное сотрудничество. Мы напоминаем, что мир является предпосылкой для международного сотрудничества </w:t>
      </w:r>
      <w:r w:rsidR="00107F63" w:rsidRPr="00107F63">
        <w:t>—</w:t>
      </w:r>
      <w:r>
        <w:t xml:space="preserve"> в том числе путем использования существующих платформ международного сотрудничества, таких как процесс «Окружающая среда для Европы». </w:t>
      </w:r>
    </w:p>
    <w:p w14:paraId="2287E8CC" w14:textId="6470E7D8" w:rsidR="00C45FD9" w:rsidRPr="00996EE5" w:rsidRDefault="00C45FD9" w:rsidP="00C45FD9">
      <w:pPr>
        <w:pStyle w:val="SingleTxtG"/>
      </w:pPr>
      <w:r>
        <w:t>6.</w:t>
      </w:r>
      <w:r>
        <w:tab/>
        <w:t>Мы вновь подтверждаем нашу приверженность делу улучшения охраны окружающей среды и содействия устойчивому развитию в регионе ЕЭК, что способствует достижению Целей в области устойчивого развития в интересах реализации Повестки дня в области устойчивого развития на период до 2030 года, в</w:t>
      </w:r>
      <w:r w:rsidR="00107F63">
        <w:rPr>
          <w:lang w:val="fr-CH"/>
        </w:rPr>
        <w:t> </w:t>
      </w:r>
      <w:r>
        <w:t>том числе на основе партнерства между государственным и частным секторами. Мы</w:t>
      </w:r>
      <w:r w:rsidR="00107F63">
        <w:rPr>
          <w:lang w:val="fr-CH"/>
        </w:rPr>
        <w:t> </w:t>
      </w:r>
      <w:r>
        <w:t xml:space="preserve">признаем, что экологизация экономики имеет решающее значение для достижения всех Целей в области устойчивого развития, и вновь подтверждаем наши обязательства, взятые на восьмой Конференции «Окружающая среда для Европы», состоявшейся в Батуми, Грузия, 8–10 июня 2016 года. В этой связи развитие инфраструктуры и туризм относятся к числу основных затрагиваемых секторов, и поэтому крайне важно обеспечить, чтобы в этих секторах в полной мере принимались во внимание и учитывались вызывающие озабоченность экологические и социальные вопросы и вопросы охраны здоровья населения и чтобы выявлялись и смягчались риски, сопряженные с бедствиями. </w:t>
      </w:r>
    </w:p>
    <w:p w14:paraId="52FAA8DC" w14:textId="0D76FCBC" w:rsidR="00C45FD9" w:rsidRPr="00996EE5" w:rsidRDefault="00C45FD9" w:rsidP="00C45FD9">
      <w:pPr>
        <w:pStyle w:val="SingleTxtG"/>
      </w:pPr>
      <w:r>
        <w:t>7.</w:t>
      </w:r>
      <w:r>
        <w:tab/>
        <w:t>Мы подтверждаем важное значение процесса «Окружающая среда для Европы» как единственной в своем роде общеевропейской платформы для решения экологических проблем, совершенствования управления природоохранной деятельностью, поощрения экологического и межсекторального сотрудничества и обмена информацией между странами, а также как одной из опор устойчивого развития в регионе, благодаря чему за 31 год его существования в результате сотрудничества между всеми заинтересованными сторонами удалось добиться важных и ощутимых достижений. Он продемонстрировал, что способен стимулировать прогресс в преодолении известных проблем и содействовать принятию мер по оказанию поддержки странам в их противостоянии новым вызовам, перестраивая свою деятельность в соответствии с потребностями региона. Мы</w:t>
      </w:r>
      <w:r w:rsidR="00C26E8F">
        <w:rPr>
          <w:lang w:val="fr-CH"/>
        </w:rPr>
        <w:t> </w:t>
      </w:r>
      <w:r>
        <w:t>считаем, что он должен играть центральную роль в инклюзивном и устойчивом восстановлении общеевропейского региона, в его «зеленом» и справедливом переходе, а также в построении устойчивого будущего, основанного на углублении сотрудничества и наступлении мира.</w:t>
      </w:r>
    </w:p>
    <w:p w14:paraId="752CD616" w14:textId="778FC85E" w:rsidR="00C45FD9" w:rsidRPr="00996EE5" w:rsidRDefault="00C45FD9" w:rsidP="00C45FD9">
      <w:pPr>
        <w:pStyle w:val="SingleTxtG"/>
      </w:pPr>
      <w:r>
        <w:t>8.</w:t>
      </w:r>
      <w:r>
        <w:tab/>
        <w:t>Мы признаем важную роль, которую играет устойчивая инфраструктура в процессе перехода к «зеленой» экономике и в достижении Целей в области устойчивого развития. Мы подчеркиваем, что инвестиции в устойчивую и жизнеспособную инфраструктуру должны лежать в основе политики и обязательств в области «зеленой» экономики, а также играть центральную роль в планах восстановления после пандемии COVID-19. Мы обращаем внимание на резолюцию</w:t>
      </w:r>
      <w:r w:rsidR="00C26E8F">
        <w:rPr>
          <w:lang w:val="fr-CH"/>
        </w:rPr>
        <w:t> </w:t>
      </w:r>
      <w:r>
        <w:t xml:space="preserve">5/9 Ассамблеи Организации Объединенных Наций по окружающей среде Программы Организации Объединенных Наций по окружающей среде об устойчивой </w:t>
      </w:r>
      <w:r>
        <w:lastRenderedPageBreak/>
        <w:t xml:space="preserve">и жизнеспособной инфраструктуре и подтверждаем важную роль, которую процесс «Окружающая среда для Европы» может сыграть для ее реализации. В этом контексте мы признаем, что Конвенция об оценке воздействия на окружающую среду в трансграничном контексте (Конвенция Эспо) и Протокол по стратегической экологической оценке к ней обеспечивают основу и руководство для оценки и снижения воздействия на окружающую среду при экологизации как инфраструктуры, так и промышленности. Мы подчеркиваем важность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и Протокола о регистрах выбросов и переноса загрязнителей к ней в данном контексте для обеспечения прозрачного, эффективного, безопасного и инклюзивного участия общественности в принятии решений. </w:t>
      </w:r>
    </w:p>
    <w:p w14:paraId="541E05D9" w14:textId="77777777" w:rsidR="00C45FD9" w:rsidRPr="00996EE5" w:rsidRDefault="00C45FD9" w:rsidP="00C45FD9">
      <w:pPr>
        <w:pStyle w:val="SingleTxtG"/>
      </w:pPr>
      <w:r>
        <w:t>9.</w:t>
      </w:r>
      <w:r>
        <w:tab/>
        <w:t xml:space="preserve">Мы подтверждаем, что для планирования различных видов инфраструктуры и управления ими требуется системный, инклюзивный и устойчивый подход, как указано в Международных принципах надлежащей практики для устойчивой инфраструктуры. Новая устойчивая и жизнестойкая инфраструктура должна способствовать эффективному использованию ресурсов для снижения долгосрочного воздействия на окружающую среду. Мы изучим пути продвижения вперед для общеевропейского региона, в том числе с помощью инноваций, решений, основанных на природных принципах, и взаимодействия с частным сектором. Будущий общерегиональный подход к устойчивой инфраструктуре должен стать основой для общих целей, задач и критериев разработки политики, финансирования, мониторинга эффективности и тиражирования практики, наилучшим образом отвечающей внутренним и трансграничным потребностям. Мы будем поощрять действенное, безопасное и инклюзивное участие общественности в качестве важнейшей предпосылки для надлежащего управления развитием инфраструктуры и построения устойчивого будущего для нынешнего и будущих поколений, используя такие проверенные инструменты, как оценка воздействия на окружающую среду и стратегическая экологическая оценка. Мы также признаем необходимость единого понимания того, что такое устойчивая и безопасная инфраструктура и каким образом производить количественную оценку прогресса в различных странах, равно как и необходимость укрепления трансграничного сотрудничества для устранения технологических и экологических рисков и предотвращения негативного воздействия. </w:t>
      </w:r>
    </w:p>
    <w:p w14:paraId="1ED3396A" w14:textId="3665842B" w:rsidR="00C45FD9" w:rsidRPr="00996EE5" w:rsidRDefault="00C45FD9" w:rsidP="00C45FD9">
      <w:pPr>
        <w:pStyle w:val="SingleTxtG"/>
      </w:pPr>
      <w:r>
        <w:t>10.</w:t>
      </w:r>
      <w:r>
        <w:tab/>
        <w:t>Мы также признаем, что применение принципов циркулярной экономики к устойчивому туризму посредством многостороннего сотрудничества заинтересованных сторон, использования эффективных стимулов, программ поддержки и нормативных актов имеет решающее значение для восстановления туристического сектора по принципу «лучше, чем было», при том что он относится к числу секторов, наиболее пострадавших от пандемии в общеевропейском регионе. Мы</w:t>
      </w:r>
      <w:r w:rsidR="00513362">
        <w:rPr>
          <w:lang w:val="fr-CH"/>
        </w:rPr>
        <w:t> </w:t>
      </w:r>
      <w:r>
        <w:t xml:space="preserve">будем способствовать трансформации туристического сектора путем осуществления программ и проектов, ориентированных на применение циркулярных моделей в цепочке создания стоимости индустрии туризма. Кроме того, мы будем накапливать знания на основе существующих инструментов и инициатив в области циркулярной экономики с целью дальнейшего распространения и охвата соответствующих государств </w:t>
      </w:r>
      <w:r w:rsidR="00C26E8F" w:rsidRPr="003E217E">
        <w:t>—</w:t>
      </w:r>
      <w:r>
        <w:t xml:space="preserve"> членов ЕЭК. Мы призываем государства-члены и другие заинтересованные стороны, способные это сделать, рассмотреть возможность присоединения и принятия обязательств в отношении действий в рамках Глобальной туристической инициативы по пластику, которая объединяет туристический сектор в плане общего видения циркулярной экономики переработки пластика и Декларации Глазго: Обязательство по проведению десятилетия борьбы с изменением климата в туризме.</w:t>
      </w:r>
    </w:p>
    <w:p w14:paraId="284E5A58" w14:textId="267FD6B9" w:rsidR="00C45FD9" w:rsidRPr="00996EE5" w:rsidRDefault="00C45FD9" w:rsidP="00C45FD9">
      <w:pPr>
        <w:pStyle w:val="SingleTxtG"/>
      </w:pPr>
      <w:r>
        <w:t>11.</w:t>
      </w:r>
      <w:r>
        <w:tab/>
        <w:t xml:space="preserve">Мы будем поддерживать усилия по сокращению использования воды и энергии и выбросов парниковых газов в сфере туризма, особенно в подсекторах с высоким уровнем воздействия (включая круизные суда, авиаперевозки и гостиничное хозяйство), а также по повышению эффективности использования других ресурсов, таких как вода. Мы также обязуемся улучшить очистку сточных вод и обращение с отходами, включая пищевые отходы и пластик, в секторе туризма, а также применять принципы циркулярной экономики во всей цепочке создания стоимости в индустрии </w:t>
      </w:r>
      <w:r>
        <w:lastRenderedPageBreak/>
        <w:t xml:space="preserve">туризма. Мы высоко ценим взятое государствами </w:t>
      </w:r>
      <w:r w:rsidR="00513362" w:rsidRPr="00513362">
        <w:t>—</w:t>
      </w:r>
      <w:r>
        <w:t xml:space="preserve"> членами Европейской экономической комиссии Организации Объединенных Наций на ее шестьдесят девятой сессии, состоявшейся в Женеве 20 и 21 апреля 2021 года, обязательство активизировать свои усилия по пропаганде основанных на циркулярной экономике подходов и устойчивого использования природных ресурсов, в частности посредством выполнения добровольных обязательств, взятых в рамках процесса «Окружающая среда для Европы». Мы обязуемся поддерживать и поощрять выполнение этих решений путем задействования в полном объеме потенциала процесса «Окружающая среда для Европы» и, в частности, Батумской инициативы по «зеленой» экономике в интересах мобилизации добровольных обязательств и обмена положительным опытом, таким как пешеходный и велосипедный туризм. В более широком смысле мы будем способствовать развитию циркулярной экономики, содействовать применению подхода, основанного на жизненном цикле, и поддерживать усилия по повышению ресурсоэффективности и по предотвращению образования отходов в рамках процессов производства и потребления, в частности на основе ремонта, информации о продукции, восстановления или использования для производства аналогичной продукции, а также использования устойчивых государственных закупок и финансовых стимулов.</w:t>
      </w:r>
    </w:p>
    <w:p w14:paraId="60ECBCB5" w14:textId="428B1B96" w:rsidR="00C45FD9" w:rsidRPr="00996EE5" w:rsidRDefault="00C45FD9" w:rsidP="00C45FD9">
      <w:pPr>
        <w:pStyle w:val="SingleTxtG"/>
      </w:pPr>
      <w:r>
        <w:t>12.</w:t>
      </w:r>
      <w:r>
        <w:tab/>
        <w:t>Мы подтверждаем нашу приверженность осуществлению добровольных Панъевропейских стратегических рамок экологизации экономики, принятых на восьмой Конференции министров «Окружающая среда для Европы». Мы</w:t>
      </w:r>
      <w:r w:rsidR="00513362">
        <w:rPr>
          <w:lang w:val="fr-CH"/>
        </w:rPr>
        <w:t> </w:t>
      </w:r>
      <w:r>
        <w:t>приветствуем позитивные сдвиги в выполнении добровольных обязательств в рамках Батумской инициативы по «зеленой» экономике с целью введения в действие Стратегических рамок и призываем страны и другие заинтересованные стороны продолжать представлять информацию о выполнении существующих добровольных обязательств по Батумской инициативе и рассмотреть возможность взятия новых обязательств, в том числе в таких областях, как устойчивая инфраструктура и устойчивый туризм. Мы поддерживаем дальнейшие меры по поощрению осуществления Батумской инициативы посредством использования существующих платформ для обмена знаниями, таких как Партнерство по обмену знаниями «Зеленый рост» и сеть «Одна планета». Мы далее предлагаем ЕЭК, Организации экономического сотрудничества и развития и Программе Организации Объединенных Наций по окружающей среде в тесном сотрудничестве друг с другом и с другими соответствующими международными организациями оказывать поддержку странам в их усилиях по экологизации экономики и достижению устойчивого развития.</w:t>
      </w:r>
    </w:p>
    <w:p w14:paraId="75104451" w14:textId="77777777" w:rsidR="00C45FD9" w:rsidRPr="00996EE5" w:rsidRDefault="00C45FD9" w:rsidP="00C45FD9">
      <w:pPr>
        <w:pStyle w:val="SingleTxtG"/>
      </w:pPr>
      <w:r>
        <w:t>13.</w:t>
      </w:r>
      <w:r>
        <w:tab/>
        <w:t xml:space="preserve">Мы высоко оцениваем прогресс, достигнутый за последние четыре десятилетия в общеевропейском регионе в плане сокращения выбросов основных загрязняющих воздух веществ и их воздействия. Мы также отмечаем, что загрязненность воздуха как внутри, так и снаружи помещений остается одной из главных проблем в регионе и во всем мире и создает серьезную угрозу для здоровья человека и окружающей среды. Мы по-прежнему привержены делу ускорения процесса сокращения уровня загрязнения воздуха, сохранения здоровья человека, поэтапного отказа от гидрохлорфторуглеродов и поэтапного сокращения использования гидрофторуглеродов, включая их влияние на глобальное потепление. В этой связи мы по-прежнему намерены обеспечивать надлежащий мониторинг загрязнения воздуха, в частности приземный мониторинг, и доступ общественности к соответствующей информации. Мы также приветствуем заключительный доклад об осуществлении Батумской инициативы по борьбе за чистый воздух, с удовлетворением отмечая реализацию инициатив, которые были выдвинуты заинтересованными странами и другими заинтересованными сторонами и направлены на улучшение качества воздуха и защиту здоровья населения и экосистем. Мы также приветствуем тесное сотрудничество с Конвенцией ЕЭК о трансграничном загрязнении воздуха на большие расстояния, в частности создание форума для международного сотрудничества в области сокращения загрязнения воздуха в рамках Конвенции, чтобы обеспечить странам всего мира возможность сотрудничества в целях предотвращения и снижения загрязнения воздуха. Мы приветствуем изучение вариантов синергии в плане достижения прогресса в осуществлении Батумской инициативы и возможность продолжать содействовать принятию мер по линии Батумской инициативы. </w:t>
      </w:r>
    </w:p>
    <w:p w14:paraId="0C19CC18" w14:textId="77777777" w:rsidR="00C45FD9" w:rsidRPr="00996EE5" w:rsidRDefault="00C45FD9" w:rsidP="00C45FD9">
      <w:pPr>
        <w:pStyle w:val="SingleTxtG"/>
      </w:pPr>
      <w:r>
        <w:lastRenderedPageBreak/>
        <w:t>14.</w:t>
      </w:r>
      <w:r>
        <w:tab/>
        <w:t>Мы высоко оцениваем прогресс, достигнутый по линии многосторонних природоохранных соглашений ЕЭК, и признаем их важную роль в оказании поддержки странам в достижении Целей в области устойчивого развития. Мы даем высокую оценку ощутимым результатам, достигнутым в рамках осуществления многосторонних природоохранных соглашений ЕЭК, в части одновременно повышения эффективности охраны окружающей среды и обеспечения промышленной безопасности, а также улучшения социальных, экономических и связанных со здоровьем человека аспектов жизни людей в общеевропейском регионе и за его пределами. Мы обязуемся укреплять участие гражданского общества и частного сектора в реализации этих соглашений. Мы призываем заинтересованные страны ратифицировать и выполнять эти документы и выделять достаточные ресурсы для их осуществления.</w:t>
      </w:r>
    </w:p>
    <w:p w14:paraId="54B76126" w14:textId="77777777" w:rsidR="00C45FD9" w:rsidRPr="00996EE5" w:rsidRDefault="00C45FD9" w:rsidP="00C45FD9">
      <w:pPr>
        <w:pStyle w:val="SingleTxtG"/>
      </w:pPr>
      <w:r>
        <w:t>15.</w:t>
      </w:r>
      <w:r>
        <w:tab/>
        <w:t>Мы признаем исключительную важность доступа к различным источникам информации и надежным, актуальным, качественным данным и статистике, в частности с использованием современных инструментов и методов, для реагирования как на текущие, так и на возникающие потребности и вызовы. Мы подтверждаем нашу приверженность содействию партнерствам и взаимной поддержке национальных статистических управлений и соответствующих ведомств, например агентств по охране окружающей среды, для получения данных и статистики для мониторинга прогресса в области охраны окружающей среды.</w:t>
      </w:r>
    </w:p>
    <w:p w14:paraId="1A16E3FF" w14:textId="7D8F0F7E" w:rsidR="00C45FD9" w:rsidRPr="00996EE5" w:rsidRDefault="00C45FD9" w:rsidP="00C45FD9">
      <w:pPr>
        <w:pStyle w:val="SingleTxtG"/>
      </w:pPr>
      <w:r>
        <w:t>16.</w:t>
      </w:r>
      <w:r>
        <w:tab/>
        <w:t>Мы признаем важность регулярных основанных на показателях экологических оценок и подтверждаем нашу приверженность проведению регулярного обзора положения в общеевропейском регионе в интересах поддержки устойчивого развития и перехода к циркулярной, «зеленой» и устойчивой экономике. Мы принимаем к сведению основные выводы седьмой общеевропейской оценки, проведенной ЕЭК и Программой Организации Объединенных Наций по окружающей среде, и, в</w:t>
      </w:r>
      <w:r w:rsidR="003E217E">
        <w:rPr>
          <w:lang w:val="fr-CH"/>
        </w:rPr>
        <w:t> </w:t>
      </w:r>
      <w:r>
        <w:t>частности, настоятельную необходимость:</w:t>
      </w:r>
    </w:p>
    <w:p w14:paraId="7B356468" w14:textId="77777777" w:rsidR="00C45FD9" w:rsidRPr="00996EE5" w:rsidRDefault="00C45FD9" w:rsidP="00513362">
      <w:pPr>
        <w:pStyle w:val="Bullet1G"/>
        <w:numPr>
          <w:ilvl w:val="0"/>
          <w:numId w:val="23"/>
        </w:numPr>
      </w:pPr>
      <w:r>
        <w:tab/>
        <w:t>следовать курсу на обеспечение комплексного управления водными ресурсами, развитие сотрудничества в области трансграничных вод и комплексное управление прибрежной зоной;</w:t>
      </w:r>
    </w:p>
    <w:p w14:paraId="4A59E184" w14:textId="77777777" w:rsidR="00C45FD9" w:rsidRPr="00996EE5" w:rsidRDefault="00C45FD9" w:rsidP="00513362">
      <w:pPr>
        <w:pStyle w:val="Bullet1G"/>
        <w:numPr>
          <w:ilvl w:val="0"/>
          <w:numId w:val="23"/>
        </w:numPr>
      </w:pPr>
      <w:r>
        <w:tab/>
        <w:t xml:space="preserve">учитывать вопросы сохранения биоразнообразия во всех соответствующих секторах и направлениях политики; </w:t>
      </w:r>
    </w:p>
    <w:p w14:paraId="752D68FB" w14:textId="77777777" w:rsidR="00C45FD9" w:rsidRPr="00996EE5" w:rsidRDefault="00C45FD9" w:rsidP="00513362">
      <w:pPr>
        <w:pStyle w:val="Bullet1G"/>
        <w:numPr>
          <w:ilvl w:val="0"/>
          <w:numId w:val="23"/>
        </w:numPr>
      </w:pPr>
      <w:r>
        <w:tab/>
        <w:t xml:space="preserve">остановить утрату биоразнообразия и, по возможности, восстановить экосистемы до здорового состояния; </w:t>
      </w:r>
    </w:p>
    <w:p w14:paraId="6A2151D4" w14:textId="77777777" w:rsidR="00C45FD9" w:rsidRPr="00996EE5" w:rsidRDefault="00C45FD9" w:rsidP="00513362">
      <w:pPr>
        <w:pStyle w:val="Bullet1G"/>
        <w:numPr>
          <w:ilvl w:val="0"/>
          <w:numId w:val="23"/>
        </w:numPr>
      </w:pPr>
      <w:r>
        <w:tab/>
        <w:t xml:space="preserve">обратить вспять процесс деградации прибрежных вод, морских экосистем и морей и активизировать усилия по достижению к 2030 году глобальных целей по защите и сохранению не менее 30 % районов суши и внутренних водных, прибрежных и морских районов во всем регионе; </w:t>
      </w:r>
    </w:p>
    <w:p w14:paraId="1B4D1A8B" w14:textId="77777777" w:rsidR="00C45FD9" w:rsidRPr="00996EE5" w:rsidRDefault="00C45FD9" w:rsidP="00513362">
      <w:pPr>
        <w:pStyle w:val="Bullet1G"/>
        <w:numPr>
          <w:ilvl w:val="0"/>
          <w:numId w:val="23"/>
        </w:numPr>
      </w:pPr>
      <w:r>
        <w:tab/>
        <w:t>предотвращать загрязнение воздуха, воды и почвы, чтобы планета была свободной от загрязнения;</w:t>
      </w:r>
    </w:p>
    <w:p w14:paraId="780008E1" w14:textId="77777777" w:rsidR="00C45FD9" w:rsidRPr="00996EE5" w:rsidRDefault="00C45FD9" w:rsidP="00513362">
      <w:pPr>
        <w:pStyle w:val="Bullet1G"/>
        <w:numPr>
          <w:ilvl w:val="0"/>
          <w:numId w:val="23"/>
        </w:numPr>
      </w:pPr>
      <w:r>
        <w:tab/>
        <w:t>продолжать последовательно сокращать отвод земель, не допускать дальнейшего ухудшения качества земель и среды обитания вследствие применения методов ведения сельского хозяйства и землепользования, неблагоприятных для сохранения биоразнообразия, и активизировать усилия по сохранению почвы;</w:t>
      </w:r>
    </w:p>
    <w:p w14:paraId="34619D65" w14:textId="77777777" w:rsidR="00C45FD9" w:rsidRPr="00996EE5" w:rsidRDefault="00C45FD9" w:rsidP="00513362">
      <w:pPr>
        <w:pStyle w:val="Bullet1G"/>
        <w:numPr>
          <w:ilvl w:val="0"/>
          <w:numId w:val="23"/>
        </w:numPr>
      </w:pPr>
      <w:r>
        <w:tab/>
        <w:t>создать ориентированное на ресурсы общеевропейское партнерство по управлению электронными отходами и дополнительно расширить доступ к надежной, подробной информации о химических веществах и отходах, с тем чтобы обеспечить рациональное обращение с ними;</w:t>
      </w:r>
    </w:p>
    <w:p w14:paraId="1FDFF6B2" w14:textId="77777777" w:rsidR="00C45FD9" w:rsidRPr="00996EE5" w:rsidRDefault="00C45FD9" w:rsidP="00513362">
      <w:pPr>
        <w:pStyle w:val="Bullet1G"/>
        <w:numPr>
          <w:ilvl w:val="0"/>
          <w:numId w:val="23"/>
        </w:numPr>
      </w:pPr>
      <w:r>
        <w:tab/>
        <w:t>направить дополнительные ресурсы на обеспечение институционального и технического потенциала, необходимого для планирования, проектирования, выполнения, функционирования и вывода из эксплуатации устойчивых инфраструктурных проектов;</w:t>
      </w:r>
    </w:p>
    <w:p w14:paraId="6E07DDAF" w14:textId="77777777" w:rsidR="00C45FD9" w:rsidRPr="00996EE5" w:rsidRDefault="00C45FD9" w:rsidP="00513362">
      <w:pPr>
        <w:pStyle w:val="Bullet1G"/>
        <w:numPr>
          <w:ilvl w:val="0"/>
          <w:numId w:val="23"/>
        </w:numPr>
      </w:pPr>
      <w:r>
        <w:lastRenderedPageBreak/>
        <w:tab/>
        <w:t>разработать и внедрить соответствующие общие общеевропейские методы и системы мониторинга и управления информацией, использовать пересмотренное Руководство ЕЭК по применению экологических показателей и принять показатели для охвата важных новых тем, связанных с разработкой политики, в том числе с целью улучшения наличия качественных данных для показателей Целей в области устойчивого развития;</w:t>
      </w:r>
    </w:p>
    <w:p w14:paraId="3ED0664E" w14:textId="77777777" w:rsidR="00C45FD9" w:rsidRPr="00EC27A4" w:rsidRDefault="00C45FD9" w:rsidP="00513362">
      <w:pPr>
        <w:pStyle w:val="Bullet1G"/>
        <w:numPr>
          <w:ilvl w:val="0"/>
          <w:numId w:val="23"/>
        </w:numPr>
      </w:pPr>
      <w:r w:rsidRPr="00EC27A4">
        <w:tab/>
        <w:t>отобрать ключевые показатели воздействия туризма для включения в статистические базы данных ЕЭК.</w:t>
      </w:r>
    </w:p>
    <w:p w14:paraId="5BF18F2F" w14:textId="77777777" w:rsidR="00C45FD9" w:rsidRPr="00996EE5" w:rsidRDefault="00C45FD9" w:rsidP="00513362">
      <w:pPr>
        <w:pStyle w:val="SingleTxtG"/>
      </w:pPr>
      <w:r>
        <w:t>17.</w:t>
      </w:r>
      <w:r>
        <w:tab/>
        <w:t>Мы подтверждаем важность дальнейшего укрепления и расширения масштабов образования в интересах устойчивого развития в целях совершенствования систем управления природоохранной деятельностью, укрепления экологической демократии и расширения прав и возможностей учащихся всех возрастов путем наделения их знаниями, навыками, ценностями и установками для решения взаимосвязанных глобальных проблем, с которыми мы сталкиваемся, включая изменение климата, деградацию окружающей среды, утрату биоразнообразия, загрязнение, нищету и гендерное и другое неравенство.</w:t>
      </w:r>
    </w:p>
    <w:p w14:paraId="5D0ED78A" w14:textId="77777777" w:rsidR="00C45FD9" w:rsidRPr="00996EE5" w:rsidRDefault="00C45FD9" w:rsidP="00513362">
      <w:pPr>
        <w:pStyle w:val="SingleTxtG"/>
      </w:pPr>
      <w:r>
        <w:t>18.</w:t>
      </w:r>
      <w:r>
        <w:tab/>
        <w:t>Мы высоко оцениваем Программу обзоров результативности экологической деятельности ЕЭК, которая за более чем четверть века своего существования зарекомендовала себя как эффективный и практичный инструмент политики, и признаем роль, которую она играет в оказании поддержки деятельности по осуществлению и мониторингу достижения Целей в области устойчивого развития в общеевропейском регионе. Мы одобряем четвертый цикл обзоров результативности экологической деятельности, предлагаем ЕЭК провести его и призываем страны извлечь пользу из Программы обзоров результативности экологической деятельности путем проведения дальнейших обзоров и рассмотрения возможности разработки «дорожных карт» для выполнения рекомендаций.</w:t>
      </w:r>
    </w:p>
    <w:p w14:paraId="1D6F9E54" w14:textId="681B0BF8" w:rsidR="00C45FD9" w:rsidRPr="00996EE5" w:rsidRDefault="00C45FD9" w:rsidP="00513362">
      <w:pPr>
        <w:pStyle w:val="SingleTxtG"/>
      </w:pPr>
      <w:r>
        <w:t>19.</w:t>
      </w:r>
      <w:r>
        <w:tab/>
        <w:t>Мы также высоко оцениваем повсеместное создание Общей системы экологической информации в регионе для поддержки регулярного процесса экологической оценки. Мы предлагаем странам продолжить свои усилия по внедрению всех основных компонентов Общей системы экологической информации</w:t>
      </w:r>
      <w:r w:rsidR="003E217E">
        <w:rPr>
          <w:lang w:val="fr-CH"/>
        </w:rPr>
        <w:t> </w:t>
      </w:r>
      <w:r w:rsidR="003E217E" w:rsidRPr="003E217E">
        <w:t>—</w:t>
      </w:r>
      <w:r>
        <w:t xml:space="preserve"> содержание, инфраструктура и сотрудничество </w:t>
      </w:r>
      <w:r w:rsidR="003E217E" w:rsidRPr="003E217E">
        <w:t>—</w:t>
      </w:r>
      <w:r>
        <w:t xml:space="preserve"> и устранить любые остающиеся пробелы. Мы также рекомендуем странам передать экологическую информацию в общественное пользование, обеспечив при этом возможность ее поиска, доступность информации, ее функциональную совместимость и возможность повторного использования данных и поощрять сбор знаний местного населения и коренных народов, гражданской науки и краудсорсинговых данных. Мы также призываем страны при развитии цифровизации систем экологической информации, опирающихся на открытые данные, большие данные и современные цифровые технологии, повышать доступность данных, прозрачность и вовлечение общественности в процесс принятия решений.</w:t>
      </w:r>
    </w:p>
    <w:p w14:paraId="5E19C425" w14:textId="77777777" w:rsidR="00C45FD9" w:rsidRPr="00996EE5" w:rsidRDefault="00C45FD9" w:rsidP="00513362">
      <w:pPr>
        <w:pStyle w:val="SingleTxtG"/>
      </w:pPr>
      <w:r>
        <w:t>20.</w:t>
      </w:r>
      <w:r>
        <w:tab/>
        <w:t>Мы приветствуем работу Целевой группы по «зеленой» экономике и охране окружающей среды и предлагаем Организации экономического сотрудничества и развития продолжать свою деятельность в сотрудничестве с соответствующими партнерами.</w:t>
      </w:r>
    </w:p>
    <w:p w14:paraId="1D86B229" w14:textId="543D948B" w:rsidR="00C45FD9" w:rsidRPr="00996EE5" w:rsidRDefault="00C45FD9" w:rsidP="00513362">
      <w:pPr>
        <w:pStyle w:val="SingleTxtG"/>
      </w:pPr>
      <w:r>
        <w:t>21.</w:t>
      </w:r>
      <w:r>
        <w:tab/>
        <w:t>Мы признаем роль региональных инициатив в плане оказания поддержки Повестки дня в области устойчивого развития на период до 2030 года и важный вклад системы Организации Объединенных Наций, многосторонних банков развития и других международных, региональных и межгосударственных организаций. Мы</w:t>
      </w:r>
      <w:r w:rsidR="003E217E">
        <w:rPr>
          <w:lang w:val="fr-CH"/>
        </w:rPr>
        <w:t> </w:t>
      </w:r>
      <w:r>
        <w:t xml:space="preserve">признаем взаимосвязь между здоровьем человека и состоянием окружающей среды и неизменно привержены сотрудничеству со Всемирной организацией здравоохранения и сектором здравоохранения. Мы предлагаем региональным экологическим центрам регулярно отчитываться перед Комитетом по экологической политике о своей деятельности. </w:t>
      </w:r>
    </w:p>
    <w:p w14:paraId="536D85E4" w14:textId="77777777" w:rsidR="00C45FD9" w:rsidRPr="00996EE5" w:rsidRDefault="00C45FD9" w:rsidP="00513362">
      <w:pPr>
        <w:pStyle w:val="SingleTxtG"/>
      </w:pPr>
      <w:r>
        <w:t>22.</w:t>
      </w:r>
      <w:r>
        <w:tab/>
        <w:t xml:space="preserve">Мы подтверждаем исключительно важную роль, которую играет участие гражданского общества в повышении эффективности процесса принятия решений в интересах улучшения состояния окружающей среды и содействия устойчивому </w:t>
      </w:r>
      <w:r>
        <w:lastRenderedPageBreak/>
        <w:t>развитию, и обязуемся продолжать развивать партнерские отношения с организациями гражданского общества и создавать необходимые условия для их деятельности, включая эффективный доступ к экологической информации, участие и доступ к правосудию в вопросах окружающей среды. Мы приветствуем также вклад Европейского ЭКО-Форума в процесс «Окружающая среда для Европы».</w:t>
      </w:r>
    </w:p>
    <w:p w14:paraId="2BB6621B" w14:textId="77777777" w:rsidR="00C45FD9" w:rsidRPr="00996EE5" w:rsidRDefault="00C45FD9" w:rsidP="00513362">
      <w:pPr>
        <w:pStyle w:val="SingleTxtG"/>
      </w:pPr>
      <w:r>
        <w:t>23.</w:t>
      </w:r>
      <w:r>
        <w:tab/>
        <w:t>Мы предлагаем Комитету по экологической политике провести в 2025 году среднесрочный обзор с целью оценки прогресса в реализации основных итогов настоящей Конференции.</w:t>
      </w:r>
    </w:p>
    <w:p w14:paraId="0EDE7D54" w14:textId="77777777" w:rsidR="00C45FD9" w:rsidRPr="00AA4A5F" w:rsidRDefault="00C45FD9" w:rsidP="00513362">
      <w:pPr>
        <w:pStyle w:val="SingleTxtG"/>
      </w:pPr>
      <w:r>
        <w:t>24.</w:t>
      </w:r>
      <w:r>
        <w:tab/>
        <w:t>Мы принимаем решение провести через пять лет десятую Конференцию министров «Окружающая среда для Европы», с тем чтобы оценить прогресс в нашей совместной работе и определить новые направления деятельности, и предлагаем правительствам, желающим принять ее в своих странах, заявить о своей заинтересованности.</w:t>
      </w:r>
    </w:p>
    <w:p w14:paraId="087AB8FD" w14:textId="77777777" w:rsidR="00C45FD9" w:rsidRPr="00996EE5" w:rsidRDefault="00C45FD9" w:rsidP="00513362">
      <w:pPr>
        <w:pStyle w:val="SingleTxtG"/>
      </w:pPr>
      <w:r>
        <w:t>25.</w:t>
      </w:r>
      <w:r>
        <w:tab/>
        <w:t>Мы выражаем признательность правительству Кипра за проведение настоящей Конференции и принятие исключительных и весьма решительных мер для того, чтобы пандемия не повлияла на организацию этого мероприятия, и хотели бы поблагодарить правительство и народ Кипра за оказанное теплое гостеприимство.</w:t>
      </w:r>
    </w:p>
    <w:p w14:paraId="59A74D04" w14:textId="2D17C17F" w:rsidR="00533D92" w:rsidRPr="008D53B6" w:rsidRDefault="00C45FD9" w:rsidP="00513362">
      <w:pPr>
        <w:spacing w:before="240"/>
        <w:jc w:val="center"/>
      </w:pPr>
      <w:r w:rsidRPr="00996EE5">
        <w:rPr>
          <w:u w:val="single"/>
        </w:rPr>
        <w:tab/>
      </w:r>
      <w:r w:rsidRPr="00996EE5">
        <w:rPr>
          <w:u w:val="single"/>
        </w:rPr>
        <w:tab/>
      </w:r>
      <w:r w:rsidRPr="00996EE5">
        <w:rPr>
          <w:u w:val="single"/>
        </w:rPr>
        <w:tab/>
      </w:r>
    </w:p>
    <w:sectPr w:rsidR="00533D92" w:rsidRPr="008D53B6" w:rsidSect="00533D92">
      <w:headerReference w:type="even" r:id="rId17"/>
      <w:footerReference w:type="even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B7EB" w14:textId="77777777" w:rsidR="000B6A16" w:rsidRPr="00A312BC" w:rsidRDefault="000B6A16" w:rsidP="00A312BC"/>
  </w:endnote>
  <w:endnote w:type="continuationSeparator" w:id="0">
    <w:p w14:paraId="73B71D66" w14:textId="77777777" w:rsidR="000B6A16" w:rsidRPr="00A312BC" w:rsidRDefault="000B6A1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E2BF" w14:textId="4E2B235E" w:rsidR="00533D92" w:rsidRPr="00533D92" w:rsidRDefault="00533D92" w:rsidP="00533D92">
    <w:pPr>
      <w:pStyle w:val="a8"/>
      <w:tabs>
        <w:tab w:val="clear" w:pos="9639"/>
        <w:tab w:val="right" w:pos="9638"/>
      </w:tabs>
      <w:rPr>
        <w:b/>
        <w:sz w:val="18"/>
      </w:rPr>
    </w:pPr>
    <w:r>
      <w:t>GE.22-15972</w:t>
    </w:r>
    <w:r>
      <w:tab/>
    </w:r>
    <w:r w:rsidRPr="00533D92">
      <w:rPr>
        <w:b/>
        <w:sz w:val="18"/>
      </w:rPr>
      <w:fldChar w:fldCharType="begin"/>
    </w:r>
    <w:r w:rsidRPr="00533D92">
      <w:rPr>
        <w:b/>
        <w:sz w:val="18"/>
      </w:rPr>
      <w:instrText xml:space="preserve"> PAGE  \* MERGEFORMAT </w:instrText>
    </w:r>
    <w:r w:rsidRPr="00533D92">
      <w:rPr>
        <w:b/>
        <w:sz w:val="18"/>
      </w:rPr>
      <w:fldChar w:fldCharType="separate"/>
    </w:r>
    <w:r w:rsidRPr="00533D92">
      <w:rPr>
        <w:b/>
        <w:noProof/>
        <w:sz w:val="18"/>
      </w:rPr>
      <w:t>3</w:t>
    </w:r>
    <w:r w:rsidRPr="00533D9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E4E2" w14:textId="77777777" w:rsidR="00533D92" w:rsidRPr="00533D92" w:rsidRDefault="00533D92">
    <w:pPr>
      <w:pStyle w:val="a8"/>
    </w:pPr>
    <w:r w:rsidRPr="00533D92">
      <w:rPr>
        <w:b/>
        <w:sz w:val="18"/>
      </w:rPr>
      <w:fldChar w:fldCharType="begin"/>
    </w:r>
    <w:r w:rsidRPr="00533D92">
      <w:rPr>
        <w:b/>
        <w:sz w:val="18"/>
      </w:rPr>
      <w:instrText xml:space="preserve"> PAGE  \* MERGEFORMAT </w:instrText>
    </w:r>
    <w:r w:rsidRPr="00533D92">
      <w:rPr>
        <w:b/>
        <w:sz w:val="18"/>
      </w:rPr>
      <w:fldChar w:fldCharType="separate"/>
    </w:r>
    <w:r w:rsidRPr="00533D92">
      <w:rPr>
        <w:b/>
        <w:noProof/>
        <w:sz w:val="18"/>
      </w:rPr>
      <w:t>2</w:t>
    </w:r>
    <w:r w:rsidRPr="00533D92">
      <w:rPr>
        <w:b/>
        <w:sz w:val="18"/>
      </w:rPr>
      <w:fldChar w:fldCharType="end"/>
    </w:r>
    <w:r>
      <w:rPr>
        <w:b/>
        <w:sz w:val="18"/>
      </w:rPr>
      <w:tab/>
    </w:r>
    <w:r>
      <w:t>GE.22-15972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E051" w14:textId="77777777" w:rsidR="00533D92" w:rsidRPr="00533D92" w:rsidRDefault="00533D92" w:rsidP="00533D92">
    <w:pPr>
      <w:spacing w:before="120" w:line="240" w:lineRule="auto"/>
      <w:rPr>
        <w:lang w:val="fr-CH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73943720" wp14:editId="1813AD3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22-15972  (R)</w:t>
    </w:r>
    <w:r>
      <w:rPr>
        <w:noProof/>
      </w:rPr>
      <w:drawing>
        <wp:anchor distT="0" distB="0" distL="114300" distR="114300" simplePos="0" relativeHeight="251662336" behindDoc="0" locked="0" layoutInCell="1" allowOverlap="1" wp14:anchorId="45E870FE" wp14:editId="0143969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061022  061022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82CB" w14:textId="77777777" w:rsidR="000B6A16" w:rsidRPr="001075E9" w:rsidRDefault="000B6A1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37D7F6" w14:textId="77777777" w:rsidR="000B6A16" w:rsidRDefault="000B6A1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6A2E" w14:textId="0C953E68" w:rsidR="00533D92" w:rsidRPr="00533D92" w:rsidRDefault="00533D92" w:rsidP="00533D9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0BD6" w14:textId="058C196F" w:rsidR="00533D92" w:rsidRPr="00533D92" w:rsidRDefault="00533D92" w:rsidP="00533D92">
    <w:pPr>
      <w:pStyle w:val="a5"/>
      <w:jc w:val="right"/>
    </w:pPr>
    <w:fldSimple w:instr=" TITLE  \* MERGEFORMAT ">
      <w:r w:rsidR="0005294E">
        <w:t>ECE/NICOSIA.CONF/2022/L.1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777A" w14:textId="77777777" w:rsidR="00533D92" w:rsidRDefault="00533D92" w:rsidP="00533D92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3823" w14:textId="3F02F65D" w:rsidR="00533D92" w:rsidRPr="00533D92" w:rsidRDefault="00533D92">
    <w:pPr>
      <w:pStyle w:val="a5"/>
    </w:pPr>
    <w:fldSimple w:instr=" TITLE  \* MERGEFORMAT ">
      <w:r w:rsidR="0005294E">
        <w:t>ECE/NICOSIA.CONF/2022/L.1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HM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0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16"/>
    <w:rsid w:val="00033EE1"/>
    <w:rsid w:val="00042B72"/>
    <w:rsid w:val="0005294E"/>
    <w:rsid w:val="000558BD"/>
    <w:rsid w:val="000B57E7"/>
    <w:rsid w:val="000B6373"/>
    <w:rsid w:val="000B6A16"/>
    <w:rsid w:val="000E4E5B"/>
    <w:rsid w:val="000F09DF"/>
    <w:rsid w:val="000F61B2"/>
    <w:rsid w:val="001075E9"/>
    <w:rsid w:val="00107F63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0DF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3F46"/>
    <w:rsid w:val="003E0B46"/>
    <w:rsid w:val="003E217E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3362"/>
    <w:rsid w:val="00517901"/>
    <w:rsid w:val="00526683"/>
    <w:rsid w:val="00526DB8"/>
    <w:rsid w:val="00533D92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6C0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3D61"/>
    <w:rsid w:val="009C59D7"/>
    <w:rsid w:val="009C6FE6"/>
    <w:rsid w:val="009D7E7D"/>
    <w:rsid w:val="009E3531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6E8F"/>
    <w:rsid w:val="00C45FD9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F8F43A"/>
  <w15:docId w15:val="{92BF6913-8ED4-411D-9E03-2EA941D4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C45FD9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C45FD9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locked/>
    <w:rsid w:val="00C45FD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B3E2-E524-4890-968F-C6E38900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9</Pages>
  <Words>2944</Words>
  <Characters>21032</Characters>
  <Application>Microsoft Office Word</Application>
  <DocSecurity>0</DocSecurity>
  <Lines>1912</Lines>
  <Paragraphs>799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ECE/NICOSIA.CONF/2022/L.1</vt:lpstr>
      <vt:lpstr>A/</vt:lpstr>
      <vt:lpstr>A/</vt:lpstr>
    </vt:vector>
  </TitlesOfParts>
  <Company>DCM</Company>
  <LinksUpToDate>false</LinksUpToDate>
  <CharactersWithSpaces>23177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ECE/NICOSIA.CONF/2022/L.1</dc:title>
  <dc:subject/>
  <dc:creator>Olga OVTCHINNIKOVA</dc:creator>
  <cp:keywords/>
  <cp:lastModifiedBy>Olga Ovchinnikova</cp:lastModifiedBy>
  <cp:revision>3</cp:revision>
  <cp:lastPrinted>2022-10-06T10:09:00Z</cp:lastPrinted>
  <dcterms:created xsi:type="dcterms:W3CDTF">2022-10-06T10:09:00Z</dcterms:created>
  <dcterms:modified xsi:type="dcterms:W3CDTF">2022-10-06T10:16:00Z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