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CC4783" w14:paraId="025E22A7" w14:textId="77777777" w:rsidTr="00C97039">
        <w:trPr>
          <w:trHeight w:hRule="exact" w:val="851"/>
        </w:trPr>
        <w:tc>
          <w:tcPr>
            <w:tcW w:w="1276" w:type="dxa"/>
            <w:tcBorders>
              <w:bottom w:val="single" w:sz="4" w:space="0" w:color="auto"/>
            </w:tcBorders>
          </w:tcPr>
          <w:p w14:paraId="4BB44C53" w14:textId="77777777" w:rsidR="00F35BAF" w:rsidRPr="00DB58B5" w:rsidRDefault="00F35BAF" w:rsidP="00CC4783">
            <w:pPr>
              <w:kinsoku w:val="0"/>
              <w:overflowPunct w:val="0"/>
              <w:autoSpaceDE w:val="0"/>
              <w:autoSpaceDN w:val="0"/>
              <w:adjustRightInd w:val="0"/>
              <w:snapToGrid w:val="0"/>
            </w:pPr>
          </w:p>
        </w:tc>
        <w:tc>
          <w:tcPr>
            <w:tcW w:w="2268" w:type="dxa"/>
            <w:tcBorders>
              <w:bottom w:val="single" w:sz="4" w:space="0" w:color="auto"/>
            </w:tcBorders>
            <w:vAlign w:val="bottom"/>
          </w:tcPr>
          <w:p w14:paraId="5EE0E67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4F5522B" w14:textId="3DBC0F94" w:rsidR="00F35BAF" w:rsidRPr="00CC4783" w:rsidRDefault="00CC4783" w:rsidP="00CC4783">
            <w:pPr>
              <w:spacing w:before="0" w:after="0" w:line="240" w:lineRule="atLeast"/>
              <w:jc w:val="right"/>
              <w:rPr>
                <w:lang w:val="en-US"/>
              </w:rPr>
            </w:pPr>
            <w:r w:rsidRPr="00CC4783">
              <w:rPr>
                <w:sz w:val="40"/>
                <w:lang w:val="en-US"/>
              </w:rPr>
              <w:t>ECE</w:t>
            </w:r>
            <w:r w:rsidRPr="00CC4783">
              <w:rPr>
                <w:lang w:val="en-US"/>
              </w:rPr>
              <w:t>/TRANS/WP.29/GRBP/2022/9/Rev.1</w:t>
            </w:r>
          </w:p>
        </w:tc>
      </w:tr>
      <w:tr w:rsidR="00F35BAF" w:rsidRPr="00DB58B5" w14:paraId="78DC0758" w14:textId="77777777" w:rsidTr="00C97039">
        <w:trPr>
          <w:trHeight w:hRule="exact" w:val="2835"/>
        </w:trPr>
        <w:tc>
          <w:tcPr>
            <w:tcW w:w="1276" w:type="dxa"/>
            <w:tcBorders>
              <w:top w:val="single" w:sz="4" w:space="0" w:color="auto"/>
              <w:bottom w:val="single" w:sz="12" w:space="0" w:color="auto"/>
            </w:tcBorders>
          </w:tcPr>
          <w:p w14:paraId="70640ADA" w14:textId="77777777" w:rsidR="00F35BAF" w:rsidRPr="00DB58B5" w:rsidRDefault="00F35BAF" w:rsidP="00C97039">
            <w:pPr>
              <w:spacing w:before="120"/>
              <w:jc w:val="center"/>
            </w:pPr>
            <w:r>
              <w:rPr>
                <w:noProof/>
                <w:lang w:eastAsia="fr-CH"/>
              </w:rPr>
              <w:drawing>
                <wp:inline distT="0" distB="0" distL="0" distR="0" wp14:anchorId="2194660E" wp14:editId="551BD8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01312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44CFD3D" w14:textId="77777777" w:rsidR="00F35BAF" w:rsidRDefault="00CC4783" w:rsidP="00CF299A">
            <w:pPr>
              <w:spacing w:before="240" w:after="0"/>
            </w:pPr>
            <w:proofErr w:type="spellStart"/>
            <w:r>
              <w:t>Distr</w:t>
            </w:r>
            <w:proofErr w:type="spellEnd"/>
            <w:r>
              <w:t>. générale</w:t>
            </w:r>
          </w:p>
          <w:p w14:paraId="7035A3D3" w14:textId="77777777" w:rsidR="00CC4783" w:rsidRDefault="00CC4783" w:rsidP="00CF299A">
            <w:pPr>
              <w:spacing w:before="0" w:after="0" w:line="240" w:lineRule="exact"/>
            </w:pPr>
            <w:r>
              <w:t>24 juin 2022</w:t>
            </w:r>
          </w:p>
          <w:p w14:paraId="74C57F5B" w14:textId="77777777" w:rsidR="00CC4783" w:rsidRDefault="00CC4783" w:rsidP="00CF299A">
            <w:pPr>
              <w:spacing w:before="0" w:after="0" w:line="240" w:lineRule="exact"/>
            </w:pPr>
            <w:r>
              <w:t>Français</w:t>
            </w:r>
          </w:p>
          <w:p w14:paraId="4DC77B8F" w14:textId="22FE35CD" w:rsidR="00CC4783" w:rsidRPr="00DB58B5" w:rsidRDefault="00CC4783" w:rsidP="00CF299A">
            <w:pPr>
              <w:spacing w:before="0" w:after="0" w:line="240" w:lineRule="exact"/>
            </w:pPr>
            <w:r>
              <w:t>Original : anglais</w:t>
            </w:r>
          </w:p>
        </w:tc>
      </w:tr>
    </w:tbl>
    <w:p w14:paraId="2C12B87A" w14:textId="77777777" w:rsidR="007F20FA" w:rsidRPr="000312C0" w:rsidRDefault="007F20FA" w:rsidP="007F20FA">
      <w:pPr>
        <w:spacing w:before="120"/>
        <w:rPr>
          <w:b/>
          <w:sz w:val="28"/>
          <w:szCs w:val="28"/>
        </w:rPr>
      </w:pPr>
      <w:r w:rsidRPr="000312C0">
        <w:rPr>
          <w:b/>
          <w:sz w:val="28"/>
          <w:szCs w:val="28"/>
        </w:rPr>
        <w:t>Commission économique pour l’Europe</w:t>
      </w:r>
    </w:p>
    <w:p w14:paraId="1C3321B8" w14:textId="77777777" w:rsidR="00133378" w:rsidRDefault="00133378" w:rsidP="00133378">
      <w:pPr>
        <w:spacing w:before="120"/>
        <w:rPr>
          <w:sz w:val="28"/>
          <w:szCs w:val="28"/>
        </w:rPr>
      </w:pPr>
      <w:r w:rsidRPr="00685843">
        <w:rPr>
          <w:sz w:val="28"/>
          <w:szCs w:val="28"/>
        </w:rPr>
        <w:t>Comité des transports intérieurs</w:t>
      </w:r>
    </w:p>
    <w:p w14:paraId="70A146D7" w14:textId="77777777" w:rsidR="00133378" w:rsidRDefault="00133378" w:rsidP="00133378">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6278C61" w14:textId="77777777" w:rsidR="00133378" w:rsidRPr="00DC3460" w:rsidRDefault="00133378" w:rsidP="00133378">
      <w:pPr>
        <w:spacing w:before="120" w:after="120"/>
        <w:rPr>
          <w:b/>
          <w:bCs/>
        </w:rPr>
      </w:pPr>
      <w:r>
        <w:rPr>
          <w:b/>
          <w:bCs/>
          <w:lang w:val="fr-FR"/>
        </w:rPr>
        <w:t>Groupe de travail du bruit et des pneumatiques</w:t>
      </w:r>
    </w:p>
    <w:p w14:paraId="66416331" w14:textId="77777777" w:rsidR="00133378" w:rsidRPr="00DC3460" w:rsidRDefault="00133378" w:rsidP="00CF299A">
      <w:pPr>
        <w:spacing w:before="0" w:after="0"/>
        <w:rPr>
          <w:b/>
        </w:rPr>
      </w:pPr>
      <w:r>
        <w:rPr>
          <w:b/>
          <w:bCs/>
          <w:lang w:val="fr-FR"/>
        </w:rPr>
        <w:t>Soixante-seizième session</w:t>
      </w:r>
      <w:r>
        <w:rPr>
          <w:lang w:val="fr-FR"/>
        </w:rPr>
        <w:t xml:space="preserve"> </w:t>
      </w:r>
    </w:p>
    <w:p w14:paraId="758735AD" w14:textId="77777777" w:rsidR="00133378" w:rsidRPr="0088106D" w:rsidRDefault="00133378" w:rsidP="00CF299A">
      <w:pPr>
        <w:spacing w:before="0" w:after="0"/>
        <w:rPr>
          <w:bCs/>
        </w:rPr>
      </w:pPr>
      <w:r>
        <w:rPr>
          <w:lang w:val="fr-FR"/>
        </w:rPr>
        <w:t>Genève, 5-7 septembre 2022</w:t>
      </w:r>
    </w:p>
    <w:p w14:paraId="5F2316BF" w14:textId="77777777" w:rsidR="00133378" w:rsidRPr="00DC3460" w:rsidRDefault="00133378" w:rsidP="00CF299A">
      <w:pPr>
        <w:spacing w:before="0" w:after="0"/>
        <w:rPr>
          <w:bCs/>
        </w:rPr>
      </w:pPr>
      <w:r>
        <w:rPr>
          <w:lang w:val="fr-FR"/>
        </w:rPr>
        <w:t>Point 2 de l’ordre du jour provisoire</w:t>
      </w:r>
    </w:p>
    <w:p w14:paraId="602C829D" w14:textId="77777777" w:rsidR="00133378" w:rsidRPr="0060035E" w:rsidRDefault="00133378" w:rsidP="00CF299A">
      <w:pPr>
        <w:spacing w:before="0" w:after="0"/>
        <w:rPr>
          <w:b/>
          <w:bCs/>
        </w:rPr>
      </w:pPr>
      <w:r w:rsidRPr="006A29D2">
        <w:rPr>
          <w:b/>
          <w:bCs/>
        </w:rPr>
        <w:t>Règlement ONU n</w:t>
      </w:r>
      <w:r w:rsidRPr="006A29D2">
        <w:rPr>
          <w:b/>
          <w:bCs/>
          <w:vertAlign w:val="superscript"/>
        </w:rPr>
        <w:t>o</w:t>
      </w:r>
      <w:r w:rsidRPr="006A29D2">
        <w:rPr>
          <w:b/>
          <w:bCs/>
        </w:rPr>
        <w:t> 51 (Bruit des véhicules des catégories M et N)</w:t>
      </w:r>
      <w:r w:rsidRPr="0060035E">
        <w:rPr>
          <w:b/>
          <w:bCs/>
          <w:lang w:val="fr-FR"/>
        </w:rPr>
        <w:t xml:space="preserve"> </w:t>
      </w:r>
    </w:p>
    <w:p w14:paraId="269BAA16" w14:textId="77777777" w:rsidR="00133378" w:rsidRPr="006F1D14" w:rsidRDefault="00133378" w:rsidP="00133378">
      <w:pPr>
        <w:pStyle w:val="HChG"/>
      </w:pPr>
      <w:r w:rsidRPr="006F1D14">
        <w:rPr>
          <w:lang w:val="fr-FR"/>
        </w:rPr>
        <w:tab/>
      </w:r>
      <w:r w:rsidRPr="006F1D14">
        <w:rPr>
          <w:lang w:val="fr-FR"/>
        </w:rPr>
        <w:tab/>
        <w:t xml:space="preserve">Projet de document </w:t>
      </w:r>
      <w:r>
        <w:rPr>
          <w:lang w:val="fr-FR"/>
        </w:rPr>
        <w:t>d’information </w:t>
      </w:r>
      <w:r w:rsidRPr="006F1D14">
        <w:rPr>
          <w:lang w:val="fr-FR"/>
        </w:rPr>
        <w:t xml:space="preserve">: approche générale </w:t>
      </w:r>
      <w:r>
        <w:rPr>
          <w:lang w:val="fr-FR"/>
        </w:rPr>
        <w:br/>
      </w:r>
      <w:r w:rsidRPr="006F1D14">
        <w:rPr>
          <w:lang w:val="fr-FR"/>
        </w:rPr>
        <w:t>de l</w:t>
      </w:r>
      <w:r>
        <w:rPr>
          <w:lang w:val="fr-FR"/>
        </w:rPr>
        <w:t>’</w:t>
      </w:r>
      <w:r w:rsidRPr="006F1D14">
        <w:rPr>
          <w:lang w:val="fr-FR"/>
        </w:rPr>
        <w:t>incertitude de mesure</w:t>
      </w:r>
      <w:bookmarkStart w:id="0" w:name="_Hlk87371461"/>
      <w:bookmarkEnd w:id="0"/>
    </w:p>
    <w:p w14:paraId="3CD8DACB" w14:textId="77777777" w:rsidR="00133378" w:rsidRPr="006F1D14" w:rsidRDefault="00133378" w:rsidP="00CF299A">
      <w:pPr>
        <w:pStyle w:val="H1G"/>
      </w:pPr>
      <w:r w:rsidRPr="006F1D14">
        <w:rPr>
          <w:lang w:val="fr-FR"/>
        </w:rPr>
        <w:tab/>
      </w:r>
      <w:r w:rsidRPr="006F1D14">
        <w:rPr>
          <w:lang w:val="fr-FR"/>
        </w:rPr>
        <w:tab/>
        <w:t>Communication du groupe de travail informel de l</w:t>
      </w:r>
      <w:r>
        <w:rPr>
          <w:lang w:val="fr-FR"/>
        </w:rPr>
        <w:t>’</w:t>
      </w:r>
      <w:r w:rsidRPr="006F1D14">
        <w:rPr>
          <w:lang w:val="fr-FR"/>
        </w:rPr>
        <w:t xml:space="preserve">incertitude </w:t>
      </w:r>
      <w:r>
        <w:rPr>
          <w:lang w:val="fr-FR"/>
        </w:rPr>
        <w:br/>
      </w:r>
      <w:r w:rsidRPr="006F1D14">
        <w:rPr>
          <w:lang w:val="fr-FR"/>
        </w:rPr>
        <w:t>de mesure</w:t>
      </w:r>
      <w:r w:rsidRPr="00CF299A">
        <w:rPr>
          <w:b w:val="0"/>
          <w:sz w:val="20"/>
          <w:lang w:val="fr-FR"/>
        </w:rPr>
        <w:footnoteReference w:customMarkFollows="1" w:id="2"/>
        <w:t>*</w:t>
      </w:r>
    </w:p>
    <w:p w14:paraId="664E7E8D" w14:textId="3240247E" w:rsidR="00133378" w:rsidRDefault="00133378" w:rsidP="008A78CB">
      <w:pPr>
        <w:pStyle w:val="SingleTxtG"/>
        <w:spacing w:before="0" w:line="240" w:lineRule="atLeast"/>
        <w:ind w:firstLine="567"/>
      </w:pPr>
      <w:r>
        <w:rPr>
          <w:lang w:val="fr-FR"/>
        </w:rPr>
        <w:tab/>
        <w:t>Le présent document d’information a été établi par le groupe de travail informel de l’incertitude de mesure. À sa soixante et onzième session (ECE/TRANS/WP.29/GRBP/69), le Groupe de travail du bruit et des pneumatiques, agissant conformément à son mandat, a confié au groupe de travail informel de l’incertitude de mesure la tâche de modifier les Règlements ONU n</w:t>
      </w:r>
      <w:r>
        <w:rPr>
          <w:vertAlign w:val="superscript"/>
          <w:lang w:val="fr-FR"/>
        </w:rPr>
        <w:t>os</w:t>
      </w:r>
      <w:r w:rsidR="00C97A7B">
        <w:rPr>
          <w:lang w:val="fr-FR"/>
        </w:rPr>
        <w:t> </w:t>
      </w:r>
      <w:r>
        <w:rPr>
          <w:lang w:val="fr-FR"/>
        </w:rPr>
        <w:t xml:space="preserve">51 et 117 pour réduire l’incertitude de mesure. Le mandat du groupe de travail informel prévoit aussi l’élaboration d’une approche générale de l’incertitude de mesure dans les Règlements ONU. </w:t>
      </w:r>
    </w:p>
    <w:p w14:paraId="6C59DB22" w14:textId="77777777" w:rsidR="00133378" w:rsidRDefault="00133378" w:rsidP="00133378">
      <w:pPr>
        <w:spacing w:after="200" w:line="276" w:lineRule="auto"/>
      </w:pPr>
      <w:r>
        <w:br w:type="page"/>
      </w:r>
    </w:p>
    <w:p w14:paraId="6E7DE489" w14:textId="75C4744B" w:rsidR="00133378" w:rsidRPr="007838D5" w:rsidRDefault="00133378" w:rsidP="00133378">
      <w:pPr>
        <w:pStyle w:val="HChG"/>
        <w:rPr>
          <w:szCs w:val="28"/>
        </w:rPr>
      </w:pPr>
      <w:r>
        <w:rPr>
          <w:lang w:val="fr-FR"/>
        </w:rPr>
        <w:lastRenderedPageBreak/>
        <w:tab/>
      </w:r>
      <w:r>
        <w:rPr>
          <w:lang w:val="fr-FR"/>
        </w:rPr>
        <w:tab/>
        <w:t>Document d’information</w:t>
      </w:r>
      <w:r w:rsidR="001E543D">
        <w:rPr>
          <w:lang w:val="fr-FR"/>
        </w:rPr>
        <w:t> :</w:t>
      </w:r>
      <w:r w:rsidR="001E543D">
        <w:rPr>
          <w:lang w:val="fr-FR"/>
        </w:rPr>
        <w:br/>
      </w:r>
      <w:r>
        <w:rPr>
          <w:lang w:val="fr-FR"/>
        </w:rPr>
        <w:tab/>
        <w:t>Approche générale de l’incertitude de mesure</w:t>
      </w:r>
    </w:p>
    <w:p w14:paraId="6EB54737" w14:textId="77777777" w:rsidR="00133378" w:rsidRPr="005F50BD" w:rsidRDefault="00133378" w:rsidP="00133378">
      <w:pPr>
        <w:spacing w:after="120"/>
        <w:rPr>
          <w:sz w:val="28"/>
        </w:rPr>
      </w:pPr>
      <w:r w:rsidRPr="005F50BD">
        <w:rPr>
          <w:sz w:val="28"/>
        </w:rPr>
        <w:t>Table des matières</w:t>
      </w:r>
    </w:p>
    <w:p w14:paraId="3B79F51A" w14:textId="77777777" w:rsidR="00133378" w:rsidRPr="005F50BD" w:rsidRDefault="00133378" w:rsidP="00133378">
      <w:pPr>
        <w:tabs>
          <w:tab w:val="right" w:pos="9638"/>
        </w:tabs>
        <w:spacing w:after="120"/>
        <w:ind w:left="283"/>
        <w:rPr>
          <w:i/>
          <w:sz w:val="18"/>
        </w:rPr>
      </w:pPr>
      <w:r w:rsidRPr="005F50BD">
        <w:rPr>
          <w:i/>
          <w:sz w:val="18"/>
        </w:rPr>
        <w:tab/>
        <w:t>Page</w:t>
      </w:r>
    </w:p>
    <w:p w14:paraId="50BCC47B" w14:textId="77777777" w:rsidR="00133378" w:rsidRDefault="00133378" w:rsidP="00133378">
      <w:pPr>
        <w:tabs>
          <w:tab w:val="right" w:pos="850"/>
          <w:tab w:val="right" w:leader="dot" w:pos="8787"/>
          <w:tab w:val="right" w:pos="9638"/>
        </w:tabs>
        <w:spacing w:after="120"/>
        <w:ind w:left="1134" w:hanging="1134"/>
      </w:pPr>
      <w:bookmarkStart w:id="1" w:name="_Toc87431059"/>
      <w:r>
        <w:tab/>
        <w:t>1.</w:t>
      </w:r>
      <w:r>
        <w:tab/>
      </w:r>
      <w:r>
        <w:rPr>
          <w:lang w:val="fr-FR"/>
        </w:rPr>
        <w:t>Contexte</w:t>
      </w:r>
      <w:r>
        <w:tab/>
      </w:r>
      <w:r>
        <w:tab/>
        <w:t>3</w:t>
      </w:r>
    </w:p>
    <w:p w14:paraId="74CA7AF2" w14:textId="77777777" w:rsidR="00133378" w:rsidRDefault="00133378" w:rsidP="00133378">
      <w:pPr>
        <w:tabs>
          <w:tab w:val="right" w:pos="850"/>
          <w:tab w:val="right" w:leader="dot" w:pos="8787"/>
          <w:tab w:val="right" w:pos="9638"/>
        </w:tabs>
        <w:spacing w:after="120"/>
        <w:ind w:left="1134" w:hanging="1134"/>
      </w:pPr>
      <w:r>
        <w:tab/>
        <w:t>2.</w:t>
      </w:r>
      <w:r>
        <w:tab/>
      </w:r>
      <w:r>
        <w:rPr>
          <w:lang w:val="fr-FR"/>
        </w:rPr>
        <w:t>Considérations générales</w:t>
      </w:r>
      <w:r>
        <w:tab/>
      </w:r>
      <w:r>
        <w:tab/>
        <w:t>3</w:t>
      </w:r>
    </w:p>
    <w:p w14:paraId="16DB9512" w14:textId="77777777" w:rsidR="00133378" w:rsidRDefault="00133378" w:rsidP="00133378">
      <w:pPr>
        <w:tabs>
          <w:tab w:val="right" w:pos="850"/>
          <w:tab w:val="right" w:leader="dot" w:pos="8787"/>
          <w:tab w:val="right" w:pos="9638"/>
        </w:tabs>
        <w:spacing w:after="120"/>
        <w:ind w:left="1134" w:hanging="1134"/>
      </w:pPr>
      <w:r>
        <w:tab/>
        <w:t>3.</w:t>
      </w:r>
      <w:r>
        <w:tab/>
      </w:r>
      <w:r>
        <w:rPr>
          <w:lang w:val="fr-FR"/>
        </w:rPr>
        <w:t>Approche de l’incertitude de mesure</w:t>
      </w:r>
      <w:r>
        <w:tab/>
      </w:r>
      <w:r>
        <w:tab/>
        <w:t>5</w:t>
      </w:r>
    </w:p>
    <w:p w14:paraId="00F29076" w14:textId="77777777" w:rsidR="00133378" w:rsidRDefault="00133378" w:rsidP="00133378">
      <w:pPr>
        <w:tabs>
          <w:tab w:val="right" w:pos="850"/>
          <w:tab w:val="right" w:leader="dot" w:pos="8787"/>
          <w:tab w:val="right" w:pos="9638"/>
        </w:tabs>
        <w:spacing w:after="120"/>
        <w:ind w:left="1134" w:hanging="1134"/>
      </w:pPr>
      <w:r>
        <w:tab/>
        <w:t>4.</w:t>
      </w:r>
      <w:r>
        <w:tab/>
      </w:r>
      <w:r>
        <w:rPr>
          <w:lang w:val="fr-FR"/>
        </w:rPr>
        <w:t>Étapes de l’évaluation de l’incertitude</w:t>
      </w:r>
      <w:r>
        <w:tab/>
      </w:r>
      <w:r>
        <w:tab/>
        <w:t>6</w:t>
      </w:r>
    </w:p>
    <w:p w14:paraId="749CA5D4" w14:textId="77777777" w:rsidR="00133378" w:rsidRDefault="00133378" w:rsidP="00133378">
      <w:pPr>
        <w:tabs>
          <w:tab w:val="right" w:pos="850"/>
          <w:tab w:val="right" w:leader="dot" w:pos="8787"/>
          <w:tab w:val="right" w:pos="9638"/>
        </w:tabs>
        <w:spacing w:after="120"/>
        <w:ind w:left="1134" w:hanging="1134"/>
      </w:pPr>
      <w:r>
        <w:tab/>
        <w:t>5.</w:t>
      </w:r>
      <w:r>
        <w:tab/>
      </w:r>
      <w:r>
        <w:rPr>
          <w:lang w:val="fr-FR"/>
        </w:rPr>
        <w:t>Approche du Guide 98-3</w:t>
      </w:r>
      <w:r>
        <w:tab/>
      </w:r>
      <w:r>
        <w:tab/>
        <w:t>7</w:t>
      </w:r>
    </w:p>
    <w:p w14:paraId="3892A13D" w14:textId="77777777" w:rsidR="00133378" w:rsidRDefault="00133378" w:rsidP="00133378">
      <w:pPr>
        <w:tabs>
          <w:tab w:val="right" w:pos="850"/>
          <w:tab w:val="right" w:leader="dot" w:pos="8787"/>
          <w:tab w:val="right" w:pos="9638"/>
        </w:tabs>
        <w:spacing w:after="120"/>
        <w:ind w:left="1134" w:hanging="1134"/>
      </w:pPr>
      <w:r>
        <w:tab/>
        <w:t>6.</w:t>
      </w:r>
      <w:r>
        <w:tab/>
      </w:r>
      <w:r>
        <w:rPr>
          <w:lang w:val="fr-FR"/>
        </w:rPr>
        <w:t>Approche de la norme ISO 5725</w:t>
      </w:r>
      <w:r>
        <w:tab/>
      </w:r>
      <w:r>
        <w:tab/>
        <w:t>10</w:t>
      </w:r>
    </w:p>
    <w:p w14:paraId="6C4083D7" w14:textId="77777777" w:rsidR="00133378" w:rsidRDefault="00133378" w:rsidP="00133378">
      <w:pPr>
        <w:tabs>
          <w:tab w:val="right" w:pos="850"/>
          <w:tab w:val="right" w:leader="dot" w:pos="8787"/>
          <w:tab w:val="right" w:pos="9638"/>
        </w:tabs>
        <w:spacing w:after="120"/>
        <w:ind w:left="1134" w:hanging="1134"/>
      </w:pPr>
      <w:r>
        <w:tab/>
        <w:t>7.</w:t>
      </w:r>
      <w:r>
        <w:tab/>
      </w:r>
      <w:r>
        <w:rPr>
          <w:lang w:val="fr-FR"/>
        </w:rPr>
        <w:t>Exemple d’estimation de l’incertitude élargie : Règlement ONU n</w:t>
      </w:r>
      <w:r>
        <w:rPr>
          <w:vertAlign w:val="superscript"/>
          <w:lang w:val="fr-FR"/>
        </w:rPr>
        <w:t>o</w:t>
      </w:r>
      <w:r>
        <w:rPr>
          <w:lang w:val="fr-FR"/>
        </w:rPr>
        <w:t xml:space="preserve"> 51 et norme ISO 362-1</w:t>
      </w:r>
      <w:r>
        <w:tab/>
      </w:r>
      <w:r>
        <w:tab/>
        <w:t>11</w:t>
      </w:r>
    </w:p>
    <w:p w14:paraId="020EB16A" w14:textId="77777777" w:rsidR="00133378" w:rsidRDefault="00133378" w:rsidP="00133378">
      <w:pPr>
        <w:tabs>
          <w:tab w:val="right" w:pos="850"/>
          <w:tab w:val="right" w:leader="dot" w:pos="8787"/>
          <w:tab w:val="right" w:pos="9638"/>
        </w:tabs>
        <w:spacing w:after="120"/>
        <w:ind w:left="1134" w:hanging="1134"/>
      </w:pPr>
      <w:r>
        <w:tab/>
        <w:t>8.</w:t>
      </w:r>
      <w:r>
        <w:tab/>
      </w:r>
      <w:r>
        <w:rPr>
          <w:lang w:val="fr-FR"/>
        </w:rPr>
        <w:t>Références</w:t>
      </w:r>
      <w:r>
        <w:tab/>
      </w:r>
      <w:r>
        <w:tab/>
        <w:t>15</w:t>
      </w:r>
    </w:p>
    <w:p w14:paraId="08B8EEFA" w14:textId="77777777" w:rsidR="00133378" w:rsidRPr="00E259B8" w:rsidRDefault="00133378" w:rsidP="00133378">
      <w:pPr>
        <w:rPr>
          <w:b/>
          <w:sz w:val="28"/>
          <w:lang w:val="fr-FR"/>
        </w:rPr>
      </w:pPr>
      <w:r w:rsidRPr="00E259B8">
        <w:rPr>
          <w:lang w:val="fr-FR"/>
        </w:rPr>
        <w:br w:type="page"/>
      </w:r>
    </w:p>
    <w:p w14:paraId="39B49A88" w14:textId="77777777" w:rsidR="00133378" w:rsidRPr="00A56AF4" w:rsidRDefault="00133378" w:rsidP="006E6AAA">
      <w:pPr>
        <w:pStyle w:val="HChG"/>
      </w:pPr>
      <w:r>
        <w:lastRenderedPageBreak/>
        <w:tab/>
      </w:r>
      <w:r w:rsidRPr="00A56AF4">
        <w:t>1.</w:t>
      </w:r>
      <w:r w:rsidRPr="00A56AF4">
        <w:tab/>
      </w:r>
      <w:bookmarkStart w:id="2" w:name="_Hlk90452521"/>
      <w:r>
        <w:rPr>
          <w:lang w:val="fr-FR"/>
        </w:rPr>
        <w:t>Contexte</w:t>
      </w:r>
      <w:bookmarkEnd w:id="1"/>
      <w:bookmarkEnd w:id="2"/>
    </w:p>
    <w:p w14:paraId="6099163B" w14:textId="2CEFFA7B" w:rsidR="00133378" w:rsidRPr="008208C4" w:rsidRDefault="00133378" w:rsidP="008A78CB">
      <w:pPr>
        <w:pStyle w:val="SingleTxtG"/>
        <w:spacing w:before="0" w:line="240" w:lineRule="atLeast"/>
        <w:ind w:firstLine="567"/>
        <w:rPr>
          <w:bCs/>
        </w:rPr>
      </w:pPr>
      <w:r>
        <w:rPr>
          <w:lang w:val="fr-FR"/>
        </w:rPr>
        <w:tab/>
        <w:t>Lorsque des objets sont mis à l’essai selon des normes, il y a toujours une certaine incertitude de mesure. C’est notamment le cas si l’on mesure le bruit émis par des véhicules ou des pneumatiques, par exemple au stade de leur homologation de type. Dans les normes utilisées pour les essais (ISO, ANSI, CEN, etc.), un chapitre est obligatoirement consacré à l’incertitude de mesure. Ce n’est toutefois pas le cas dans les Règlements ONU.</w:t>
      </w:r>
    </w:p>
    <w:p w14:paraId="6BF6C73F" w14:textId="0D691DD3" w:rsidR="00133378" w:rsidRPr="008208C4" w:rsidRDefault="00133378" w:rsidP="008A78CB">
      <w:pPr>
        <w:pStyle w:val="SingleTxtG"/>
        <w:spacing w:before="0" w:line="240" w:lineRule="atLeast"/>
        <w:ind w:firstLine="567"/>
        <w:rPr>
          <w:bCs/>
        </w:rPr>
      </w:pPr>
      <w:r>
        <w:rPr>
          <w:lang w:val="fr-FR"/>
        </w:rPr>
        <w:tab/>
        <w:t xml:space="preserve">L’accent est de plus en plus mis sur la vérification de la conformité des véhicules en circulation, comme en témoigne l’adoption du Règlement (UE) 2018/8581 de l’Union européenne sur la surveillance du marché. Aux États-Unis d’Amérique, les autorités procèdent depuis plusieurs dizaines d’années déjà à des essais de conformité des véhicules en circulation aux normes d’émission et de sécurité (pas aux normes sonores). </w:t>
      </w:r>
    </w:p>
    <w:p w14:paraId="7546B8B7" w14:textId="14A9D2AA" w:rsidR="00133378" w:rsidRPr="008208C4" w:rsidRDefault="00133378" w:rsidP="008A78CB">
      <w:pPr>
        <w:pStyle w:val="SingleTxtG"/>
        <w:spacing w:before="0" w:line="240" w:lineRule="atLeast"/>
        <w:ind w:firstLine="567"/>
        <w:rPr>
          <w:bCs/>
        </w:rPr>
      </w:pPr>
      <w:r>
        <w:rPr>
          <w:lang w:val="fr-FR"/>
        </w:rPr>
        <w:tab/>
        <w:t xml:space="preserve">Ces essais sont conduits par des institutions tierces, qui n’ont pas participé aux essais effectués au stade de l’homologation de type. L’incertitude de mesure dans le cadre des essais liés à la surveillance du marché est donc une question primordiale, puisqu’en cas d’erreur, l’homologation de type du véhicule ou autre objet concerné pourrait être retirée. </w:t>
      </w:r>
    </w:p>
    <w:p w14:paraId="352935FF" w14:textId="52038146" w:rsidR="00133378" w:rsidRPr="008208C4" w:rsidRDefault="00133378" w:rsidP="008A78CB">
      <w:pPr>
        <w:pStyle w:val="SingleTxtG"/>
        <w:spacing w:before="0" w:line="240" w:lineRule="atLeast"/>
        <w:ind w:firstLine="567"/>
        <w:rPr>
          <w:bCs/>
        </w:rPr>
      </w:pPr>
      <w:r>
        <w:rPr>
          <w:lang w:val="fr-FR"/>
        </w:rPr>
        <w:tab/>
        <w:t>Certes, les essais conduits par des tierces parties ne relèvent pas de la compétence de l’ONU, mais de manière générale, la prise en compte de l’incertitude de mesure est également importante aux fins de la conformité de la production, que les Règlements ONU relatifs aux véhicules et aux pneumatiques doivent garantir.</w:t>
      </w:r>
    </w:p>
    <w:p w14:paraId="090958AC" w14:textId="6B833923" w:rsidR="00133378" w:rsidRPr="008208C4" w:rsidRDefault="00133378" w:rsidP="008A78CB">
      <w:pPr>
        <w:pStyle w:val="SingleTxtG"/>
        <w:keepNext/>
        <w:spacing w:before="0" w:line="240" w:lineRule="atLeast"/>
        <w:ind w:firstLine="567"/>
        <w:rPr>
          <w:bCs/>
        </w:rPr>
      </w:pPr>
      <w:r>
        <w:rPr>
          <w:lang w:val="fr-FR"/>
        </w:rPr>
        <w:tab/>
        <w:t>Le Groupe de travail du bruit et des pneumatiques a donc été prié de créer un groupe de travail informel de l’incertitude de mesure, qu’il a chargé de réfléchir aux questions suivantes :</w:t>
      </w:r>
    </w:p>
    <w:p w14:paraId="469B7A94" w14:textId="2433E456" w:rsidR="00133378" w:rsidRPr="008208C4" w:rsidRDefault="00133378" w:rsidP="008A78CB">
      <w:pPr>
        <w:pStyle w:val="SingleTxtG"/>
        <w:spacing w:before="0" w:line="240" w:lineRule="atLeast"/>
        <w:ind w:firstLine="567"/>
        <w:rPr>
          <w:bCs/>
        </w:rPr>
      </w:pPr>
      <w:r>
        <w:rPr>
          <w:bCs/>
        </w:rPr>
        <w:tab/>
      </w:r>
      <w:r w:rsidRPr="008208C4">
        <w:rPr>
          <w:bCs/>
        </w:rPr>
        <w:t>a)</w:t>
      </w:r>
      <w:r w:rsidRPr="008208C4">
        <w:rPr>
          <w:bCs/>
        </w:rPr>
        <w:tab/>
      </w:r>
      <w:r>
        <w:rPr>
          <w:lang w:val="fr-FR"/>
        </w:rPr>
        <w:t>Amélioration des méthodes d’essai ;</w:t>
      </w:r>
    </w:p>
    <w:p w14:paraId="55BA4D2A" w14:textId="75CB6B04" w:rsidR="00133378" w:rsidRPr="008208C4" w:rsidRDefault="00133378" w:rsidP="008A78CB">
      <w:pPr>
        <w:pStyle w:val="SingleTxtG"/>
        <w:spacing w:before="0" w:line="240" w:lineRule="atLeast"/>
        <w:ind w:firstLine="567"/>
        <w:rPr>
          <w:bCs/>
        </w:rPr>
      </w:pPr>
      <w:r>
        <w:rPr>
          <w:bCs/>
        </w:rPr>
        <w:tab/>
      </w:r>
      <w:r w:rsidRPr="008208C4">
        <w:rPr>
          <w:bCs/>
        </w:rPr>
        <w:t>b)</w:t>
      </w:r>
      <w:r w:rsidRPr="008208C4">
        <w:rPr>
          <w:bCs/>
        </w:rPr>
        <w:tab/>
      </w:r>
      <w:r>
        <w:rPr>
          <w:lang w:val="fr-FR"/>
        </w:rPr>
        <w:t>Compensation dans les cas où c’est possible (erreurs systématiques) ;</w:t>
      </w:r>
    </w:p>
    <w:p w14:paraId="672F3672" w14:textId="17D56600" w:rsidR="00133378" w:rsidRPr="008208C4" w:rsidRDefault="00133378" w:rsidP="008A78CB">
      <w:pPr>
        <w:pStyle w:val="SingleTxtG"/>
        <w:spacing w:before="0" w:line="240" w:lineRule="atLeast"/>
        <w:ind w:firstLine="567"/>
        <w:rPr>
          <w:bCs/>
        </w:rPr>
      </w:pPr>
      <w:r>
        <w:rPr>
          <w:bCs/>
        </w:rPr>
        <w:tab/>
      </w:r>
      <w:r w:rsidRPr="008208C4">
        <w:rPr>
          <w:bCs/>
        </w:rPr>
        <w:t>c)</w:t>
      </w:r>
      <w:r w:rsidRPr="008208C4">
        <w:rPr>
          <w:bCs/>
        </w:rPr>
        <w:tab/>
      </w:r>
      <w:r>
        <w:rPr>
          <w:lang w:val="fr-FR"/>
        </w:rPr>
        <w:t>Incertitude résiduelle (erreurs aléatoires).</w:t>
      </w:r>
    </w:p>
    <w:p w14:paraId="1948ACBA" w14:textId="70B6D70D" w:rsidR="00133378" w:rsidRPr="008208C4" w:rsidRDefault="00133378" w:rsidP="008A78CB">
      <w:pPr>
        <w:pStyle w:val="SingleTxtG"/>
        <w:spacing w:before="0" w:line="240" w:lineRule="atLeast"/>
        <w:ind w:firstLine="567"/>
        <w:rPr>
          <w:bCs/>
        </w:rPr>
      </w:pPr>
      <w:r>
        <w:rPr>
          <w:lang w:val="fr-FR"/>
        </w:rPr>
        <w:tab/>
        <w:t>Dans le présent document, le groupe de travail informel définit une approche générale de l’incertitude de mesure en s’appuyant sur la norme ISO 5725 et sur le Guide 98-3 relatif à l’expression de l’incertitude de mesure, qui a été établi par l’Organisation internationale de normalisation (ISO) et la Commission électrotechnique internationale (CEI). Les étapes de la définition de l’incertitude de mesure selon la norme ISO 5725 et selon le Guide 98-3 étant analogues, la méthode statistique que le groupe de travail informel décrit ici est essentiellement fondée sur le Guide 98-3.</w:t>
      </w:r>
      <w:bookmarkStart w:id="3" w:name="_Toc83987015"/>
    </w:p>
    <w:p w14:paraId="141711F9" w14:textId="77777777" w:rsidR="00133378" w:rsidRPr="00A56AF4" w:rsidRDefault="00133378" w:rsidP="006E6AAA">
      <w:pPr>
        <w:pStyle w:val="HChG"/>
      </w:pPr>
      <w:bookmarkStart w:id="4" w:name="_Toc87431060"/>
      <w:r>
        <w:tab/>
      </w:r>
      <w:r w:rsidRPr="00A56AF4">
        <w:t>2.</w:t>
      </w:r>
      <w:r w:rsidRPr="00A56AF4">
        <w:tab/>
      </w:r>
      <w:bookmarkStart w:id="5" w:name="_Hlk90452547"/>
      <w:r>
        <w:rPr>
          <w:lang w:val="fr-FR"/>
        </w:rPr>
        <w:t>Considérations générales</w:t>
      </w:r>
      <w:bookmarkEnd w:id="3"/>
      <w:bookmarkEnd w:id="4"/>
      <w:bookmarkEnd w:id="5"/>
    </w:p>
    <w:p w14:paraId="54192BFD" w14:textId="3658F426" w:rsidR="00133378" w:rsidRPr="008208C4" w:rsidRDefault="00133378" w:rsidP="008A78CB">
      <w:pPr>
        <w:pStyle w:val="SingleTxtG"/>
        <w:spacing w:before="0" w:line="240" w:lineRule="atLeast"/>
        <w:ind w:firstLine="567"/>
        <w:rPr>
          <w:bCs/>
        </w:rPr>
      </w:pPr>
      <w:r>
        <w:rPr>
          <w:lang w:val="fr-FR"/>
        </w:rPr>
        <w:tab/>
        <w:t>Les procédures de mesure sont toujours influencées par divers facteurs, qui provoquent des perturbations et entraînent d’une mesure à l’autre une variation des résultats observés par un même sujet. La source et la nature de ces perturbations ne sont pas entièrement connues, et le résultat final peut parfois être biaisé de manière imprévisible.</w:t>
      </w:r>
    </w:p>
    <w:p w14:paraId="64B95B08" w14:textId="0D9B3425" w:rsidR="00133378" w:rsidRPr="008208C4" w:rsidRDefault="00133378" w:rsidP="008A78CB">
      <w:pPr>
        <w:pStyle w:val="SingleTxtG"/>
        <w:spacing w:before="0" w:line="240" w:lineRule="atLeast"/>
        <w:ind w:firstLine="567"/>
        <w:rPr>
          <w:bCs/>
        </w:rPr>
      </w:pPr>
      <w:r>
        <w:rPr>
          <w:lang w:val="fr-FR"/>
        </w:rPr>
        <w:tab/>
        <w:t>Le résultat mesuré doit être vu comme une approximation de la valeur vraie, qui, isolément, est impossible à connaître.</w:t>
      </w:r>
    </w:p>
    <w:p w14:paraId="35E61EBE" w14:textId="162C16DB" w:rsidR="00133378" w:rsidRPr="008208C4" w:rsidRDefault="00133378" w:rsidP="008A78CB">
      <w:pPr>
        <w:pStyle w:val="SingleTxtG"/>
        <w:spacing w:before="0" w:line="240" w:lineRule="atLeast"/>
        <w:ind w:firstLine="567"/>
        <w:rPr>
          <w:bCs/>
        </w:rPr>
      </w:pPr>
      <w:r>
        <w:rPr>
          <w:lang w:val="fr-FR"/>
        </w:rPr>
        <w:tab/>
        <w:t>Deux mesures sont considérées comme donnant le même résultat si les résultats des essais se situent dans les limites d’une marge d’incertitude donnée.</w:t>
      </w:r>
    </w:p>
    <w:p w14:paraId="58363AE2" w14:textId="347597DE" w:rsidR="00133378" w:rsidRPr="008208C4" w:rsidRDefault="00133378" w:rsidP="008A78CB">
      <w:pPr>
        <w:pStyle w:val="SingleTxtG"/>
        <w:spacing w:before="0" w:line="240" w:lineRule="atLeast"/>
        <w:ind w:firstLine="567"/>
        <w:rPr>
          <w:bCs/>
        </w:rPr>
      </w:pPr>
      <w:r>
        <w:rPr>
          <w:lang w:val="fr-FR"/>
        </w:rPr>
        <w:tab/>
        <w:t>La connaissance de cette marge d’incertitude est donc importante, car elle donne des informations sur la précision et la répétabilité des mesures.</w:t>
      </w:r>
    </w:p>
    <w:p w14:paraId="337DE477" w14:textId="1E4FDDFE" w:rsidR="00133378" w:rsidRPr="008208C4" w:rsidRDefault="00133378" w:rsidP="008A78CB">
      <w:pPr>
        <w:pStyle w:val="SingleTxtG"/>
        <w:spacing w:before="0" w:line="240" w:lineRule="atLeast"/>
        <w:ind w:firstLine="567"/>
        <w:rPr>
          <w:bCs/>
        </w:rPr>
      </w:pPr>
      <w:r>
        <w:rPr>
          <w:lang w:val="fr-FR"/>
        </w:rPr>
        <w:tab/>
        <w:t>Il convient de réduire autant que possible l’incertitude, par exemple en limitant la variation des conditions ambiantes et des conditions d’essai ou en appliquant des corrections. Une marge de tolérance doit être définie pour couvrir l’incertitude résiduelle.</w:t>
      </w:r>
    </w:p>
    <w:p w14:paraId="7FB28670" w14:textId="7904118B" w:rsidR="00133378" w:rsidRPr="008208C4" w:rsidRDefault="00133378" w:rsidP="008A78CB">
      <w:pPr>
        <w:pStyle w:val="SingleTxtG"/>
        <w:spacing w:before="0" w:line="240" w:lineRule="atLeast"/>
        <w:ind w:firstLine="567"/>
        <w:rPr>
          <w:bCs/>
        </w:rPr>
      </w:pPr>
      <w:r>
        <w:rPr>
          <w:lang w:val="fr-FR"/>
        </w:rPr>
        <w:tab/>
        <w:t>Les erreurs de mesure sont dues aux limitations de la sensibilité des instruments ou à l’imperfection des plans expérimentaux ou des techniques de mesure. Elles sont soit aléatoires soit systématiques.</w:t>
      </w:r>
    </w:p>
    <w:p w14:paraId="7EDC7563" w14:textId="77777777" w:rsidR="00133378" w:rsidRPr="00B15353" w:rsidRDefault="00133378" w:rsidP="00133378">
      <w:pPr>
        <w:pStyle w:val="H23G"/>
        <w:rPr>
          <w:b w:val="0"/>
        </w:rPr>
      </w:pPr>
      <w:r>
        <w:rPr>
          <w:bCs/>
        </w:rPr>
        <w:lastRenderedPageBreak/>
        <w:tab/>
      </w:r>
      <w:r w:rsidRPr="00B15353">
        <w:rPr>
          <w:b w:val="0"/>
        </w:rPr>
        <w:t>2.1</w:t>
      </w:r>
      <w:r w:rsidRPr="00B15353">
        <w:rPr>
          <w:b w:val="0"/>
        </w:rPr>
        <w:tab/>
      </w:r>
      <w:r w:rsidRPr="00B15353">
        <w:rPr>
          <w:b w:val="0"/>
          <w:lang w:val="fr-FR"/>
        </w:rPr>
        <w:t>Les erreurs aléatoires (ne peuvent être compensées)</w:t>
      </w:r>
    </w:p>
    <w:p w14:paraId="6A905D29" w14:textId="3FFFD245" w:rsidR="00133378" w:rsidRPr="008208C4" w:rsidRDefault="00133378" w:rsidP="008A78CB">
      <w:pPr>
        <w:pStyle w:val="SingleTxtG"/>
        <w:spacing w:before="0" w:line="240" w:lineRule="atLeast"/>
        <w:ind w:firstLine="567"/>
        <w:rPr>
          <w:bCs/>
        </w:rPr>
      </w:pPr>
      <w:r>
        <w:rPr>
          <w:lang w:val="fr-FR"/>
        </w:rPr>
        <w:tab/>
        <w:t>Les erreurs aléatoires sont inévitables. Elles sont dues à l’approximation des résultats par l’opérateur et à la modification des conditions d’essai. La probabilité que le résultat soit inférieur à la valeur réelle est égale à la probabilité qu’il soit supérieur à cette valeur. Pour réduire autant que possible le risque d’erreurs aléatoires, l’opérateur procède à de multiples mesures, puis calcule la moyenne. Si un même opérateur obtient les mêmes résultats d’une mesure à l’autre, ces résultats sont dits « reproductibles » (voir la figure 2.1). L’une des solutions pour représenter les erreurs aléatoires consiste à rendre compte de la précision des résultats ou de la marge d’incertitude :</w:t>
      </w:r>
    </w:p>
    <w:p w14:paraId="3F52D406" w14:textId="77777777" w:rsidR="00133378" w:rsidRPr="008208C4" w:rsidRDefault="00133378" w:rsidP="00C3706A">
      <w:pPr>
        <w:keepLines/>
        <w:spacing w:after="120"/>
        <w:ind w:left="1134" w:right="1134"/>
        <w:jc w:val="center"/>
        <w:rPr>
          <w:bCs/>
          <w:i/>
          <w:iCs/>
        </w:rPr>
      </w:pPr>
      <w:r>
        <w:rPr>
          <w:i/>
          <w:iCs/>
          <w:lang w:val="fr-FR"/>
        </w:rPr>
        <w:t xml:space="preserve">Mesure </w:t>
      </w:r>
      <w:r w:rsidRPr="00C3706A">
        <w:rPr>
          <w:lang w:val="fr-FR"/>
        </w:rPr>
        <w:sym w:font="Symbol" w:char="F0B1"/>
      </w:r>
      <w:r>
        <w:rPr>
          <w:i/>
          <w:iCs/>
          <w:lang w:val="fr-FR"/>
        </w:rPr>
        <w:t xml:space="preserve"> erreur aléatoire</w:t>
      </w:r>
    </w:p>
    <w:p w14:paraId="679CB3C2" w14:textId="77777777" w:rsidR="00133378" w:rsidRPr="00B15353" w:rsidRDefault="00133378" w:rsidP="00133378">
      <w:pPr>
        <w:pStyle w:val="H23G"/>
        <w:rPr>
          <w:b w:val="0"/>
        </w:rPr>
      </w:pPr>
      <w:r>
        <w:rPr>
          <w:bCs/>
        </w:rPr>
        <w:tab/>
      </w:r>
      <w:r w:rsidRPr="00B15353">
        <w:rPr>
          <w:b w:val="0"/>
        </w:rPr>
        <w:t>2.2</w:t>
      </w:r>
      <w:r w:rsidRPr="00B15353">
        <w:rPr>
          <w:b w:val="0"/>
        </w:rPr>
        <w:tab/>
      </w:r>
      <w:r w:rsidRPr="00B15353">
        <w:rPr>
          <w:b w:val="0"/>
          <w:lang w:val="fr-FR"/>
        </w:rPr>
        <w:t>Les erreurs systématiques (peuvent être compensées)</w:t>
      </w:r>
    </w:p>
    <w:p w14:paraId="01A9018E" w14:textId="4B1000E9" w:rsidR="00133378" w:rsidRDefault="00133378" w:rsidP="008A78CB">
      <w:pPr>
        <w:pStyle w:val="SingleTxtG"/>
        <w:spacing w:before="0" w:line="240" w:lineRule="atLeast"/>
        <w:ind w:firstLine="567"/>
        <w:rPr>
          <w:lang w:val="fr-FR"/>
        </w:rPr>
      </w:pPr>
      <w:r>
        <w:rPr>
          <w:lang w:val="fr-FR"/>
        </w:rPr>
        <w:tab/>
        <w:t>Les erreurs systématiques sont courantes. Elles sont dues à l’imperfection des instruments et des technologies, ainsi qu’à l’éventuelle insuffisance des compétences de l’opérateur. Pour les réduire autant que possible, l’opérateur peut procéder à un étalonnage minutieux des instruments et utiliser les meilleures techniques disponibles. Les erreurs systématiques biaisent les résultats en éloignant les mesures de la valeur vraie dans une direction ou dans l’autre (voir la figure 2.1). Le biais peut être représenté comme suit :</w:t>
      </w:r>
    </w:p>
    <w:p w14:paraId="4BAD6386" w14:textId="0EEE4EBC" w:rsidR="00133378" w:rsidRDefault="00133378" w:rsidP="00C3706A">
      <w:pPr>
        <w:keepLines/>
        <w:spacing w:after="120"/>
        <w:ind w:left="1134" w:right="1134"/>
        <w:jc w:val="center"/>
        <w:rPr>
          <w:i/>
          <w:iCs/>
          <w:lang w:val="fr-FR"/>
        </w:rPr>
      </w:pPr>
      <w:r>
        <w:rPr>
          <w:i/>
          <w:iCs/>
          <w:lang w:val="fr-FR"/>
        </w:rPr>
        <w:t>Mesure + erreur systématique  ou  Mesure − erreur systématique</w:t>
      </w:r>
    </w:p>
    <w:p w14:paraId="55CFFBB3" w14:textId="6B965220" w:rsidR="00133378" w:rsidRPr="009030B3" w:rsidRDefault="009030B3" w:rsidP="007735D8">
      <w:pPr>
        <w:keepLines/>
        <w:spacing w:after="120"/>
        <w:ind w:left="1134"/>
        <w:rPr>
          <w:bCs/>
          <w:i/>
          <w:iCs/>
          <w:lang w:val="fr-FR"/>
        </w:rPr>
      </w:pPr>
      <w:r>
        <w:rPr>
          <w:noProof/>
        </w:rPr>
        <w:drawing>
          <wp:inline distT="0" distB="0" distL="0" distR="0" wp14:anchorId="2C998C78" wp14:editId="2A2BFB17">
            <wp:extent cx="4678623" cy="3583603"/>
            <wp:effectExtent l="0" t="0" r="825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9359" cy="3591827"/>
                    </a:xfrm>
                    <a:prstGeom prst="rect">
                      <a:avLst/>
                    </a:prstGeom>
                  </pic:spPr>
                </pic:pic>
              </a:graphicData>
            </a:graphic>
          </wp:inline>
        </w:drawing>
      </w:r>
    </w:p>
    <w:p w14:paraId="26F7D62C" w14:textId="3402D446" w:rsidR="00133378" w:rsidRDefault="00133378" w:rsidP="00133378">
      <w:pPr>
        <w:pStyle w:val="Titre1"/>
        <w:tabs>
          <w:tab w:val="left" w:pos="1701"/>
          <w:tab w:val="left" w:pos="2268"/>
          <w:tab w:val="left" w:pos="2835"/>
        </w:tabs>
        <w:spacing w:after="120"/>
        <w:rPr>
          <w:b/>
          <w:bCs/>
          <w:vertAlign w:val="superscript"/>
          <w:lang w:val="fr-FR"/>
        </w:rPr>
      </w:pPr>
      <w:r>
        <w:rPr>
          <w:lang w:val="fr-FR"/>
        </w:rPr>
        <w:t>Figure 2.1</w:t>
      </w:r>
      <w:r w:rsidR="009030B3">
        <w:rPr>
          <w:lang w:val="fr-FR"/>
        </w:rPr>
        <w:br/>
      </w:r>
      <w:r>
        <w:rPr>
          <w:b/>
          <w:bCs/>
          <w:lang w:val="fr-FR"/>
        </w:rPr>
        <w:t>Représentation graphique des erreurs aléatoires et systématiques</w:t>
      </w:r>
      <w:r w:rsidRPr="00720775">
        <w:rPr>
          <w:sz w:val="18"/>
          <w:szCs w:val="18"/>
          <w:vertAlign w:val="superscript"/>
          <w:lang w:val="fr-FR"/>
        </w:rPr>
        <w:t>1</w:t>
      </w:r>
    </w:p>
    <w:p w14:paraId="0CE02F27" w14:textId="7467BECF" w:rsidR="00133378" w:rsidRPr="008208C4" w:rsidRDefault="00133378" w:rsidP="008A78CB">
      <w:pPr>
        <w:pStyle w:val="SingleTxtG"/>
        <w:spacing w:before="0" w:line="240" w:lineRule="atLeast"/>
        <w:ind w:firstLine="567"/>
        <w:rPr>
          <w:bCs/>
        </w:rPr>
      </w:pPr>
      <w:r>
        <w:rPr>
          <w:lang w:val="fr-FR"/>
        </w:rPr>
        <w:tab/>
        <w:t>La figure 2.1 représente un biais de type « mesure − erreur systématique ». Normalement, il n’est rendu compte que de l’incertitude. Les erreurs systématiques ne sont corrigées que si la valeur réelle est connue, puisque l’erreur peut alors être calculée (en pourcentage) et analysée.</w:t>
      </w:r>
    </w:p>
    <w:p w14:paraId="0F7DA47E" w14:textId="77777777" w:rsidR="00133378" w:rsidRPr="00B15353" w:rsidRDefault="00133378" w:rsidP="00133378">
      <w:pPr>
        <w:pStyle w:val="H23G"/>
        <w:rPr>
          <w:b w:val="0"/>
        </w:rPr>
      </w:pPr>
      <w:r>
        <w:rPr>
          <w:b w:val="0"/>
        </w:rPr>
        <w:tab/>
      </w:r>
      <w:r w:rsidRPr="00B15353">
        <w:rPr>
          <w:b w:val="0"/>
        </w:rPr>
        <w:t>2.3</w:t>
      </w:r>
      <w:r w:rsidRPr="00B15353">
        <w:rPr>
          <w:b w:val="0"/>
        </w:rPr>
        <w:tab/>
      </w:r>
      <w:r w:rsidRPr="00B15353">
        <w:rPr>
          <w:b w:val="0"/>
          <w:lang w:val="fr-FR"/>
        </w:rPr>
        <w:t>Précision et exactitude des mesures</w:t>
      </w:r>
    </w:p>
    <w:p w14:paraId="621C2786" w14:textId="6D19087E" w:rsidR="00133378" w:rsidRDefault="00133378" w:rsidP="008A78CB">
      <w:pPr>
        <w:pStyle w:val="SingleTxtG"/>
        <w:spacing w:before="0" w:line="240" w:lineRule="atLeast"/>
        <w:ind w:firstLine="567"/>
        <w:rPr>
          <w:bCs/>
        </w:rPr>
      </w:pPr>
      <w:r>
        <w:rPr>
          <w:lang w:val="fr-FR"/>
        </w:rPr>
        <w:tab/>
        <w:t>La précision désigne la reproductibilité des mesures, tandis que l’exactitude correspond à leur proximité par rapport à la valeur vraie. Idéalement, les mesures doivent être à la fois précises (erreurs aléatoires peu importantes) et exactes (erreurs systématiques peu importantes). La métaphore de la cible illustre bien la différence entre précision et exactitude (voir la figure 2.2).</w:t>
      </w:r>
    </w:p>
    <w:p w14:paraId="6D2530E5" w14:textId="492AE7C0" w:rsidR="00133378" w:rsidRDefault="00133378" w:rsidP="008A78CB">
      <w:pPr>
        <w:pStyle w:val="SingleTxtG"/>
        <w:spacing w:before="0" w:line="240" w:lineRule="atLeast"/>
        <w:ind w:firstLine="567"/>
        <w:rPr>
          <w:bCs/>
        </w:rPr>
      </w:pPr>
      <w:r>
        <w:rPr>
          <w:lang w:val="fr-FR"/>
        </w:rPr>
        <w:lastRenderedPageBreak/>
        <w:tab/>
        <w:t xml:space="preserve">La figure 2.3 montre une représentation graphique de la précision et de l’exactitude. </w:t>
      </w:r>
    </w:p>
    <w:p w14:paraId="46D1ACA3" w14:textId="0E099DD9" w:rsidR="00133378" w:rsidRDefault="00133378" w:rsidP="008A78CB">
      <w:pPr>
        <w:pStyle w:val="SingleTxtG"/>
        <w:spacing w:before="0" w:line="240" w:lineRule="atLeast"/>
        <w:ind w:firstLine="567"/>
        <w:rPr>
          <w:lang w:val="fr-FR"/>
        </w:rPr>
      </w:pPr>
      <w:r>
        <w:rPr>
          <w:lang w:val="fr-FR"/>
        </w:rPr>
        <w:tab/>
        <w:t>Il convient de noter que, dans le Guide 98-3, il n’est pas fait de distinction entre erreurs aléatoires et erreurs systématiques dans le calcul de l’incertitude.</w:t>
      </w:r>
    </w:p>
    <w:p w14:paraId="74D8D555" w14:textId="77777777" w:rsidR="00133378" w:rsidRPr="00B15353" w:rsidRDefault="00133378" w:rsidP="008A78CB">
      <w:pPr>
        <w:pStyle w:val="SingleTxtG"/>
        <w:spacing w:before="0" w:line="240" w:lineRule="atLeast"/>
        <w:ind w:left="0"/>
        <w:rPr>
          <w:lang w:val="fr-FR"/>
        </w:rPr>
      </w:pPr>
      <w:r w:rsidRPr="00B15353">
        <w:rPr>
          <w:noProof/>
          <w:lang w:val="fr-FR"/>
        </w:rPr>
        <w:drawing>
          <wp:inline distT="0" distB="0" distL="0" distR="0" wp14:anchorId="6319A8EC" wp14:editId="6A72409F">
            <wp:extent cx="6120000" cy="240218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000" cy="2402188"/>
                    </a:xfrm>
                    <a:prstGeom prst="rect">
                      <a:avLst/>
                    </a:prstGeom>
                  </pic:spPr>
                </pic:pic>
              </a:graphicData>
            </a:graphic>
          </wp:inline>
        </w:drawing>
      </w:r>
    </w:p>
    <w:p w14:paraId="3D7D2234" w14:textId="77777777" w:rsidR="00133378" w:rsidRDefault="00133378" w:rsidP="00133378">
      <w:pPr>
        <w:pStyle w:val="Titre1"/>
        <w:tabs>
          <w:tab w:val="left" w:pos="1701"/>
          <w:tab w:val="left" w:pos="2268"/>
          <w:tab w:val="left" w:pos="2835"/>
        </w:tabs>
        <w:spacing w:after="240"/>
        <w:rPr>
          <w:b/>
          <w:bCs/>
          <w:vertAlign w:val="superscript"/>
          <w:lang w:val="fr-FR"/>
        </w:rPr>
      </w:pPr>
      <w:r>
        <w:rPr>
          <w:lang w:val="fr-FR"/>
        </w:rPr>
        <w:t>Figure 2.2</w:t>
      </w:r>
      <w:r>
        <w:rPr>
          <w:lang w:val="fr-FR"/>
        </w:rPr>
        <w:br/>
      </w:r>
      <w:r>
        <w:rPr>
          <w:b/>
          <w:bCs/>
          <w:lang w:val="fr-FR"/>
        </w:rPr>
        <w:t>Précision et exactitude</w:t>
      </w:r>
      <w:r>
        <w:rPr>
          <w:lang w:val="fr-FR"/>
        </w:rPr>
        <w:t xml:space="preserve"> </w:t>
      </w:r>
      <w:r>
        <w:rPr>
          <w:b/>
          <w:bCs/>
          <w:lang w:val="fr-FR"/>
        </w:rPr>
        <w:t xml:space="preserve">(les erreurs aléatoires ayant trait à la précision et les erreurs systématiques </w:t>
      </w:r>
      <w:r>
        <w:rPr>
          <w:b/>
          <w:bCs/>
          <w:lang w:val="fr-FR"/>
        </w:rPr>
        <w:br/>
        <w:t>à l’exactitude)</w:t>
      </w:r>
      <w:r w:rsidRPr="00720775">
        <w:rPr>
          <w:sz w:val="18"/>
          <w:szCs w:val="18"/>
          <w:vertAlign w:val="superscript"/>
          <w:lang w:val="fr-FR"/>
        </w:rPr>
        <w:t>2</w:t>
      </w:r>
    </w:p>
    <w:p w14:paraId="0495F657" w14:textId="77777777" w:rsidR="00133378" w:rsidRPr="00B15353" w:rsidRDefault="00133378" w:rsidP="008A78CB">
      <w:pPr>
        <w:pStyle w:val="SingleTxtG"/>
        <w:spacing w:before="0" w:line="240" w:lineRule="atLeast"/>
        <w:rPr>
          <w:lang w:val="fr-FR"/>
        </w:rPr>
      </w:pPr>
      <w:r>
        <w:rPr>
          <w:noProof/>
        </w:rPr>
        <w:drawing>
          <wp:inline distT="0" distB="0" distL="0" distR="0" wp14:anchorId="3C25FA44" wp14:editId="17FEC8C4">
            <wp:extent cx="5400000" cy="2783314"/>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00" cy="2783314"/>
                    </a:xfrm>
                    <a:prstGeom prst="rect">
                      <a:avLst/>
                    </a:prstGeom>
                  </pic:spPr>
                </pic:pic>
              </a:graphicData>
            </a:graphic>
          </wp:inline>
        </w:drawing>
      </w:r>
    </w:p>
    <w:p w14:paraId="08182C18" w14:textId="77777777" w:rsidR="00133378" w:rsidRPr="0079379B" w:rsidRDefault="00133378" w:rsidP="00133378">
      <w:pPr>
        <w:pStyle w:val="Titre1"/>
        <w:tabs>
          <w:tab w:val="left" w:pos="1701"/>
          <w:tab w:val="left" w:pos="2268"/>
          <w:tab w:val="left" w:pos="2835"/>
        </w:tabs>
        <w:spacing w:after="120"/>
        <w:rPr>
          <w:b/>
        </w:rPr>
      </w:pPr>
      <w:r>
        <w:rPr>
          <w:lang w:val="fr-FR"/>
        </w:rPr>
        <w:t>Figure 2.3</w:t>
      </w:r>
      <w:r>
        <w:rPr>
          <w:lang w:val="fr-FR"/>
        </w:rPr>
        <w:br/>
      </w:r>
      <w:r>
        <w:rPr>
          <w:b/>
          <w:bCs/>
          <w:lang w:val="fr-FR"/>
        </w:rPr>
        <w:t>Représentation graphique de la précision et de l’exactitude</w:t>
      </w:r>
      <w:r>
        <w:rPr>
          <w:lang w:val="fr-FR"/>
        </w:rPr>
        <w:t xml:space="preserve"> </w:t>
      </w:r>
      <w:r>
        <w:rPr>
          <w:b/>
          <w:bCs/>
          <w:lang w:val="fr-FR"/>
        </w:rPr>
        <w:t xml:space="preserve">(la courbe de gauche représentant </w:t>
      </w:r>
      <w:r>
        <w:rPr>
          <w:b/>
          <w:bCs/>
          <w:lang w:val="fr-FR"/>
        </w:rPr>
        <w:br/>
        <w:t>des mesures d’une grande exactitude et d’une faible précision,</w:t>
      </w:r>
      <w:r>
        <w:rPr>
          <w:lang w:val="fr-FR"/>
        </w:rPr>
        <w:t xml:space="preserve"> </w:t>
      </w:r>
      <w:r>
        <w:rPr>
          <w:b/>
          <w:bCs/>
          <w:lang w:val="fr-FR"/>
        </w:rPr>
        <w:t xml:space="preserve">et la courbe de droite </w:t>
      </w:r>
      <w:r>
        <w:rPr>
          <w:b/>
          <w:bCs/>
          <w:lang w:val="fr-FR"/>
        </w:rPr>
        <w:br/>
        <w:t>des mesures d’une précision élevée et d’une faible exactitude)</w:t>
      </w:r>
      <w:r w:rsidRPr="00B15353">
        <w:rPr>
          <w:sz w:val="18"/>
          <w:szCs w:val="18"/>
          <w:vertAlign w:val="superscript"/>
          <w:lang w:val="fr-FR"/>
        </w:rPr>
        <w:t>3</w:t>
      </w:r>
    </w:p>
    <w:p w14:paraId="226048F2" w14:textId="77777777" w:rsidR="00133378" w:rsidRPr="002D4003" w:rsidRDefault="00133378" w:rsidP="00133378">
      <w:pPr>
        <w:pStyle w:val="HChG"/>
      </w:pPr>
      <w:bookmarkStart w:id="6" w:name="_Toc87431061"/>
      <w:r>
        <w:tab/>
      </w:r>
      <w:r w:rsidRPr="002D4003">
        <w:t>3.</w:t>
      </w:r>
      <w:r w:rsidRPr="002D4003">
        <w:tab/>
      </w:r>
      <w:bookmarkStart w:id="7" w:name="_Hlk90452560"/>
      <w:r>
        <w:rPr>
          <w:lang w:val="fr-FR"/>
        </w:rPr>
        <w:t>Approche de l’incertitude de mesure</w:t>
      </w:r>
      <w:bookmarkEnd w:id="6"/>
      <w:bookmarkEnd w:id="7"/>
    </w:p>
    <w:p w14:paraId="62DB368A" w14:textId="7FDC317D" w:rsidR="00133378" w:rsidRPr="008208C4" w:rsidRDefault="00133378" w:rsidP="008A78CB">
      <w:pPr>
        <w:pStyle w:val="SingleTxtG"/>
        <w:spacing w:before="0" w:line="240" w:lineRule="atLeast"/>
        <w:ind w:firstLine="567"/>
        <w:rPr>
          <w:bCs/>
        </w:rPr>
      </w:pPr>
      <w:r>
        <w:rPr>
          <w:lang w:val="fr-FR"/>
        </w:rPr>
        <w:tab/>
        <w:t>Pour réduire l’incertitude de mesure, il est recommandé de suivre l’approche ci-après</w:t>
      </w:r>
      <w:r>
        <w:rPr>
          <w:vertAlign w:val="superscript"/>
          <w:lang w:val="fr-FR"/>
        </w:rPr>
        <w:t>4</w:t>
      </w:r>
      <w:r>
        <w:rPr>
          <w:lang w:val="fr-FR"/>
        </w:rPr>
        <w:t>.</w:t>
      </w:r>
    </w:p>
    <w:p w14:paraId="0EC8490B" w14:textId="77777777" w:rsidR="00133378" w:rsidRPr="00B15353" w:rsidRDefault="00133378" w:rsidP="00133378">
      <w:pPr>
        <w:pStyle w:val="H23G"/>
        <w:rPr>
          <w:b w:val="0"/>
        </w:rPr>
      </w:pPr>
      <w:r>
        <w:rPr>
          <w:bCs/>
        </w:rPr>
        <w:tab/>
      </w:r>
      <w:r w:rsidRPr="00B15353">
        <w:rPr>
          <w:b w:val="0"/>
        </w:rPr>
        <w:t>3.1</w:t>
      </w:r>
      <w:r w:rsidRPr="00B15353">
        <w:rPr>
          <w:b w:val="0"/>
        </w:rPr>
        <w:tab/>
      </w:r>
      <w:r w:rsidRPr="00B15353">
        <w:rPr>
          <w:b w:val="0"/>
          <w:lang w:val="fr-FR"/>
        </w:rPr>
        <w:t>Prévention des incertitudes</w:t>
      </w:r>
    </w:p>
    <w:p w14:paraId="34A6D69B" w14:textId="40E061BE" w:rsidR="00133378" w:rsidRPr="008208C4" w:rsidRDefault="00133378" w:rsidP="008A78CB">
      <w:pPr>
        <w:pStyle w:val="SingleTxtG"/>
        <w:spacing w:before="0" w:line="240" w:lineRule="atLeast"/>
        <w:ind w:firstLine="567"/>
        <w:rPr>
          <w:bCs/>
        </w:rPr>
      </w:pPr>
      <w:r>
        <w:rPr>
          <w:lang w:val="fr-FR"/>
        </w:rPr>
        <w:tab/>
        <w:t xml:space="preserve">Le plus souvent, le règlement ou la méthode de mesure qui définit les conditions d’essai prévoit une marge de tolérance. Il importe de comprendre qu’en réduisant cette marge, on peut réduire l’incertitude. </w:t>
      </w:r>
    </w:p>
    <w:p w14:paraId="7F83C734" w14:textId="7B129075" w:rsidR="00133378" w:rsidRPr="008208C4" w:rsidRDefault="00133378" w:rsidP="008A78CB">
      <w:pPr>
        <w:pStyle w:val="SingleTxtG"/>
        <w:keepLines/>
        <w:spacing w:before="0" w:line="240" w:lineRule="atLeast"/>
        <w:ind w:firstLine="567"/>
        <w:rPr>
          <w:bCs/>
        </w:rPr>
      </w:pPr>
      <w:r>
        <w:rPr>
          <w:lang w:val="fr-FR"/>
        </w:rPr>
        <w:lastRenderedPageBreak/>
        <w:tab/>
        <w:t>Par exemple, selon le Règlement ONU n</w:t>
      </w:r>
      <w:r>
        <w:rPr>
          <w:vertAlign w:val="superscript"/>
          <w:lang w:val="fr-FR"/>
        </w:rPr>
        <w:t>o</w:t>
      </w:r>
      <w:r>
        <w:rPr>
          <w:lang w:val="fr-FR"/>
        </w:rPr>
        <w:t xml:space="preserve"> 117, les essais relatifs au bruit de roulement doivent être conduits sur une piste d’essai dont la température du revêtement peut être comprise entre +5 et +50 °C. Le résultat est ensuite normalisé à une température de référence de +20 °C en appliquant une correction de température, qui est fonction de la température du revêtement et du bruit. En effectuant les essais sur une piste dont la température du revêtement est aussi proche que possible de cette température de référence, les opérateurs peuvent réduire l’incertitude liée à l’influence de la température.</w:t>
      </w:r>
    </w:p>
    <w:p w14:paraId="7D7E205B" w14:textId="77777777" w:rsidR="00133378" w:rsidRPr="00B15353" w:rsidRDefault="00133378" w:rsidP="00133378">
      <w:pPr>
        <w:pStyle w:val="H23G"/>
        <w:rPr>
          <w:b w:val="0"/>
        </w:rPr>
      </w:pPr>
      <w:r>
        <w:rPr>
          <w:bCs/>
        </w:rPr>
        <w:tab/>
      </w:r>
      <w:r w:rsidRPr="00B15353">
        <w:rPr>
          <w:b w:val="0"/>
        </w:rPr>
        <w:t>3.2</w:t>
      </w:r>
      <w:r w:rsidRPr="00B15353">
        <w:rPr>
          <w:b w:val="0"/>
        </w:rPr>
        <w:tab/>
      </w:r>
      <w:r w:rsidRPr="00B15353">
        <w:rPr>
          <w:b w:val="0"/>
          <w:lang w:val="fr-FR"/>
        </w:rPr>
        <w:t>Application de corrections (réduction des erreurs systématiques)</w:t>
      </w:r>
    </w:p>
    <w:p w14:paraId="6AAC36AC" w14:textId="7BA9AD9B" w:rsidR="00133378" w:rsidRPr="008208C4" w:rsidRDefault="00133378" w:rsidP="008A78CB">
      <w:pPr>
        <w:pStyle w:val="SingleTxtG"/>
        <w:spacing w:before="0" w:line="240" w:lineRule="atLeast"/>
        <w:ind w:firstLine="567"/>
        <w:rPr>
          <w:bCs/>
        </w:rPr>
      </w:pPr>
      <w:r>
        <w:rPr>
          <w:lang w:val="fr-FR"/>
        </w:rPr>
        <w:tab/>
        <w:t>Pour reprendre l’exemple du Règlement ONU n</w:t>
      </w:r>
      <w:r>
        <w:rPr>
          <w:vertAlign w:val="superscript"/>
          <w:lang w:val="fr-FR"/>
        </w:rPr>
        <w:t>o</w:t>
      </w:r>
      <w:r>
        <w:rPr>
          <w:lang w:val="fr-FR"/>
        </w:rPr>
        <w:t xml:space="preserve"> 117, le bruit mesuré sur un revêtement d’une certaine température est normalisé en appliquant une correction, de sorte que le résultat final corresponde au bruit qui aurait été mesuré si la température de ce revêtement avait été de +20 °C (température de référence). Cette correction n’élimine pas l’incertitude de mesure, mais elle la réduit. L’incertitude sera à son minimum si tous les essais sont conduits sur une piste dont la température du revêtement est de +20 °C. </w:t>
      </w:r>
    </w:p>
    <w:p w14:paraId="6BBA48D0" w14:textId="77777777" w:rsidR="00133378" w:rsidRPr="00872DF4" w:rsidRDefault="00133378" w:rsidP="00133378">
      <w:pPr>
        <w:pStyle w:val="H23G"/>
        <w:rPr>
          <w:b w:val="0"/>
        </w:rPr>
      </w:pPr>
      <w:r>
        <w:rPr>
          <w:bCs/>
        </w:rPr>
        <w:tab/>
      </w:r>
      <w:r w:rsidRPr="00872DF4">
        <w:rPr>
          <w:b w:val="0"/>
        </w:rPr>
        <w:t>3.3</w:t>
      </w:r>
      <w:r w:rsidRPr="00872DF4">
        <w:rPr>
          <w:b w:val="0"/>
        </w:rPr>
        <w:tab/>
      </w:r>
      <w:r w:rsidRPr="00872DF4">
        <w:rPr>
          <w:b w:val="0"/>
          <w:lang w:val="fr-FR"/>
        </w:rPr>
        <w:t>Utilisation d</w:t>
      </w:r>
      <w:r>
        <w:rPr>
          <w:b w:val="0"/>
          <w:lang w:val="fr-FR"/>
        </w:rPr>
        <w:t>’</w:t>
      </w:r>
      <w:r w:rsidRPr="00872DF4">
        <w:rPr>
          <w:b w:val="0"/>
          <w:lang w:val="fr-FR"/>
        </w:rPr>
        <w:t>un modèle d</w:t>
      </w:r>
      <w:r>
        <w:rPr>
          <w:b w:val="0"/>
          <w:lang w:val="fr-FR"/>
        </w:rPr>
        <w:t>’</w:t>
      </w:r>
      <w:r w:rsidRPr="00872DF4">
        <w:rPr>
          <w:b w:val="0"/>
          <w:lang w:val="fr-FR"/>
        </w:rPr>
        <w:t>incertitude</w:t>
      </w:r>
    </w:p>
    <w:p w14:paraId="648835B7" w14:textId="377619F5" w:rsidR="00133378" w:rsidRPr="008208C4" w:rsidRDefault="00133378" w:rsidP="008A78CB">
      <w:pPr>
        <w:pStyle w:val="SingleTxtG"/>
        <w:spacing w:before="0" w:line="240" w:lineRule="atLeast"/>
        <w:ind w:firstLine="567"/>
        <w:rPr>
          <w:bCs/>
        </w:rPr>
      </w:pPr>
      <w:r>
        <w:rPr>
          <w:lang w:val="fr-FR"/>
        </w:rPr>
        <w:tab/>
        <w:t>Étant donné que le résultat final ne correspond jamais à la valeur « vraie », il convient d’utiliser un modèle d’incertitude pour définir la marge de tolérance applicable à la valeur mesurée, c’est-à-dire la variance escomptée. On trouve de tels modèles dans la norme ISO 5725 et dans le Guide 98-3.</w:t>
      </w:r>
    </w:p>
    <w:p w14:paraId="5881ABE2" w14:textId="77777777" w:rsidR="00133378" w:rsidRPr="00872DF4" w:rsidRDefault="00133378" w:rsidP="00133378">
      <w:pPr>
        <w:pStyle w:val="H23G"/>
        <w:rPr>
          <w:b w:val="0"/>
        </w:rPr>
      </w:pPr>
      <w:r>
        <w:rPr>
          <w:bCs/>
        </w:rPr>
        <w:tab/>
      </w:r>
      <w:r w:rsidRPr="00872DF4">
        <w:rPr>
          <w:b w:val="0"/>
        </w:rPr>
        <w:t>3.4</w:t>
      </w:r>
      <w:r w:rsidRPr="00872DF4">
        <w:rPr>
          <w:b w:val="0"/>
        </w:rPr>
        <w:tab/>
      </w:r>
      <w:r w:rsidRPr="00872DF4">
        <w:rPr>
          <w:b w:val="0"/>
          <w:lang w:val="fr-FR"/>
        </w:rPr>
        <w:t>Répétition des mesures</w:t>
      </w:r>
    </w:p>
    <w:p w14:paraId="016500C5" w14:textId="77777777" w:rsidR="0055631C" w:rsidRDefault="00133378" w:rsidP="008A78CB">
      <w:pPr>
        <w:pStyle w:val="SingleTxtG"/>
        <w:spacing w:before="0" w:line="240" w:lineRule="atLeast"/>
        <w:ind w:firstLine="567"/>
        <w:rPr>
          <w:lang w:val="fr-FR"/>
        </w:rPr>
      </w:pPr>
      <w:r>
        <w:rPr>
          <w:lang w:val="fr-FR"/>
        </w:rPr>
        <w:tab/>
        <w:t>Le règlement ou la méthode de mesure à suivre peut prévoir que les essais doivent être répétés un certain nombre de fois dans des conditions précises pour réduire l’incertitude. Si l’on répète les essais en gardant inchangées les conditions aux limites, puis que l’on calcule la moyenne mathématique des mesures obtenues, on réduit l’influence des erreurs aléatoires et donc l’incertitude. La série 03 d’amendements au Règlement ONU n</w:t>
      </w:r>
      <w:r>
        <w:rPr>
          <w:vertAlign w:val="superscript"/>
          <w:lang w:val="fr-FR"/>
        </w:rPr>
        <w:t>o</w:t>
      </w:r>
      <w:r>
        <w:rPr>
          <w:lang w:val="fr-FR"/>
        </w:rPr>
        <w:t xml:space="preserve"> 51, par exemple, prévoit que quatre mesures doivent être effectuées, après quoi la moyenne est calculée.</w:t>
      </w:r>
    </w:p>
    <w:p w14:paraId="3AD730E7" w14:textId="3AE5150A" w:rsidR="00133378" w:rsidRDefault="00133378" w:rsidP="008A78CB">
      <w:pPr>
        <w:pStyle w:val="SingleTxtG"/>
        <w:spacing w:before="0" w:line="240" w:lineRule="atLeast"/>
        <w:ind w:firstLine="567"/>
        <w:rPr>
          <w:lang w:val="fr-FR"/>
        </w:rPr>
      </w:pPr>
      <w:r>
        <w:rPr>
          <w:lang w:val="fr-FR"/>
        </w:rPr>
        <w:t>La figure 3.1 illustre cette approche de l’incertitude de mesure.</w:t>
      </w:r>
    </w:p>
    <w:p w14:paraId="6C7BD327" w14:textId="77777777" w:rsidR="00133378" w:rsidRDefault="00133378" w:rsidP="008A78CB">
      <w:pPr>
        <w:pStyle w:val="SingleTxtG"/>
        <w:spacing w:before="0" w:line="240" w:lineRule="atLeast"/>
        <w:ind w:left="0"/>
        <w:rPr>
          <w:lang w:val="fr-FR"/>
        </w:rPr>
      </w:pPr>
      <w:r>
        <w:rPr>
          <w:noProof/>
        </w:rPr>
        <w:drawing>
          <wp:inline distT="0" distB="0" distL="0" distR="0" wp14:anchorId="2468B450" wp14:editId="5FDA21E0">
            <wp:extent cx="6120000" cy="2183381"/>
            <wp:effectExtent l="0" t="0" r="0" b="762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000" cy="2183381"/>
                    </a:xfrm>
                    <a:prstGeom prst="rect">
                      <a:avLst/>
                    </a:prstGeom>
                  </pic:spPr>
                </pic:pic>
              </a:graphicData>
            </a:graphic>
          </wp:inline>
        </w:drawing>
      </w:r>
    </w:p>
    <w:p w14:paraId="656069B7" w14:textId="77777777" w:rsidR="00133378" w:rsidRPr="00916B32" w:rsidRDefault="00133378" w:rsidP="00133378">
      <w:pPr>
        <w:pStyle w:val="Titre1"/>
        <w:tabs>
          <w:tab w:val="left" w:pos="1701"/>
          <w:tab w:val="left" w:pos="2268"/>
          <w:tab w:val="left" w:pos="2835"/>
        </w:tabs>
        <w:spacing w:after="120"/>
        <w:rPr>
          <w:b/>
        </w:rPr>
      </w:pPr>
      <w:r>
        <w:rPr>
          <w:lang w:val="fr-FR"/>
        </w:rPr>
        <w:t>Figure 3.1</w:t>
      </w:r>
      <w:r>
        <w:rPr>
          <w:lang w:val="fr-FR"/>
        </w:rPr>
        <w:br/>
      </w:r>
      <w:r>
        <w:rPr>
          <w:b/>
          <w:bCs/>
          <w:lang w:val="fr-FR"/>
        </w:rPr>
        <w:t>Approche de la réduction de l’incertitude de mesure</w:t>
      </w:r>
      <w:r w:rsidRPr="00872DF4">
        <w:rPr>
          <w:sz w:val="18"/>
          <w:szCs w:val="18"/>
          <w:vertAlign w:val="superscript"/>
          <w:lang w:val="fr-FR"/>
        </w:rPr>
        <w:t>4</w:t>
      </w:r>
      <w:r>
        <w:rPr>
          <w:lang w:val="fr-FR"/>
        </w:rPr>
        <w:t xml:space="preserve"> </w:t>
      </w:r>
    </w:p>
    <w:p w14:paraId="3EC476B6" w14:textId="77777777" w:rsidR="00133378" w:rsidRPr="002D4003" w:rsidRDefault="00133378" w:rsidP="00133378">
      <w:pPr>
        <w:pStyle w:val="HChG"/>
      </w:pPr>
      <w:bookmarkStart w:id="8" w:name="_Toc83987017"/>
      <w:bookmarkStart w:id="9" w:name="_Toc87431062"/>
      <w:r>
        <w:tab/>
      </w:r>
      <w:r w:rsidRPr="002D4003">
        <w:t>4.</w:t>
      </w:r>
      <w:r w:rsidRPr="002D4003">
        <w:tab/>
      </w:r>
      <w:bookmarkStart w:id="10" w:name="_Hlk90452572"/>
      <w:r>
        <w:rPr>
          <w:lang w:val="fr-FR"/>
        </w:rPr>
        <w:t>Étapes de l’évaluation de l’incertitude</w:t>
      </w:r>
      <w:bookmarkEnd w:id="8"/>
      <w:bookmarkEnd w:id="9"/>
      <w:bookmarkEnd w:id="10"/>
    </w:p>
    <w:p w14:paraId="120AE6CE" w14:textId="55709C65" w:rsidR="00133378" w:rsidRPr="008208C4" w:rsidRDefault="00133378" w:rsidP="008A78CB">
      <w:pPr>
        <w:pStyle w:val="SingleTxtG"/>
        <w:spacing w:before="0" w:line="240" w:lineRule="atLeast"/>
        <w:ind w:firstLine="567"/>
        <w:rPr>
          <w:bCs/>
        </w:rPr>
      </w:pPr>
      <w:r>
        <w:rPr>
          <w:lang w:val="fr-FR"/>
        </w:rPr>
        <w:tab/>
        <w:t>L’évaluation de l’incertitude se fait en principe en deux étapes.</w:t>
      </w:r>
    </w:p>
    <w:p w14:paraId="474539A3" w14:textId="77777777" w:rsidR="00133378" w:rsidRPr="00872DF4" w:rsidRDefault="00133378" w:rsidP="00133378">
      <w:pPr>
        <w:pStyle w:val="H23G"/>
        <w:rPr>
          <w:b w:val="0"/>
        </w:rPr>
      </w:pPr>
      <w:r>
        <w:rPr>
          <w:bCs/>
        </w:rPr>
        <w:tab/>
      </w:r>
      <w:r w:rsidRPr="00872DF4">
        <w:rPr>
          <w:b w:val="0"/>
        </w:rPr>
        <w:t>4.1</w:t>
      </w:r>
      <w:r w:rsidRPr="00872DF4">
        <w:rPr>
          <w:b w:val="0"/>
        </w:rPr>
        <w:tab/>
      </w:r>
      <w:r w:rsidRPr="00872DF4">
        <w:rPr>
          <w:b w:val="0"/>
          <w:lang w:val="fr-FR"/>
        </w:rPr>
        <w:t>Il y a tout d</w:t>
      </w:r>
      <w:r>
        <w:rPr>
          <w:b w:val="0"/>
          <w:lang w:val="fr-FR"/>
        </w:rPr>
        <w:t>’</w:t>
      </w:r>
      <w:r w:rsidRPr="00872DF4">
        <w:rPr>
          <w:b w:val="0"/>
          <w:lang w:val="fr-FR"/>
        </w:rPr>
        <w:t>abord l</w:t>
      </w:r>
      <w:r>
        <w:rPr>
          <w:b w:val="0"/>
          <w:lang w:val="fr-FR"/>
        </w:rPr>
        <w:t>’</w:t>
      </w:r>
      <w:r w:rsidRPr="00872DF4">
        <w:rPr>
          <w:b w:val="0"/>
          <w:lang w:val="fr-FR"/>
        </w:rPr>
        <w:t>étape de l</w:t>
      </w:r>
      <w:r>
        <w:rPr>
          <w:b w:val="0"/>
          <w:lang w:val="fr-FR"/>
        </w:rPr>
        <w:t>’</w:t>
      </w:r>
      <w:r w:rsidRPr="00872DF4">
        <w:rPr>
          <w:b w:val="0"/>
          <w:lang w:val="fr-FR"/>
        </w:rPr>
        <w:t>établissement de la formule, qui consiste à</w:t>
      </w:r>
      <w:r>
        <w:rPr>
          <w:b w:val="0"/>
          <w:lang w:val="fr-FR"/>
        </w:rPr>
        <w:t> </w:t>
      </w:r>
      <w:r w:rsidRPr="00872DF4">
        <w:rPr>
          <w:b w:val="0"/>
          <w:lang w:val="fr-FR"/>
        </w:rPr>
        <w:t>:</w:t>
      </w:r>
    </w:p>
    <w:p w14:paraId="45C10306" w14:textId="51A1A5B0" w:rsidR="00133378" w:rsidRPr="008208C4" w:rsidRDefault="00133378" w:rsidP="008A78CB">
      <w:pPr>
        <w:pStyle w:val="SingleTxtG"/>
        <w:spacing w:before="0" w:line="240" w:lineRule="atLeast"/>
        <w:ind w:firstLine="567"/>
        <w:rPr>
          <w:bCs/>
        </w:rPr>
      </w:pPr>
      <w:r>
        <w:rPr>
          <w:bCs/>
        </w:rPr>
        <w:tab/>
      </w:r>
      <w:r w:rsidRPr="008208C4">
        <w:rPr>
          <w:bCs/>
        </w:rPr>
        <w:t>a)</w:t>
      </w:r>
      <w:r w:rsidRPr="008208C4">
        <w:rPr>
          <w:bCs/>
        </w:rPr>
        <w:tab/>
      </w:r>
      <w:r>
        <w:rPr>
          <w:lang w:val="fr-FR"/>
        </w:rPr>
        <w:t>Définir la grandeur de sortie Y (le mesurande) ;</w:t>
      </w:r>
    </w:p>
    <w:p w14:paraId="189DCABC" w14:textId="415E3052" w:rsidR="00133378" w:rsidRPr="008208C4" w:rsidRDefault="00133378" w:rsidP="008A78CB">
      <w:pPr>
        <w:pStyle w:val="SingleTxtG"/>
        <w:spacing w:before="0" w:line="240" w:lineRule="atLeast"/>
        <w:ind w:firstLine="567"/>
        <w:rPr>
          <w:bCs/>
        </w:rPr>
      </w:pPr>
      <w:r>
        <w:rPr>
          <w:bCs/>
        </w:rPr>
        <w:tab/>
      </w:r>
      <w:r w:rsidRPr="008208C4">
        <w:rPr>
          <w:bCs/>
        </w:rPr>
        <w:t>b)</w:t>
      </w:r>
      <w:r w:rsidRPr="008208C4">
        <w:rPr>
          <w:bCs/>
        </w:rPr>
        <w:tab/>
      </w:r>
      <w:r>
        <w:rPr>
          <w:lang w:val="fr-FR"/>
        </w:rPr>
        <w:t>Trouver les grandeurs d’entrée dont dépend la grandeur de sortie Y ;</w:t>
      </w:r>
    </w:p>
    <w:p w14:paraId="787741B2" w14:textId="5815A682" w:rsidR="00133378" w:rsidRPr="008208C4" w:rsidRDefault="00133378" w:rsidP="008A78CB">
      <w:pPr>
        <w:pStyle w:val="SingleTxtG"/>
        <w:spacing w:before="0" w:line="240" w:lineRule="atLeast"/>
        <w:ind w:firstLine="567"/>
        <w:rPr>
          <w:bCs/>
        </w:rPr>
      </w:pPr>
      <w:r>
        <w:rPr>
          <w:bCs/>
        </w:rPr>
        <w:lastRenderedPageBreak/>
        <w:tab/>
      </w:r>
      <w:r w:rsidRPr="008208C4">
        <w:rPr>
          <w:bCs/>
        </w:rPr>
        <w:t>c)</w:t>
      </w:r>
      <w:r w:rsidRPr="008208C4">
        <w:rPr>
          <w:bCs/>
        </w:rPr>
        <w:tab/>
      </w:r>
      <w:r>
        <w:rPr>
          <w:lang w:val="fr-FR"/>
        </w:rPr>
        <w:t>Élaborer un modèle de mesure dans lequel la grandeur de sortie Y est corrélée aux grandeurs d’entrée ;</w:t>
      </w:r>
    </w:p>
    <w:p w14:paraId="12203ABC" w14:textId="4A2DBF6D" w:rsidR="00133378" w:rsidRPr="00B44820" w:rsidRDefault="00133378" w:rsidP="008A78CB">
      <w:pPr>
        <w:pStyle w:val="SingleTxtG"/>
        <w:spacing w:before="0" w:line="240" w:lineRule="atLeast"/>
        <w:ind w:firstLine="567"/>
        <w:rPr>
          <w:bCs/>
        </w:rPr>
      </w:pPr>
      <w:r>
        <w:rPr>
          <w:bCs/>
        </w:rPr>
        <w:tab/>
      </w:r>
      <w:r w:rsidRPr="00B44820">
        <w:rPr>
          <w:bCs/>
        </w:rPr>
        <w:t>d)</w:t>
      </w:r>
      <w:r w:rsidRPr="00B44820">
        <w:rPr>
          <w:bCs/>
        </w:rPr>
        <w:tab/>
      </w:r>
      <w:r>
        <w:rPr>
          <w:lang w:val="fr-FR"/>
        </w:rPr>
        <w:t xml:space="preserve">Attribuer des lois de probabilité (gaussienne, rectangulaire, etc.) aux grandeurs d’entrée (ou une loi de probabilité à plusieurs variables aux grandeurs non indépendantes) sur la base des connaissances disponibles. </w:t>
      </w:r>
    </w:p>
    <w:p w14:paraId="7979F584" w14:textId="77777777" w:rsidR="00133378" w:rsidRPr="00997CB7" w:rsidRDefault="00133378" w:rsidP="00133378">
      <w:pPr>
        <w:pStyle w:val="H23G"/>
        <w:rPr>
          <w:b w:val="0"/>
        </w:rPr>
      </w:pPr>
      <w:r>
        <w:rPr>
          <w:bCs/>
        </w:rPr>
        <w:tab/>
      </w:r>
      <w:r w:rsidRPr="00997CB7">
        <w:rPr>
          <w:b w:val="0"/>
        </w:rPr>
        <w:t>4.2</w:t>
      </w:r>
      <w:r w:rsidRPr="00997CB7">
        <w:rPr>
          <w:b w:val="0"/>
        </w:rPr>
        <w:tab/>
      </w:r>
      <w:r w:rsidRPr="00997CB7">
        <w:rPr>
          <w:b w:val="0"/>
          <w:lang w:val="fr-FR"/>
        </w:rPr>
        <w:t>Vient ensuite l</w:t>
      </w:r>
      <w:r>
        <w:rPr>
          <w:b w:val="0"/>
          <w:lang w:val="fr-FR"/>
        </w:rPr>
        <w:t>’</w:t>
      </w:r>
      <w:r w:rsidRPr="00997CB7">
        <w:rPr>
          <w:b w:val="0"/>
          <w:lang w:val="fr-FR"/>
        </w:rPr>
        <w:t>étape du calcul, qui consiste à propager, grâce au modèle de mesure, les lois attribuées aux grandeurs d</w:t>
      </w:r>
      <w:r>
        <w:rPr>
          <w:b w:val="0"/>
          <w:lang w:val="fr-FR"/>
        </w:rPr>
        <w:t>’</w:t>
      </w:r>
      <w:r w:rsidRPr="00997CB7">
        <w:rPr>
          <w:b w:val="0"/>
          <w:lang w:val="fr-FR"/>
        </w:rPr>
        <w:t>entrée, pour parvenir à la loi de probabilité de la grandeur de sortie Y. On synthétise ensuite le résultat en utilisant les lois idoines pour obtenir :</w:t>
      </w:r>
    </w:p>
    <w:p w14:paraId="56CCC422" w14:textId="61833FBC" w:rsidR="00133378" w:rsidRPr="008208C4" w:rsidRDefault="00133378" w:rsidP="008A78CB">
      <w:pPr>
        <w:pStyle w:val="SingleTxtG"/>
        <w:spacing w:before="0" w:line="240" w:lineRule="atLeast"/>
        <w:ind w:firstLine="567"/>
        <w:rPr>
          <w:bCs/>
        </w:rPr>
      </w:pPr>
      <w:r>
        <w:rPr>
          <w:bCs/>
        </w:rPr>
        <w:tab/>
      </w:r>
      <w:r w:rsidRPr="008208C4">
        <w:rPr>
          <w:bCs/>
        </w:rPr>
        <w:t>a)</w:t>
      </w:r>
      <w:r w:rsidRPr="008208C4">
        <w:rPr>
          <w:bCs/>
        </w:rPr>
        <w:tab/>
      </w:r>
      <w:r>
        <w:rPr>
          <w:lang w:val="fr-FR"/>
        </w:rPr>
        <w:t>L’espérance mathématique de Y, qui correspond à l’estimation y de Y ;</w:t>
      </w:r>
    </w:p>
    <w:p w14:paraId="088D3DDF" w14:textId="0330FA39" w:rsidR="00133378" w:rsidRPr="008208C4" w:rsidRDefault="00133378" w:rsidP="008A78CB">
      <w:pPr>
        <w:pStyle w:val="SingleTxtG"/>
        <w:spacing w:before="0" w:line="240" w:lineRule="atLeast"/>
        <w:ind w:firstLine="567"/>
        <w:rPr>
          <w:bCs/>
        </w:rPr>
      </w:pPr>
      <w:r>
        <w:rPr>
          <w:bCs/>
        </w:rPr>
        <w:tab/>
      </w:r>
      <w:r w:rsidRPr="008208C4">
        <w:rPr>
          <w:bCs/>
        </w:rPr>
        <w:t>b)</w:t>
      </w:r>
      <w:r w:rsidRPr="008208C4">
        <w:rPr>
          <w:bCs/>
        </w:rPr>
        <w:tab/>
      </w:r>
      <w:r>
        <w:rPr>
          <w:lang w:val="fr-FR"/>
        </w:rPr>
        <w:t>L’écart-type de Y, qui correspond à l’incertitude-type µ(y) de y ;</w:t>
      </w:r>
    </w:p>
    <w:p w14:paraId="2D8B4E9B" w14:textId="08FC17E7" w:rsidR="00133378" w:rsidRPr="008208C4" w:rsidRDefault="00133378" w:rsidP="008A78CB">
      <w:pPr>
        <w:pStyle w:val="SingleTxtG"/>
        <w:spacing w:before="0" w:line="240" w:lineRule="atLeast"/>
        <w:ind w:firstLine="567"/>
        <w:rPr>
          <w:bCs/>
        </w:rPr>
      </w:pPr>
      <w:r>
        <w:rPr>
          <w:bCs/>
        </w:rPr>
        <w:tab/>
      </w:r>
      <w:r w:rsidRPr="008208C4">
        <w:rPr>
          <w:bCs/>
        </w:rPr>
        <w:t>c)</w:t>
      </w:r>
      <w:r w:rsidRPr="008208C4">
        <w:rPr>
          <w:bCs/>
        </w:rPr>
        <w:tab/>
      </w:r>
      <w:r>
        <w:rPr>
          <w:lang w:val="fr-FR"/>
        </w:rPr>
        <w:t>L’intervalle dans lequel se trouve Y selon une certaine probabilité.</w:t>
      </w:r>
    </w:p>
    <w:p w14:paraId="54536BCC" w14:textId="77777777" w:rsidR="00133378" w:rsidRPr="002D4003" w:rsidRDefault="00133378" w:rsidP="00133378">
      <w:pPr>
        <w:pStyle w:val="HChG"/>
      </w:pPr>
      <w:bookmarkStart w:id="11" w:name="_Toc83987018"/>
      <w:bookmarkStart w:id="12" w:name="_Toc87431063"/>
      <w:r>
        <w:tab/>
      </w:r>
      <w:r w:rsidRPr="002D4003">
        <w:t>5.</w:t>
      </w:r>
      <w:r w:rsidRPr="002D4003">
        <w:tab/>
      </w:r>
      <w:bookmarkStart w:id="13" w:name="_Hlk90452584"/>
      <w:r>
        <w:rPr>
          <w:lang w:val="fr-FR"/>
        </w:rPr>
        <w:t>Approche du Guide 98-3</w:t>
      </w:r>
      <w:bookmarkEnd w:id="11"/>
      <w:bookmarkEnd w:id="12"/>
      <w:bookmarkEnd w:id="13"/>
    </w:p>
    <w:p w14:paraId="1F5B42A2" w14:textId="766D7DE2" w:rsidR="00133378" w:rsidRPr="008208C4" w:rsidRDefault="00133378" w:rsidP="008A78CB">
      <w:pPr>
        <w:pStyle w:val="SingleTxtG"/>
        <w:spacing w:before="0" w:line="240" w:lineRule="atLeast"/>
        <w:ind w:firstLine="567"/>
        <w:rPr>
          <w:bCs/>
        </w:rPr>
      </w:pPr>
      <w:r>
        <w:rPr>
          <w:lang w:val="fr-FR"/>
        </w:rPr>
        <w:tab/>
        <w:t>Dans le modèle d’incertitude du Guide 98-3, on utilise :</w:t>
      </w:r>
    </w:p>
    <w:p w14:paraId="0B180C4F" w14:textId="0CF6E2F5" w:rsidR="00133378" w:rsidRPr="008208C4" w:rsidRDefault="00133378" w:rsidP="008A78CB">
      <w:pPr>
        <w:pStyle w:val="SingleTxtG"/>
        <w:spacing w:before="0" w:line="240" w:lineRule="atLeast"/>
        <w:ind w:firstLine="567"/>
        <w:rPr>
          <w:bCs/>
        </w:rPr>
      </w:pPr>
      <w:r>
        <w:rPr>
          <w:bCs/>
        </w:rPr>
        <w:tab/>
      </w:r>
      <w:r w:rsidRPr="008208C4">
        <w:rPr>
          <w:bCs/>
        </w:rPr>
        <w:t>a)</w:t>
      </w:r>
      <w:r w:rsidRPr="008208C4">
        <w:rPr>
          <w:bCs/>
        </w:rPr>
        <w:tab/>
      </w:r>
      <w:r>
        <w:rPr>
          <w:lang w:val="fr-FR"/>
        </w:rPr>
        <w:t>Les meilleures estimations x</w:t>
      </w:r>
      <w:r>
        <w:rPr>
          <w:vertAlign w:val="subscript"/>
          <w:lang w:val="fr-FR"/>
        </w:rPr>
        <w:t>i</w:t>
      </w:r>
      <w:r>
        <w:rPr>
          <w:lang w:val="fr-FR"/>
        </w:rPr>
        <w:t xml:space="preserve"> des grandeurs d’entrée X</w:t>
      </w:r>
      <w:r>
        <w:rPr>
          <w:vertAlign w:val="subscript"/>
          <w:lang w:val="fr-FR"/>
        </w:rPr>
        <w:t>i</w:t>
      </w:r>
      <w:r w:rsidRPr="00997CB7">
        <w:rPr>
          <w:lang w:val="fr-FR"/>
        </w:rPr>
        <w:t> </w:t>
      </w:r>
      <w:r>
        <w:rPr>
          <w:lang w:val="fr-FR"/>
        </w:rPr>
        <w:t>;</w:t>
      </w:r>
    </w:p>
    <w:p w14:paraId="349CE2CE" w14:textId="5AC6855B" w:rsidR="00133378" w:rsidRPr="008208C4" w:rsidRDefault="00133378" w:rsidP="008A78CB">
      <w:pPr>
        <w:pStyle w:val="SingleTxtG"/>
        <w:spacing w:before="0" w:line="240" w:lineRule="atLeast"/>
        <w:ind w:firstLine="567"/>
        <w:rPr>
          <w:bCs/>
        </w:rPr>
      </w:pPr>
      <w:r>
        <w:rPr>
          <w:bCs/>
        </w:rPr>
        <w:tab/>
      </w:r>
      <w:r w:rsidRPr="008208C4">
        <w:rPr>
          <w:bCs/>
        </w:rPr>
        <w:t>b)</w:t>
      </w:r>
      <w:r w:rsidRPr="008208C4">
        <w:rPr>
          <w:bCs/>
        </w:rPr>
        <w:tab/>
      </w:r>
      <w:r>
        <w:rPr>
          <w:lang w:val="fr-FR"/>
        </w:rPr>
        <w:t>Les incertitudes-types µ(x</w:t>
      </w:r>
      <w:r>
        <w:rPr>
          <w:vertAlign w:val="subscript"/>
          <w:lang w:val="fr-FR"/>
        </w:rPr>
        <w:t>i</w:t>
      </w:r>
      <w:r>
        <w:rPr>
          <w:lang w:val="fr-FR"/>
        </w:rPr>
        <w:t>) des estimations d’entrée x</w:t>
      </w:r>
      <w:r>
        <w:rPr>
          <w:vertAlign w:val="subscript"/>
          <w:lang w:val="fr-FR"/>
        </w:rPr>
        <w:t>i</w:t>
      </w:r>
      <w:r w:rsidRPr="00997CB7">
        <w:rPr>
          <w:lang w:val="fr-FR"/>
        </w:rPr>
        <w:t> </w:t>
      </w:r>
      <w:r>
        <w:rPr>
          <w:lang w:val="fr-FR"/>
        </w:rPr>
        <w:t>;</w:t>
      </w:r>
    </w:p>
    <w:p w14:paraId="01B5C3D8" w14:textId="62AB2565" w:rsidR="00133378" w:rsidRPr="008208C4" w:rsidRDefault="00133378" w:rsidP="008A78CB">
      <w:pPr>
        <w:pStyle w:val="SingleTxtG"/>
        <w:spacing w:before="0" w:line="240" w:lineRule="atLeast"/>
        <w:ind w:firstLine="567"/>
        <w:rPr>
          <w:bCs/>
        </w:rPr>
      </w:pPr>
      <w:r>
        <w:rPr>
          <w:bCs/>
        </w:rPr>
        <w:tab/>
      </w:r>
      <w:r w:rsidRPr="008208C4">
        <w:rPr>
          <w:bCs/>
        </w:rPr>
        <w:t>c)</w:t>
      </w:r>
      <w:r w:rsidRPr="008208C4">
        <w:rPr>
          <w:bCs/>
        </w:rPr>
        <w:tab/>
      </w:r>
      <w:r>
        <w:rPr>
          <w:lang w:val="fr-FR"/>
        </w:rPr>
        <w:t>Les coefficients de sensibilité c</w:t>
      </w:r>
      <w:r>
        <w:rPr>
          <w:vertAlign w:val="subscript"/>
          <w:lang w:val="fr-FR"/>
        </w:rPr>
        <w:t>i</w:t>
      </w:r>
    </w:p>
    <w:p w14:paraId="3526E221" w14:textId="77777777" w:rsidR="00133378" w:rsidRPr="008208C4" w:rsidRDefault="00133378" w:rsidP="008A78CB">
      <w:pPr>
        <w:pStyle w:val="SingleTxtG"/>
        <w:spacing w:before="0" w:line="240" w:lineRule="atLeast"/>
        <w:rPr>
          <w:bCs/>
        </w:rPr>
      </w:pPr>
      <w:r>
        <w:rPr>
          <w:lang w:val="fr-FR"/>
        </w:rPr>
        <w:t>pour parvenir à une estimation y de la grandeur de sortie Y et à l’incertitude-type associée µ(y).</w:t>
      </w:r>
    </w:p>
    <w:p w14:paraId="2FBDC95C" w14:textId="4A7AC382" w:rsidR="00133378" w:rsidRPr="008208C4" w:rsidRDefault="00133378" w:rsidP="008A78CB">
      <w:pPr>
        <w:pStyle w:val="SingleTxtG"/>
        <w:spacing w:before="0" w:line="240" w:lineRule="atLeast"/>
        <w:ind w:firstLine="567"/>
        <w:rPr>
          <w:bCs/>
        </w:rPr>
      </w:pPr>
      <w:r>
        <w:rPr>
          <w:lang w:val="fr-FR"/>
        </w:rPr>
        <w:tab/>
        <w:t xml:space="preserve">Dans un modèle d’incertitude, une grandeur d’entrée n’est jamais exacte, de sorte qu’il convient d’évaluer l’incertitude. </w:t>
      </w:r>
    </w:p>
    <w:p w14:paraId="1EE28FD6" w14:textId="567B1252" w:rsidR="00133378" w:rsidRPr="008208C4" w:rsidRDefault="00133378" w:rsidP="008A78CB">
      <w:pPr>
        <w:pStyle w:val="SingleTxtG"/>
        <w:spacing w:before="0" w:line="240" w:lineRule="atLeast"/>
        <w:ind w:firstLine="567"/>
        <w:rPr>
          <w:bCs/>
        </w:rPr>
      </w:pPr>
      <w:r>
        <w:rPr>
          <w:lang w:val="fr-FR"/>
        </w:rPr>
        <w:tab/>
        <w:t>Dans la plupart des cas, un mesurande Y n’est pas mesuré directement. Il est calculé à partir de N autres grandeurs X</w:t>
      </w:r>
      <w:r>
        <w:rPr>
          <w:vertAlign w:val="subscript"/>
          <w:lang w:val="fr-FR"/>
        </w:rPr>
        <w:t>1</w:t>
      </w:r>
      <w:r>
        <w:rPr>
          <w:lang w:val="fr-FR"/>
        </w:rPr>
        <w:t>, X</w:t>
      </w:r>
      <w:r>
        <w:rPr>
          <w:vertAlign w:val="subscript"/>
          <w:lang w:val="fr-FR"/>
        </w:rPr>
        <w:t>2</w:t>
      </w:r>
      <w:r>
        <w:rPr>
          <w:lang w:val="fr-FR"/>
        </w:rPr>
        <w:t>, …, X</w:t>
      </w:r>
      <w:r>
        <w:rPr>
          <w:vertAlign w:val="subscript"/>
          <w:lang w:val="fr-FR"/>
        </w:rPr>
        <w:t>N</w:t>
      </w:r>
      <w:r>
        <w:rPr>
          <w:lang w:val="fr-FR"/>
        </w:rPr>
        <w:t xml:space="preserve"> au moyen d’une relation fonctionnelle :</w:t>
      </w:r>
    </w:p>
    <w:p w14:paraId="74B4CE2B" w14:textId="77777777" w:rsidR="00133378" w:rsidRPr="008208C4" w:rsidRDefault="00133378" w:rsidP="00133378">
      <w:pPr>
        <w:keepLines/>
        <w:tabs>
          <w:tab w:val="right" w:pos="8505"/>
        </w:tabs>
        <w:spacing w:after="120"/>
        <w:ind w:left="1134" w:firstLine="567"/>
        <w:jc w:val="both"/>
        <w:rPr>
          <w:bCs/>
        </w:rPr>
      </w:pPr>
      <w:r>
        <w:rPr>
          <w:lang w:val="fr-FR"/>
        </w:rPr>
        <w:t>Y = ƒ (X</w:t>
      </w:r>
      <w:r>
        <w:rPr>
          <w:vertAlign w:val="subscript"/>
          <w:lang w:val="fr-FR"/>
        </w:rPr>
        <w:t>1</w:t>
      </w:r>
      <w:r>
        <w:rPr>
          <w:lang w:val="fr-FR"/>
        </w:rPr>
        <w:t>, X</w:t>
      </w:r>
      <w:r>
        <w:rPr>
          <w:vertAlign w:val="subscript"/>
          <w:lang w:val="fr-FR"/>
        </w:rPr>
        <w:t>2</w:t>
      </w:r>
      <w:r>
        <w:rPr>
          <w:lang w:val="fr-FR"/>
        </w:rPr>
        <w:t>, …, X</w:t>
      </w:r>
      <w:r>
        <w:rPr>
          <w:vertAlign w:val="subscript"/>
          <w:lang w:val="fr-FR"/>
        </w:rPr>
        <w:t>N</w:t>
      </w:r>
      <w:r>
        <w:rPr>
          <w:lang w:val="fr-FR"/>
        </w:rPr>
        <w:t xml:space="preserve">) </w:t>
      </w:r>
      <w:r>
        <w:rPr>
          <w:lang w:val="fr-FR"/>
        </w:rPr>
        <w:tab/>
        <w:t>(1)</w:t>
      </w:r>
    </w:p>
    <w:p w14:paraId="5756481F" w14:textId="7DE1B21E" w:rsidR="00133378" w:rsidRPr="008208C4" w:rsidRDefault="00133378" w:rsidP="008A78CB">
      <w:pPr>
        <w:pStyle w:val="SingleTxtG"/>
        <w:spacing w:before="0" w:line="240" w:lineRule="atLeast"/>
        <w:ind w:firstLine="567"/>
        <w:rPr>
          <w:bCs/>
        </w:rPr>
      </w:pPr>
      <w:r>
        <w:rPr>
          <w:lang w:val="fr-FR"/>
        </w:rPr>
        <w:tab/>
        <w:t>De manière générale, un modèle de mesure peut s’exprimer comme suit :</w:t>
      </w:r>
    </w:p>
    <w:p w14:paraId="2419BAE2" w14:textId="77777777" w:rsidR="00133378" w:rsidRPr="008208C4" w:rsidRDefault="00133378" w:rsidP="00133378">
      <w:pPr>
        <w:keepLines/>
        <w:tabs>
          <w:tab w:val="right" w:pos="8505"/>
        </w:tabs>
        <w:spacing w:after="120"/>
        <w:ind w:left="1134" w:firstLine="567"/>
        <w:jc w:val="both"/>
        <w:rPr>
          <w:bCs/>
        </w:rPr>
      </w:pPr>
      <w:r>
        <w:rPr>
          <w:lang w:val="fr-FR"/>
        </w:rPr>
        <w:t>h (Y, X</w:t>
      </w:r>
      <w:r>
        <w:rPr>
          <w:vertAlign w:val="subscript"/>
          <w:lang w:val="fr-FR"/>
        </w:rPr>
        <w:t>1</w:t>
      </w:r>
      <w:r>
        <w:rPr>
          <w:lang w:val="fr-FR"/>
        </w:rPr>
        <w:t>……, X</w:t>
      </w:r>
      <w:r>
        <w:rPr>
          <w:vertAlign w:val="subscript"/>
          <w:lang w:val="fr-FR"/>
        </w:rPr>
        <w:t>N</w:t>
      </w:r>
      <w:r>
        <w:rPr>
          <w:lang w:val="fr-FR"/>
        </w:rPr>
        <w:t>) = 0</w:t>
      </w:r>
      <w:r>
        <w:rPr>
          <w:lang w:val="fr-FR"/>
        </w:rPr>
        <w:tab/>
        <w:t>(2)</w:t>
      </w:r>
    </w:p>
    <w:p w14:paraId="0A233FFB" w14:textId="7E077D67" w:rsidR="00133378" w:rsidRPr="008208C4" w:rsidRDefault="00133378" w:rsidP="008A78CB">
      <w:pPr>
        <w:pStyle w:val="SingleTxtG"/>
        <w:spacing w:before="0" w:line="240" w:lineRule="atLeast"/>
        <w:ind w:firstLine="567"/>
        <w:rPr>
          <w:bCs/>
        </w:rPr>
      </w:pPr>
      <w:r>
        <w:rPr>
          <w:lang w:val="fr-FR"/>
        </w:rPr>
        <w:tab/>
        <w:t>On considère qu’il existe une procédure pour calculer Y à partir de X</w:t>
      </w:r>
      <w:r>
        <w:rPr>
          <w:vertAlign w:val="subscript"/>
          <w:lang w:val="fr-FR"/>
        </w:rPr>
        <w:t>1</w:t>
      </w:r>
      <w:r>
        <w:rPr>
          <w:lang w:val="fr-FR"/>
        </w:rPr>
        <w:t>...., X</w:t>
      </w:r>
      <w:r>
        <w:rPr>
          <w:vertAlign w:val="subscript"/>
          <w:lang w:val="fr-FR"/>
        </w:rPr>
        <w:t>N</w:t>
      </w:r>
      <w:r>
        <w:rPr>
          <w:lang w:val="fr-FR"/>
        </w:rPr>
        <w:t xml:space="preserve"> dans l’équation (2) et que Y est défini de manière unique par cette équation.</w:t>
      </w:r>
    </w:p>
    <w:p w14:paraId="055A256D" w14:textId="58D1A72E" w:rsidR="00133378" w:rsidRPr="008208C4" w:rsidRDefault="00133378" w:rsidP="008A78CB">
      <w:pPr>
        <w:pStyle w:val="SingleTxtG"/>
        <w:spacing w:before="0" w:line="240" w:lineRule="atLeast"/>
        <w:ind w:firstLine="567"/>
        <w:rPr>
          <w:bCs/>
        </w:rPr>
      </w:pPr>
      <w:r>
        <w:rPr>
          <w:lang w:val="fr-FR"/>
        </w:rPr>
        <w:tab/>
        <w:t>Les grandeurs d’entrée X</w:t>
      </w:r>
      <w:r>
        <w:rPr>
          <w:vertAlign w:val="subscript"/>
          <w:lang w:val="fr-FR"/>
        </w:rPr>
        <w:t>1</w:t>
      </w:r>
      <w:r>
        <w:rPr>
          <w:lang w:val="fr-FR"/>
        </w:rPr>
        <w:t>, X</w:t>
      </w:r>
      <w:r>
        <w:rPr>
          <w:vertAlign w:val="subscript"/>
          <w:lang w:val="fr-FR"/>
        </w:rPr>
        <w:t>2</w:t>
      </w:r>
      <w:r>
        <w:rPr>
          <w:lang w:val="fr-FR"/>
        </w:rPr>
        <w:t>, …, X</w:t>
      </w:r>
      <w:r>
        <w:rPr>
          <w:vertAlign w:val="subscript"/>
          <w:lang w:val="fr-FR"/>
        </w:rPr>
        <w:t>N</w:t>
      </w:r>
      <w:r>
        <w:rPr>
          <w:lang w:val="fr-FR"/>
        </w:rPr>
        <w:t xml:space="preserve"> dont dépend la grandeur de sortie Y peuvent elles-mêmes être considérées comme des mesurandes et dépendre d’autres grandeurs, notamment de corrections et de facteurs de correction des erreurs systématiques.</w:t>
      </w:r>
    </w:p>
    <w:p w14:paraId="6E5A84A3" w14:textId="10599C66" w:rsidR="00133378" w:rsidRPr="008208C4" w:rsidRDefault="00133378" w:rsidP="008A78CB">
      <w:pPr>
        <w:pStyle w:val="SingleTxtG"/>
        <w:spacing w:before="0" w:line="240" w:lineRule="atLeast"/>
        <w:ind w:firstLine="567"/>
        <w:rPr>
          <w:bCs/>
        </w:rPr>
      </w:pPr>
      <w:r>
        <w:rPr>
          <w:lang w:val="fr-FR"/>
        </w:rPr>
        <w:tab/>
        <w:t>Une estimation du mesurande Y, notée y, est obtenue à partir de l’équation (1) en utilisant les estimations d’entrée x</w:t>
      </w:r>
      <w:r>
        <w:rPr>
          <w:vertAlign w:val="subscript"/>
          <w:lang w:val="fr-FR"/>
        </w:rPr>
        <w:t>1</w:t>
      </w:r>
      <w:r>
        <w:rPr>
          <w:lang w:val="fr-FR"/>
        </w:rPr>
        <w:t>, x</w:t>
      </w:r>
      <w:r>
        <w:rPr>
          <w:vertAlign w:val="subscript"/>
          <w:lang w:val="fr-FR"/>
        </w:rPr>
        <w:t>2</w:t>
      </w:r>
      <w:r>
        <w:rPr>
          <w:lang w:val="fr-FR"/>
        </w:rPr>
        <w:t xml:space="preserve">, …, </w:t>
      </w:r>
      <w:proofErr w:type="spellStart"/>
      <w:r>
        <w:rPr>
          <w:lang w:val="fr-FR"/>
        </w:rPr>
        <w:t>x</w:t>
      </w:r>
      <w:r>
        <w:rPr>
          <w:vertAlign w:val="subscript"/>
          <w:lang w:val="fr-FR"/>
        </w:rPr>
        <w:t>N</w:t>
      </w:r>
      <w:proofErr w:type="spellEnd"/>
      <w:r>
        <w:rPr>
          <w:lang w:val="fr-FR"/>
        </w:rPr>
        <w:t xml:space="preserve"> pour les valeurs des N grandeurs X</w:t>
      </w:r>
      <w:r>
        <w:rPr>
          <w:vertAlign w:val="subscript"/>
          <w:lang w:val="fr-FR"/>
        </w:rPr>
        <w:t>1</w:t>
      </w:r>
      <w:r>
        <w:rPr>
          <w:lang w:val="fr-FR"/>
        </w:rPr>
        <w:t>, X</w:t>
      </w:r>
      <w:r>
        <w:rPr>
          <w:vertAlign w:val="subscript"/>
          <w:lang w:val="fr-FR"/>
        </w:rPr>
        <w:t>2</w:t>
      </w:r>
      <w:r>
        <w:rPr>
          <w:lang w:val="fr-FR"/>
        </w:rPr>
        <w:t>, …, X</w:t>
      </w:r>
      <w:r>
        <w:rPr>
          <w:vertAlign w:val="subscript"/>
          <w:lang w:val="fr-FR"/>
        </w:rPr>
        <w:t>N</w:t>
      </w:r>
      <w:r>
        <w:rPr>
          <w:lang w:val="fr-FR"/>
        </w:rPr>
        <w:t>. Ainsi, l’estimation de sortie y, qui est le résultat du mesurage, est donnée par :</w:t>
      </w:r>
    </w:p>
    <w:p w14:paraId="219F4A57" w14:textId="77777777" w:rsidR="00133378" w:rsidRPr="008208C4" w:rsidRDefault="00133378" w:rsidP="00133378">
      <w:pPr>
        <w:keepLines/>
        <w:tabs>
          <w:tab w:val="right" w:pos="8505"/>
        </w:tabs>
        <w:spacing w:after="120"/>
        <w:ind w:left="1134" w:firstLine="567"/>
        <w:jc w:val="both"/>
        <w:rPr>
          <w:bCs/>
        </w:rPr>
      </w:pPr>
      <w:r>
        <w:rPr>
          <w:lang w:val="fr-FR"/>
        </w:rPr>
        <w:t>y = ƒ (x</w:t>
      </w:r>
      <w:r>
        <w:rPr>
          <w:vertAlign w:val="subscript"/>
          <w:lang w:val="fr-FR"/>
        </w:rPr>
        <w:t>1</w:t>
      </w:r>
      <w:r>
        <w:rPr>
          <w:lang w:val="fr-FR"/>
        </w:rPr>
        <w:t>, x</w:t>
      </w:r>
      <w:r>
        <w:rPr>
          <w:vertAlign w:val="subscript"/>
          <w:lang w:val="fr-FR"/>
        </w:rPr>
        <w:t>2</w:t>
      </w:r>
      <w:r>
        <w:rPr>
          <w:lang w:val="fr-FR"/>
        </w:rPr>
        <w:t xml:space="preserve">, …, </w:t>
      </w:r>
      <w:proofErr w:type="spellStart"/>
      <w:r>
        <w:rPr>
          <w:lang w:val="fr-FR"/>
        </w:rPr>
        <w:t>x</w:t>
      </w:r>
      <w:r>
        <w:rPr>
          <w:vertAlign w:val="subscript"/>
          <w:lang w:val="fr-FR"/>
        </w:rPr>
        <w:t>N</w:t>
      </w:r>
      <w:proofErr w:type="spellEnd"/>
      <w:r>
        <w:rPr>
          <w:lang w:val="fr-FR"/>
        </w:rPr>
        <w:t xml:space="preserve">) </w:t>
      </w:r>
      <w:r>
        <w:rPr>
          <w:lang w:val="fr-FR"/>
        </w:rPr>
        <w:tab/>
        <w:t>(3)</w:t>
      </w:r>
    </w:p>
    <w:p w14:paraId="76F3BF72" w14:textId="0F216CDA" w:rsidR="00133378" w:rsidRDefault="00133378" w:rsidP="008A78CB">
      <w:pPr>
        <w:pStyle w:val="SingleTxtG"/>
        <w:spacing w:before="0" w:line="240" w:lineRule="atLeast"/>
        <w:ind w:firstLine="567"/>
        <w:rPr>
          <w:lang w:val="fr-FR"/>
        </w:rPr>
      </w:pPr>
      <w:r>
        <w:rPr>
          <w:lang w:val="fr-FR"/>
        </w:rPr>
        <w:tab/>
        <w:t>Si la grandeur d’entrée peut être inférieure ou supérieure à la valeur vraie et que la probabilité est plus grande lorsqu’elle est plus proche de la valeur vraie que lorsqu’elle en est éloignée, on peut considérer qu’une loi normale (« gaussienne ») est une bonne approximation. La figure 5.1 montre une loi normale, où µ est la valeur moyenne de la variance V de la grandeur et σ est l’écart-type (V = σ</w:t>
      </w:r>
      <w:r>
        <w:rPr>
          <w:vertAlign w:val="superscript"/>
          <w:lang w:val="fr-FR"/>
        </w:rPr>
        <w:t>2</w:t>
      </w:r>
      <w:r>
        <w:rPr>
          <w:lang w:val="fr-FR"/>
        </w:rPr>
        <w:t xml:space="preserve">). </w:t>
      </w:r>
    </w:p>
    <w:p w14:paraId="00048270" w14:textId="77777777" w:rsidR="00133378" w:rsidRPr="008208C4" w:rsidRDefault="00133378" w:rsidP="00133378">
      <w:pPr>
        <w:keepLines/>
        <w:spacing w:after="120"/>
        <w:ind w:left="1134" w:right="1134"/>
        <w:rPr>
          <w:bCs/>
          <w:lang w:val="en-GB"/>
        </w:rPr>
      </w:pPr>
      <w:r>
        <w:rPr>
          <w:noProof/>
        </w:rPr>
        <w:lastRenderedPageBreak/>
        <w:drawing>
          <wp:inline distT="0" distB="0" distL="0" distR="0" wp14:anchorId="4E526CC9" wp14:editId="4B242FC3">
            <wp:extent cx="2581200" cy="1790132"/>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1200" cy="1790132"/>
                    </a:xfrm>
                    <a:prstGeom prst="rect">
                      <a:avLst/>
                    </a:prstGeom>
                  </pic:spPr>
                </pic:pic>
              </a:graphicData>
            </a:graphic>
          </wp:inline>
        </w:drawing>
      </w:r>
    </w:p>
    <w:p w14:paraId="480CA647" w14:textId="77777777" w:rsidR="00133378" w:rsidRPr="003F4C99" w:rsidRDefault="00133378" w:rsidP="00133378">
      <w:pPr>
        <w:pStyle w:val="Titre1"/>
        <w:tabs>
          <w:tab w:val="left" w:pos="1701"/>
          <w:tab w:val="left" w:pos="2268"/>
          <w:tab w:val="left" w:pos="2835"/>
        </w:tabs>
        <w:spacing w:after="120"/>
        <w:rPr>
          <w:b/>
        </w:rPr>
      </w:pPr>
      <w:r>
        <w:rPr>
          <w:lang w:val="fr-FR"/>
        </w:rPr>
        <w:t>Figure 5.1</w:t>
      </w:r>
      <w:r>
        <w:rPr>
          <w:lang w:val="fr-FR"/>
        </w:rPr>
        <w:br/>
      </w:r>
      <w:r>
        <w:rPr>
          <w:b/>
          <w:bCs/>
          <w:lang w:val="fr-FR"/>
        </w:rPr>
        <w:t>Loi normale (« gaussienne »)</w:t>
      </w:r>
    </w:p>
    <w:p w14:paraId="2853D65A" w14:textId="56FBA623" w:rsidR="00133378" w:rsidRPr="008208C4" w:rsidRDefault="00133378" w:rsidP="008A78CB">
      <w:pPr>
        <w:pStyle w:val="SingleTxtG"/>
        <w:spacing w:before="0" w:line="240" w:lineRule="atLeast"/>
        <w:ind w:firstLine="567"/>
        <w:rPr>
          <w:bCs/>
        </w:rPr>
      </w:pPr>
      <w:r>
        <w:rPr>
          <w:lang w:val="fr-FR"/>
        </w:rPr>
        <w:tab/>
        <w:t>Si toutes les valeurs de la grandeur d’entrée ont la même probabilité dans un intervalle donné, la loi est rectangulaire (voir la figure 5.2).</w:t>
      </w:r>
    </w:p>
    <w:p w14:paraId="3352F2E5" w14:textId="77777777" w:rsidR="00133378" w:rsidRPr="008208C4" w:rsidRDefault="00133378" w:rsidP="00133378">
      <w:pPr>
        <w:keepLines/>
        <w:spacing w:after="120"/>
        <w:ind w:left="1134" w:right="1134"/>
        <w:jc w:val="both"/>
        <w:rPr>
          <w:bCs/>
          <w:lang w:val="en-GB"/>
        </w:rPr>
      </w:pPr>
      <w:r w:rsidRPr="008208C4">
        <w:rPr>
          <w:bCs/>
          <w:i/>
          <w:iCs/>
          <w:noProof/>
          <w:sz w:val="18"/>
          <w:szCs w:val="18"/>
        </w:rPr>
        <w:drawing>
          <wp:inline distT="0" distB="0" distL="0" distR="0" wp14:anchorId="46493663" wp14:editId="01B8590C">
            <wp:extent cx="4680000" cy="2789447"/>
            <wp:effectExtent l="0" t="0" r="6350" b="0"/>
            <wp:docPr id="12"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rectangle&#10;&#10;Description automatically generated"/>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680000" cy="2789447"/>
                    </a:xfrm>
                    <a:prstGeom prst="rect">
                      <a:avLst/>
                    </a:prstGeom>
                    <a:noFill/>
                    <a:ln>
                      <a:noFill/>
                    </a:ln>
                  </pic:spPr>
                </pic:pic>
              </a:graphicData>
            </a:graphic>
          </wp:inline>
        </w:drawing>
      </w:r>
    </w:p>
    <w:p w14:paraId="103CF783" w14:textId="77777777" w:rsidR="00133378" w:rsidRPr="008B0450" w:rsidRDefault="00133378" w:rsidP="00133378">
      <w:pPr>
        <w:pStyle w:val="Titre1"/>
        <w:tabs>
          <w:tab w:val="left" w:pos="1701"/>
          <w:tab w:val="left" w:pos="2268"/>
          <w:tab w:val="left" w:pos="2835"/>
        </w:tabs>
        <w:spacing w:after="120"/>
        <w:rPr>
          <w:b/>
        </w:rPr>
      </w:pPr>
      <w:r>
        <w:rPr>
          <w:lang w:val="fr-FR"/>
        </w:rPr>
        <w:t>Figure 5.2</w:t>
      </w:r>
      <w:r>
        <w:rPr>
          <w:lang w:val="fr-FR"/>
        </w:rPr>
        <w:br/>
      </w:r>
      <w:r>
        <w:rPr>
          <w:b/>
          <w:bCs/>
          <w:lang w:val="fr-FR"/>
        </w:rPr>
        <w:t>Loi de probabilité rectangulaire dans l’intervalle défini par a et b</w:t>
      </w:r>
    </w:p>
    <w:p w14:paraId="0DF01889" w14:textId="70FDE308" w:rsidR="00133378" w:rsidRPr="008208C4" w:rsidRDefault="00133378" w:rsidP="008A78CB">
      <w:pPr>
        <w:pStyle w:val="SingleTxtG"/>
        <w:spacing w:before="0" w:line="240" w:lineRule="atLeast"/>
        <w:ind w:firstLine="567"/>
        <w:rPr>
          <w:bCs/>
        </w:rPr>
      </w:pPr>
      <w:r>
        <w:rPr>
          <w:lang w:val="fr-FR"/>
        </w:rPr>
        <w:tab/>
        <w:t>Dans certains cas, la grandeur d’entrée ne peut être que supérieure ou inférieure à une valeur fixe, auquel cas la loi est demi-normale. Parfois, une loi demi-normale peut aussi être une bonne approximation, par exemple s’il est plus probable que la grandeur d’entrée soit proche d’une valeur limite qu’éloignée de celle-ci.</w:t>
      </w:r>
    </w:p>
    <w:p w14:paraId="4EE9FF3C" w14:textId="33460B48" w:rsidR="00133378" w:rsidRPr="008208C4" w:rsidRDefault="00133378" w:rsidP="008A78CB">
      <w:pPr>
        <w:pStyle w:val="SingleTxtG"/>
        <w:spacing w:before="0" w:line="240" w:lineRule="atLeast"/>
        <w:ind w:firstLine="567"/>
        <w:rPr>
          <w:bCs/>
        </w:rPr>
      </w:pPr>
      <w:r>
        <w:rPr>
          <w:lang w:val="fr-FR"/>
        </w:rPr>
        <w:tab/>
        <w:t>La grandeur d’entrée X</w:t>
      </w:r>
      <w:r>
        <w:rPr>
          <w:vertAlign w:val="subscript"/>
          <w:lang w:val="fr-FR"/>
        </w:rPr>
        <w:t>i</w:t>
      </w:r>
      <w:r>
        <w:rPr>
          <w:lang w:val="fr-FR"/>
        </w:rPr>
        <w:t xml:space="preserve"> est estimée sur la base de valeurs d’indication répétées (évaluation de type A de l’incertitude), d’un jugement scientifique ou d’autres informations relatives aux valeurs possibles de la grandeur (évaluation de type B de l’incertitude).</w:t>
      </w:r>
    </w:p>
    <w:p w14:paraId="01F174DF" w14:textId="5CE0B329" w:rsidR="00133378" w:rsidRPr="008208C4" w:rsidRDefault="00133378" w:rsidP="008A78CB">
      <w:pPr>
        <w:pStyle w:val="SingleTxtG"/>
        <w:spacing w:before="0" w:line="240" w:lineRule="atLeast"/>
        <w:ind w:firstLine="567"/>
        <w:rPr>
          <w:bCs/>
        </w:rPr>
      </w:pPr>
      <w:r>
        <w:rPr>
          <w:lang w:val="fr-FR"/>
        </w:rPr>
        <w:tab/>
        <w:t xml:space="preserve">Dans le cadre d’une évaluation de </w:t>
      </w:r>
      <w:r w:rsidRPr="00727F2B">
        <w:rPr>
          <w:u w:val="single"/>
          <w:lang w:val="fr-FR"/>
        </w:rPr>
        <w:t>type A</w:t>
      </w:r>
      <w:r>
        <w:rPr>
          <w:lang w:val="fr-FR"/>
        </w:rPr>
        <w:t xml:space="preserve"> de l’incertitude, on suppose souvent que, lorsqu’on dispose de valeurs d’indication répétées et obtenues indépendamment les unes des autres, la loi qui décrit le mieux une grandeur d’entrée X est une loi gaussienne (fig. 4.1). L’espérance mathématique de X est alors égale à la moyenne des valeurs d’indication répétées et son écart-type est égal à l’écart-type de cette moyenne.</w:t>
      </w:r>
    </w:p>
    <w:p w14:paraId="50BCAB21" w14:textId="77777777" w:rsidR="0055631C" w:rsidRDefault="00133378" w:rsidP="008A78CB">
      <w:pPr>
        <w:pStyle w:val="SingleTxtG"/>
        <w:spacing w:before="0" w:line="240" w:lineRule="atLeast"/>
        <w:ind w:firstLine="567"/>
        <w:rPr>
          <w:bCs/>
        </w:rPr>
      </w:pPr>
      <w:r>
        <w:rPr>
          <w:lang w:val="fr-FR"/>
        </w:rPr>
        <w:tab/>
        <w:t xml:space="preserve">Lorsque l’incertitude est évaluée à partir d’un petit nombre de valeurs d’indication, qui sont considérées comme des exemples d’une grandeur d’indication représentée par une loi gaussienne, la grandeur peut être représentée par une loi de T (ou loi de </w:t>
      </w:r>
      <w:proofErr w:type="spellStart"/>
      <w:r>
        <w:rPr>
          <w:lang w:val="fr-FR"/>
        </w:rPr>
        <w:t>Student</w:t>
      </w:r>
      <w:proofErr w:type="spellEnd"/>
      <w:r>
        <w:rPr>
          <w:lang w:val="fr-FR"/>
        </w:rPr>
        <w:t>). D’autres considérations doivent être prises en compte quand les valeurs d’indication ne sont pas obtenues indépendamment les unes des autres (voir l’annexe G du Guide 98-3).</w:t>
      </w:r>
    </w:p>
    <w:p w14:paraId="5D82A6F6" w14:textId="77777777" w:rsidR="0055631C" w:rsidRDefault="00133378" w:rsidP="008A78CB">
      <w:pPr>
        <w:pStyle w:val="SingleTxtG"/>
        <w:keepLines/>
        <w:spacing w:before="0" w:line="240" w:lineRule="atLeast"/>
        <w:ind w:firstLine="567"/>
        <w:rPr>
          <w:bCs/>
        </w:rPr>
      </w:pPr>
      <w:r>
        <w:rPr>
          <w:lang w:val="fr-FR"/>
        </w:rPr>
        <w:lastRenderedPageBreak/>
        <w:t xml:space="preserve">Dans le cadre d’une évaluation de </w:t>
      </w:r>
      <w:r w:rsidRPr="00727F2B">
        <w:rPr>
          <w:u w:val="single"/>
          <w:lang w:val="fr-FR"/>
        </w:rPr>
        <w:t>type B</w:t>
      </w:r>
      <w:r>
        <w:rPr>
          <w:lang w:val="fr-FR"/>
        </w:rPr>
        <w:t xml:space="preserve"> de l’incertitude, il arrive souvent que la seule information disponible soit que X se trouve dans un intervalle [a, b] défini. En pareil cas, les grandeurs peuvent être représentées par une loi rectangulaire dont les limites sont a et b (fig. 4.2). Si d’autres informations étaient connues, on utiliserait une autre loi de probabilité, qui tiendrait compte de ces informations.</w:t>
      </w:r>
    </w:p>
    <w:p w14:paraId="40CDEBE0" w14:textId="77777777" w:rsidR="0055631C" w:rsidRDefault="00133378" w:rsidP="008A78CB">
      <w:pPr>
        <w:pStyle w:val="SingleTxtG"/>
        <w:spacing w:before="0" w:line="240" w:lineRule="atLeast"/>
        <w:ind w:firstLine="567"/>
        <w:rPr>
          <w:bCs/>
        </w:rPr>
      </w:pPr>
      <w:r>
        <w:rPr>
          <w:lang w:val="fr-FR"/>
        </w:rPr>
        <w:t>Les évaluations de type B de l’incertitude reposent souvent sur des calculs, des travaux empiriques, des opérations d’étalonnage, etc.</w:t>
      </w:r>
    </w:p>
    <w:p w14:paraId="51C2B3A8" w14:textId="6A93BD31" w:rsidR="00133378" w:rsidRPr="008208C4" w:rsidRDefault="00133378" w:rsidP="008A78CB">
      <w:pPr>
        <w:pStyle w:val="SingleTxtG"/>
        <w:spacing w:before="0" w:line="240" w:lineRule="atLeast"/>
        <w:ind w:firstLine="567"/>
        <w:rPr>
          <w:bCs/>
        </w:rPr>
      </w:pPr>
      <w:r>
        <w:rPr>
          <w:lang w:val="fr-FR"/>
        </w:rPr>
        <w:t>La valeur finale est égale à la valeur mesurée à laquelle on ajoute la grandeur d’entrée correspondant au facteur d’incertitude (δ</w:t>
      </w:r>
      <w:r>
        <w:rPr>
          <w:vertAlign w:val="subscript"/>
          <w:lang w:val="fr-FR"/>
        </w:rPr>
        <w:t>1</w:t>
      </w:r>
      <w:r>
        <w:rPr>
          <w:lang w:val="fr-FR"/>
        </w:rPr>
        <w:t xml:space="preserve"> à </w:t>
      </w:r>
      <w:proofErr w:type="spellStart"/>
      <w:r>
        <w:rPr>
          <w:lang w:val="fr-FR"/>
        </w:rPr>
        <w:t>δ</w:t>
      </w:r>
      <w:r>
        <w:rPr>
          <w:vertAlign w:val="subscript"/>
          <w:lang w:val="fr-FR"/>
        </w:rPr>
        <w:t>i</w:t>
      </w:r>
      <w:proofErr w:type="spellEnd"/>
      <w:r>
        <w:rPr>
          <w:lang w:val="fr-FR"/>
        </w:rPr>
        <w:t>) :</w:t>
      </w:r>
    </w:p>
    <w:p w14:paraId="35730E8C" w14:textId="77777777" w:rsidR="00133378" w:rsidRPr="008208C4" w:rsidRDefault="00133378" w:rsidP="00133378">
      <w:pPr>
        <w:keepLines/>
        <w:tabs>
          <w:tab w:val="right" w:pos="8505"/>
        </w:tabs>
        <w:spacing w:after="120"/>
        <w:ind w:left="1134" w:firstLine="567"/>
        <w:jc w:val="both"/>
        <w:rPr>
          <w:bCs/>
        </w:rPr>
      </w:pPr>
      <w:r>
        <w:rPr>
          <w:lang w:val="fr-FR"/>
        </w:rPr>
        <w:t xml:space="preserve"> </w:t>
      </w:r>
      <w:proofErr w:type="spellStart"/>
      <w:r>
        <w:rPr>
          <w:lang w:val="fr-FR"/>
        </w:rPr>
        <w:t>Y</w:t>
      </w:r>
      <w:r>
        <w:rPr>
          <w:vertAlign w:val="subscript"/>
          <w:lang w:val="fr-FR"/>
        </w:rPr>
        <w:t>finale</w:t>
      </w:r>
      <w:proofErr w:type="spellEnd"/>
      <w:r>
        <w:rPr>
          <w:lang w:val="fr-FR"/>
        </w:rPr>
        <w:t xml:space="preserve"> = </w:t>
      </w:r>
      <w:proofErr w:type="spellStart"/>
      <w:r>
        <w:rPr>
          <w:lang w:val="fr-FR"/>
        </w:rPr>
        <w:t>Y</w:t>
      </w:r>
      <w:r>
        <w:rPr>
          <w:vertAlign w:val="subscript"/>
          <w:lang w:val="fr-FR"/>
        </w:rPr>
        <w:t>mesurée</w:t>
      </w:r>
      <w:proofErr w:type="spellEnd"/>
      <w:r>
        <w:rPr>
          <w:lang w:val="fr-FR"/>
        </w:rPr>
        <w:t xml:space="preserve"> + δ</w:t>
      </w:r>
      <w:r>
        <w:rPr>
          <w:vertAlign w:val="subscript"/>
          <w:lang w:val="fr-FR"/>
        </w:rPr>
        <w:t>1</w:t>
      </w:r>
      <w:r>
        <w:rPr>
          <w:lang w:val="fr-FR"/>
        </w:rPr>
        <w:t xml:space="preserve"> + δ</w:t>
      </w:r>
      <w:r>
        <w:rPr>
          <w:vertAlign w:val="subscript"/>
          <w:lang w:val="fr-FR"/>
        </w:rPr>
        <w:t>2</w:t>
      </w:r>
      <w:r>
        <w:rPr>
          <w:lang w:val="fr-FR"/>
        </w:rPr>
        <w:t xml:space="preserve"> + δ</w:t>
      </w:r>
      <w:r>
        <w:rPr>
          <w:vertAlign w:val="subscript"/>
          <w:lang w:val="fr-FR"/>
        </w:rPr>
        <w:t>3</w:t>
      </w:r>
      <w:r>
        <w:rPr>
          <w:lang w:val="fr-FR"/>
        </w:rPr>
        <w:t xml:space="preserve"> + δ</w:t>
      </w:r>
      <w:r>
        <w:rPr>
          <w:vertAlign w:val="subscript"/>
          <w:lang w:val="fr-FR"/>
        </w:rPr>
        <w:t>4</w:t>
      </w:r>
      <w:r>
        <w:rPr>
          <w:lang w:val="fr-FR"/>
        </w:rPr>
        <w:t xml:space="preserve"> + ·········· + </w:t>
      </w:r>
      <w:proofErr w:type="spellStart"/>
      <w:r>
        <w:rPr>
          <w:lang w:val="fr-FR"/>
        </w:rPr>
        <w:t>δ</w:t>
      </w:r>
      <w:r>
        <w:rPr>
          <w:vertAlign w:val="subscript"/>
          <w:lang w:val="fr-FR"/>
        </w:rPr>
        <w:t>i</w:t>
      </w:r>
      <w:proofErr w:type="spellEnd"/>
      <w:r>
        <w:rPr>
          <w:lang w:val="fr-FR"/>
        </w:rPr>
        <w:t xml:space="preserve"> </w:t>
      </w:r>
      <w:r>
        <w:rPr>
          <w:lang w:val="fr-FR"/>
        </w:rPr>
        <w:tab/>
        <w:t>(4)</w:t>
      </w:r>
    </w:p>
    <w:p w14:paraId="1A01D486" w14:textId="75357C3C" w:rsidR="00133378" w:rsidRPr="008208C4" w:rsidRDefault="00133378" w:rsidP="008A78CB">
      <w:pPr>
        <w:pStyle w:val="SingleTxtG"/>
        <w:spacing w:before="0" w:line="240" w:lineRule="atLeast"/>
        <w:ind w:firstLine="567"/>
        <w:rPr>
          <w:bCs/>
        </w:rPr>
      </w:pPr>
      <w:r>
        <w:rPr>
          <w:lang w:val="fr-FR"/>
        </w:rPr>
        <w:t xml:space="preserve">L’effet de l’incertitude liée à la grandeur d’entrée </w:t>
      </w:r>
      <w:proofErr w:type="spellStart"/>
      <w:r>
        <w:rPr>
          <w:lang w:val="fr-FR"/>
        </w:rPr>
        <w:t>δ</w:t>
      </w:r>
      <w:r>
        <w:rPr>
          <w:vertAlign w:val="subscript"/>
          <w:lang w:val="fr-FR"/>
        </w:rPr>
        <w:t>i</w:t>
      </w:r>
      <w:proofErr w:type="spellEnd"/>
      <w:r>
        <w:rPr>
          <w:lang w:val="fr-FR"/>
        </w:rPr>
        <w:t xml:space="preserve"> sur le mesurande est égal à c</w:t>
      </w:r>
      <w:r>
        <w:rPr>
          <w:vertAlign w:val="subscript"/>
          <w:lang w:val="fr-FR"/>
        </w:rPr>
        <w:t>i</w:t>
      </w:r>
      <w:r>
        <w:rPr>
          <w:lang w:val="fr-FR"/>
        </w:rPr>
        <w:t> µ</w:t>
      </w:r>
      <w:r>
        <w:rPr>
          <w:vertAlign w:val="subscript"/>
          <w:lang w:val="fr-FR"/>
        </w:rPr>
        <w:t>i</w:t>
      </w:r>
      <w:r>
        <w:rPr>
          <w:lang w:val="fr-FR"/>
        </w:rPr>
        <w:t>, où c</w:t>
      </w:r>
      <w:r>
        <w:rPr>
          <w:vertAlign w:val="subscript"/>
          <w:lang w:val="fr-FR"/>
        </w:rPr>
        <w:t>i</w:t>
      </w:r>
      <w:r>
        <w:rPr>
          <w:lang w:val="fr-FR"/>
        </w:rPr>
        <w:t xml:space="preserve"> est le coefficient de sensibilité et µ</w:t>
      </w:r>
      <w:r>
        <w:rPr>
          <w:vertAlign w:val="subscript"/>
          <w:lang w:val="fr-FR"/>
        </w:rPr>
        <w:t>i</w:t>
      </w:r>
      <w:r>
        <w:rPr>
          <w:lang w:val="fr-FR"/>
        </w:rPr>
        <w:t xml:space="preserve"> est l’incertitude.</w:t>
      </w:r>
      <w:bookmarkStart w:id="14" w:name="_Hlk33613142"/>
      <w:bookmarkEnd w:id="14"/>
    </w:p>
    <w:p w14:paraId="5342CCFB" w14:textId="1FEC1338" w:rsidR="00133378" w:rsidRPr="008208C4" w:rsidRDefault="00133378" w:rsidP="008A78CB">
      <w:pPr>
        <w:pStyle w:val="SingleTxtG"/>
        <w:spacing w:before="0" w:line="240" w:lineRule="atLeast"/>
        <w:ind w:firstLine="567"/>
        <w:rPr>
          <w:bCs/>
        </w:rPr>
      </w:pPr>
      <w:r>
        <w:rPr>
          <w:lang w:val="fr-FR"/>
        </w:rPr>
        <w:tab/>
        <w:t>Les coefficients de sensibilité c</w:t>
      </w:r>
      <w:r>
        <w:rPr>
          <w:vertAlign w:val="subscript"/>
          <w:lang w:val="fr-FR"/>
        </w:rPr>
        <w:t>1</w:t>
      </w:r>
      <w:r>
        <w:rPr>
          <w:lang w:val="fr-FR"/>
        </w:rPr>
        <w:t>……</w:t>
      </w:r>
      <w:proofErr w:type="spellStart"/>
      <w:r>
        <w:rPr>
          <w:lang w:val="fr-FR"/>
        </w:rPr>
        <w:t>c</w:t>
      </w:r>
      <w:r>
        <w:rPr>
          <w:vertAlign w:val="subscript"/>
          <w:lang w:val="fr-FR"/>
        </w:rPr>
        <w:t>N</w:t>
      </w:r>
      <w:proofErr w:type="spellEnd"/>
      <w:r>
        <w:rPr>
          <w:lang w:val="fr-FR"/>
        </w:rPr>
        <w:t xml:space="preserve"> décrivent la façon dont l’estimation y de Y est influencée par de légères variations des estimations x</w:t>
      </w:r>
      <w:r>
        <w:rPr>
          <w:vertAlign w:val="subscript"/>
          <w:lang w:val="fr-FR"/>
        </w:rPr>
        <w:t>1</w:t>
      </w:r>
      <w:r>
        <w:rPr>
          <w:lang w:val="fr-FR"/>
        </w:rPr>
        <w:t>…..</w:t>
      </w:r>
      <w:proofErr w:type="spellStart"/>
      <w:r>
        <w:rPr>
          <w:lang w:val="fr-FR"/>
        </w:rPr>
        <w:t>x</w:t>
      </w:r>
      <w:r>
        <w:rPr>
          <w:vertAlign w:val="subscript"/>
          <w:lang w:val="fr-FR"/>
        </w:rPr>
        <w:t>N</w:t>
      </w:r>
      <w:proofErr w:type="spellEnd"/>
      <w:r>
        <w:rPr>
          <w:lang w:val="fr-FR"/>
        </w:rPr>
        <w:t xml:space="preserve"> des grandeurs d’entrée X</w:t>
      </w:r>
      <w:r>
        <w:rPr>
          <w:vertAlign w:val="subscript"/>
          <w:lang w:val="fr-FR"/>
        </w:rPr>
        <w:t>1</w:t>
      </w:r>
      <w:r>
        <w:rPr>
          <w:lang w:val="fr-FR"/>
        </w:rPr>
        <w:t>……X</w:t>
      </w:r>
      <w:r>
        <w:rPr>
          <w:vertAlign w:val="subscript"/>
          <w:lang w:val="fr-FR"/>
        </w:rPr>
        <w:t>N</w:t>
      </w:r>
      <w:r>
        <w:rPr>
          <w:lang w:val="fr-FR"/>
        </w:rPr>
        <w:t>. Pour la fonction de mesure (1), c</w:t>
      </w:r>
      <w:r>
        <w:rPr>
          <w:vertAlign w:val="subscript"/>
          <w:lang w:val="fr-FR"/>
        </w:rPr>
        <w:t>i</w:t>
      </w:r>
      <w:r>
        <w:rPr>
          <w:lang w:val="fr-FR"/>
        </w:rPr>
        <w:t xml:space="preserve"> est égal à la dérivée partielle du premier ordre de la fonction </w:t>
      </w:r>
      <w:r>
        <w:rPr>
          <w:i/>
          <w:iCs/>
          <w:lang w:val="fr-FR"/>
        </w:rPr>
        <w:t>f</w:t>
      </w:r>
      <w:r>
        <w:rPr>
          <w:lang w:val="fr-FR"/>
        </w:rPr>
        <w:t xml:space="preserve"> par rapport à X</w:t>
      </w:r>
      <w:r>
        <w:rPr>
          <w:vertAlign w:val="subscript"/>
          <w:lang w:val="fr-FR"/>
        </w:rPr>
        <w:t>i</w:t>
      </w:r>
      <w:r>
        <w:rPr>
          <w:lang w:val="fr-FR"/>
        </w:rPr>
        <w:t>, avec X</w:t>
      </w:r>
      <w:r>
        <w:rPr>
          <w:vertAlign w:val="subscript"/>
          <w:lang w:val="fr-FR"/>
        </w:rPr>
        <w:t>1</w:t>
      </w:r>
      <w:r>
        <w:rPr>
          <w:lang w:val="fr-FR"/>
        </w:rPr>
        <w:t xml:space="preserve"> = x</w:t>
      </w:r>
      <w:r>
        <w:rPr>
          <w:vertAlign w:val="subscript"/>
          <w:lang w:val="fr-FR"/>
        </w:rPr>
        <w:t>1</w:t>
      </w:r>
      <w:r>
        <w:rPr>
          <w:lang w:val="fr-FR"/>
        </w:rPr>
        <w:t>, X</w:t>
      </w:r>
      <w:r>
        <w:rPr>
          <w:vertAlign w:val="subscript"/>
          <w:lang w:val="fr-FR"/>
        </w:rPr>
        <w:t>2</w:t>
      </w:r>
      <w:r>
        <w:rPr>
          <w:lang w:val="fr-FR"/>
        </w:rPr>
        <w:t xml:space="preserve"> = x</w:t>
      </w:r>
      <w:r>
        <w:rPr>
          <w:vertAlign w:val="subscript"/>
          <w:lang w:val="fr-FR"/>
        </w:rPr>
        <w:t>2</w:t>
      </w:r>
      <w:r>
        <w:rPr>
          <w:lang w:val="fr-FR"/>
        </w:rPr>
        <w:t>, etc. Pour la fonction linéaire de mesure</w:t>
      </w:r>
    </w:p>
    <w:p w14:paraId="44BE8AC8" w14:textId="77777777" w:rsidR="00133378" w:rsidRPr="008208C4" w:rsidRDefault="00133378" w:rsidP="00133378">
      <w:pPr>
        <w:keepLines/>
        <w:tabs>
          <w:tab w:val="right" w:pos="8505"/>
        </w:tabs>
        <w:spacing w:after="120"/>
        <w:ind w:left="1134" w:firstLine="567"/>
        <w:jc w:val="both"/>
        <w:rPr>
          <w:bCs/>
        </w:rPr>
      </w:pPr>
      <w:r>
        <w:rPr>
          <w:lang w:val="fr-FR"/>
        </w:rPr>
        <w:t>Y = c</w:t>
      </w:r>
      <w:r>
        <w:rPr>
          <w:vertAlign w:val="subscript"/>
          <w:lang w:val="fr-FR"/>
        </w:rPr>
        <w:t>1</w:t>
      </w:r>
      <w:r>
        <w:rPr>
          <w:lang w:val="fr-FR"/>
        </w:rPr>
        <w:t>X</w:t>
      </w:r>
      <w:r>
        <w:rPr>
          <w:vertAlign w:val="subscript"/>
          <w:lang w:val="fr-FR"/>
        </w:rPr>
        <w:t>1</w:t>
      </w:r>
      <w:r>
        <w:rPr>
          <w:lang w:val="fr-FR"/>
        </w:rPr>
        <w:t xml:space="preserve"> +………. + </w:t>
      </w:r>
      <w:proofErr w:type="spellStart"/>
      <w:r>
        <w:rPr>
          <w:lang w:val="fr-FR"/>
        </w:rPr>
        <w:t>c</w:t>
      </w:r>
      <w:r>
        <w:rPr>
          <w:vertAlign w:val="subscript"/>
          <w:lang w:val="fr-FR"/>
        </w:rPr>
        <w:t>N</w:t>
      </w:r>
      <w:r>
        <w:rPr>
          <w:lang w:val="fr-FR"/>
        </w:rPr>
        <w:t>X</w:t>
      </w:r>
      <w:r>
        <w:rPr>
          <w:vertAlign w:val="subscript"/>
          <w:lang w:val="fr-FR"/>
        </w:rPr>
        <w:t>N</w:t>
      </w:r>
      <w:proofErr w:type="spellEnd"/>
      <w:r>
        <w:rPr>
          <w:lang w:val="fr-FR"/>
        </w:rPr>
        <w:t xml:space="preserve">   </w:t>
      </w:r>
      <w:r>
        <w:rPr>
          <w:lang w:val="fr-FR"/>
        </w:rPr>
        <w:tab/>
        <w:t>(5)</w:t>
      </w:r>
    </w:p>
    <w:p w14:paraId="5CDEED13" w14:textId="77777777" w:rsidR="00133378" w:rsidRPr="008208C4" w:rsidRDefault="00133378" w:rsidP="008A78CB">
      <w:pPr>
        <w:pStyle w:val="SingleTxtG"/>
        <w:spacing w:before="0" w:line="240" w:lineRule="atLeast"/>
        <w:rPr>
          <w:bCs/>
        </w:rPr>
      </w:pPr>
      <w:r>
        <w:rPr>
          <w:lang w:val="fr-FR"/>
        </w:rPr>
        <w:t>où les grandeurs X</w:t>
      </w:r>
      <w:r>
        <w:rPr>
          <w:vertAlign w:val="subscript"/>
          <w:lang w:val="fr-FR"/>
        </w:rPr>
        <w:t>1</w:t>
      </w:r>
      <w:r>
        <w:rPr>
          <w:lang w:val="fr-FR"/>
        </w:rPr>
        <w:t>…… X</w:t>
      </w:r>
      <w:r>
        <w:rPr>
          <w:vertAlign w:val="subscript"/>
          <w:lang w:val="fr-FR"/>
        </w:rPr>
        <w:t>N</w:t>
      </w:r>
      <w:r>
        <w:rPr>
          <w:lang w:val="fr-FR"/>
        </w:rPr>
        <w:t xml:space="preserve"> sont indépendantes, une variation µ</w:t>
      </w:r>
      <w:r>
        <w:rPr>
          <w:vertAlign w:val="subscript"/>
          <w:lang w:val="fr-FR"/>
        </w:rPr>
        <w:t>i</w:t>
      </w:r>
      <w:r>
        <w:rPr>
          <w:lang w:val="fr-FR"/>
        </w:rPr>
        <w:t>(x</w:t>
      </w:r>
      <w:r>
        <w:rPr>
          <w:vertAlign w:val="subscript"/>
          <w:lang w:val="fr-FR"/>
        </w:rPr>
        <w:t>i</w:t>
      </w:r>
      <w:r>
        <w:rPr>
          <w:lang w:val="fr-FR"/>
        </w:rPr>
        <w:t>) de x</w:t>
      </w:r>
      <w:r>
        <w:rPr>
          <w:vertAlign w:val="subscript"/>
          <w:lang w:val="fr-FR"/>
        </w:rPr>
        <w:t>i</w:t>
      </w:r>
      <w:r>
        <w:rPr>
          <w:lang w:val="fr-FR"/>
        </w:rPr>
        <w:t xml:space="preserve"> entraînerait une variation c</w:t>
      </w:r>
      <w:r>
        <w:rPr>
          <w:vertAlign w:val="subscript"/>
          <w:lang w:val="fr-FR"/>
        </w:rPr>
        <w:t>i</w:t>
      </w:r>
      <w:r>
        <w:rPr>
          <w:lang w:val="fr-FR"/>
        </w:rPr>
        <w:t xml:space="preserve"> µ</w:t>
      </w:r>
      <w:r>
        <w:rPr>
          <w:vertAlign w:val="subscript"/>
          <w:lang w:val="fr-FR"/>
        </w:rPr>
        <w:t>i</w:t>
      </w:r>
      <w:r>
        <w:rPr>
          <w:lang w:val="fr-FR"/>
        </w:rPr>
        <w:t>(x</w:t>
      </w:r>
      <w:r>
        <w:rPr>
          <w:vertAlign w:val="subscript"/>
          <w:lang w:val="fr-FR"/>
        </w:rPr>
        <w:t>i</w:t>
      </w:r>
      <w:r>
        <w:rPr>
          <w:lang w:val="fr-FR"/>
        </w:rPr>
        <w:t>) de y.</w:t>
      </w:r>
    </w:p>
    <w:p w14:paraId="2E176855" w14:textId="77777777" w:rsidR="0055631C" w:rsidRDefault="00133378" w:rsidP="008A78CB">
      <w:pPr>
        <w:pStyle w:val="SingleTxtG"/>
        <w:spacing w:before="0" w:line="240" w:lineRule="atLeast"/>
        <w:ind w:firstLine="567"/>
        <w:rPr>
          <w:bCs/>
          <w:lang w:val="fr-FR"/>
        </w:rPr>
      </w:pPr>
      <w:r>
        <w:rPr>
          <w:lang w:val="fr-FR"/>
        </w:rPr>
        <w:tab/>
        <w:t>Cette expression est généralement une approximation des fonctions (1) et (2). Il est utile de connaître les ordres de grandeur relatifs des termes |c</w:t>
      </w:r>
      <w:r>
        <w:rPr>
          <w:vertAlign w:val="subscript"/>
          <w:lang w:val="fr-FR"/>
        </w:rPr>
        <w:t>i</w:t>
      </w:r>
      <w:r>
        <w:rPr>
          <w:lang w:val="fr-FR"/>
        </w:rPr>
        <w:t>| µ</w:t>
      </w:r>
      <w:r>
        <w:rPr>
          <w:vertAlign w:val="subscript"/>
          <w:lang w:val="fr-FR"/>
        </w:rPr>
        <w:t>i</w:t>
      </w:r>
      <w:r>
        <w:rPr>
          <w:lang w:val="fr-FR"/>
        </w:rPr>
        <w:t>(x</w:t>
      </w:r>
      <w:r>
        <w:rPr>
          <w:vertAlign w:val="subscript"/>
          <w:lang w:val="fr-FR"/>
        </w:rPr>
        <w:t>i</w:t>
      </w:r>
      <w:r>
        <w:rPr>
          <w:lang w:val="fr-FR"/>
        </w:rPr>
        <w:t>) pour évaluer les contributions respectives des grandeurs d’entrée à l’incertitude-type µ(y) de y.</w:t>
      </w:r>
    </w:p>
    <w:p w14:paraId="02F47159" w14:textId="77777777" w:rsidR="0055631C" w:rsidRDefault="00133378" w:rsidP="008A78CB">
      <w:pPr>
        <w:pStyle w:val="SingleTxtG"/>
        <w:spacing w:before="0" w:line="240" w:lineRule="atLeast"/>
        <w:ind w:firstLine="567"/>
        <w:rPr>
          <w:bCs/>
        </w:rPr>
      </w:pPr>
      <w:r>
        <w:rPr>
          <w:lang w:val="fr-FR"/>
        </w:rPr>
        <w:t>Les coefficients de sensibilité montrent comment les variables de la fonction (3) influenceront la valeur de y.</w:t>
      </w:r>
    </w:p>
    <w:p w14:paraId="1FCA73A6" w14:textId="77777777" w:rsidR="0055631C" w:rsidRDefault="00133378" w:rsidP="008A78CB">
      <w:pPr>
        <w:pStyle w:val="SingleTxtG"/>
        <w:spacing w:before="0" w:line="240" w:lineRule="atLeast"/>
        <w:ind w:firstLine="567"/>
        <w:rPr>
          <w:bCs/>
        </w:rPr>
      </w:pPr>
      <w:r>
        <w:rPr>
          <w:lang w:val="fr-FR"/>
        </w:rPr>
        <w:t xml:space="preserve">Ces coefficients servent de multiplicateurs et permettent de convertir les composantes de l’incertitude pour les exprimer dans les bonnes unités et les bons ordres de grandeur aux fins de l’analyse de l’incertitude. </w:t>
      </w:r>
    </w:p>
    <w:p w14:paraId="13651A10" w14:textId="77777777" w:rsidR="0055631C" w:rsidRDefault="00133378" w:rsidP="008A78CB">
      <w:pPr>
        <w:pStyle w:val="SingleTxtG"/>
        <w:spacing w:before="0" w:line="240" w:lineRule="atLeast"/>
        <w:ind w:firstLine="567"/>
        <w:rPr>
          <w:bCs/>
        </w:rPr>
      </w:pPr>
      <w:r>
        <w:rPr>
          <w:lang w:val="fr-FR"/>
        </w:rPr>
        <w:t>S’il n’est pas nécessaire d’avoir un coefficient de sensibilité, par exemple dans le cas où les grandeurs d’entrée ou les composantes de l’incertitude ont toutes la même unité de mesure, la valeur de ce coefficient peut être fixée à 1.</w:t>
      </w:r>
    </w:p>
    <w:p w14:paraId="5DA4869F" w14:textId="4F268264" w:rsidR="00133378" w:rsidRPr="008208C4" w:rsidRDefault="00133378" w:rsidP="008A78CB">
      <w:pPr>
        <w:pStyle w:val="SingleTxtG"/>
        <w:spacing w:before="0" w:line="240" w:lineRule="atLeast"/>
        <w:ind w:firstLine="567"/>
        <w:rPr>
          <w:bCs/>
        </w:rPr>
      </w:pPr>
      <w:r>
        <w:rPr>
          <w:lang w:val="fr-FR"/>
        </w:rPr>
        <w:t>L’incertitude-type composée µ</w:t>
      </w:r>
      <w:r>
        <w:rPr>
          <w:vertAlign w:val="subscript"/>
          <w:lang w:val="fr-FR"/>
        </w:rPr>
        <w:t>c</w:t>
      </w:r>
      <w:r>
        <w:rPr>
          <w:lang w:val="fr-FR"/>
        </w:rPr>
        <w:t>(y) sera alors égale à la racine carrée de la somme des variances :</w:t>
      </w:r>
    </w:p>
    <w:p w14:paraId="0BCD69C4" w14:textId="77777777" w:rsidR="00133378" w:rsidRPr="008208C4" w:rsidRDefault="00133378" w:rsidP="00133378">
      <w:pPr>
        <w:keepLines/>
        <w:tabs>
          <w:tab w:val="right" w:pos="8505"/>
        </w:tabs>
        <w:spacing w:after="120"/>
        <w:ind w:left="1134" w:firstLine="567"/>
        <w:jc w:val="both"/>
        <w:rPr>
          <w:bCs/>
        </w:rPr>
      </w:pPr>
      <w:r>
        <w:rPr>
          <w:lang w:val="fr-FR"/>
        </w:rPr>
        <w:t>µ</w:t>
      </w:r>
      <w:r>
        <w:rPr>
          <w:vertAlign w:val="subscript"/>
          <w:lang w:val="fr-FR"/>
        </w:rPr>
        <w:t>c</w:t>
      </w:r>
      <w:r>
        <w:rPr>
          <w:lang w:val="fr-FR"/>
        </w:rPr>
        <w:t>(y) = √∑µ</w:t>
      </w:r>
      <w:r>
        <w:rPr>
          <w:vertAlign w:val="superscript"/>
          <w:lang w:val="fr-FR"/>
        </w:rPr>
        <w:t>2</w:t>
      </w:r>
      <w:r>
        <w:rPr>
          <w:lang w:val="fr-FR"/>
        </w:rPr>
        <w:t xml:space="preserve"> </w:t>
      </w:r>
      <w:r>
        <w:rPr>
          <w:lang w:val="fr-FR"/>
        </w:rPr>
        <w:tab/>
        <w:t>(6)</w:t>
      </w:r>
    </w:p>
    <w:p w14:paraId="625F3C2C" w14:textId="77214F0B" w:rsidR="00133378" w:rsidRPr="008208C4" w:rsidRDefault="00133378" w:rsidP="008A78CB">
      <w:pPr>
        <w:pStyle w:val="SingleTxtG"/>
        <w:spacing w:before="0" w:line="240" w:lineRule="atLeast"/>
        <w:ind w:firstLine="567"/>
        <w:rPr>
          <w:bCs/>
        </w:rPr>
      </w:pPr>
      <w:r>
        <w:rPr>
          <w:lang w:val="fr-FR"/>
        </w:rPr>
        <w:tab/>
        <w:t>L’incertitude-type composée correspond à l’écart-type du mesurande.</w:t>
      </w:r>
    </w:p>
    <w:p w14:paraId="7A94581F" w14:textId="53E24198" w:rsidR="00133378" w:rsidRPr="008208C4" w:rsidRDefault="00133378" w:rsidP="008A78CB">
      <w:pPr>
        <w:pStyle w:val="SingleTxtG"/>
        <w:spacing w:before="0" w:line="240" w:lineRule="atLeast"/>
        <w:ind w:firstLine="567"/>
        <w:rPr>
          <w:bCs/>
        </w:rPr>
      </w:pPr>
      <w:r>
        <w:rPr>
          <w:lang w:val="fr-FR"/>
        </w:rPr>
        <w:tab/>
        <w:t>L’incertitude-type élargie U est obtenue en multipliant l’incertitude-type composée µ</w:t>
      </w:r>
      <w:r>
        <w:rPr>
          <w:vertAlign w:val="subscript"/>
          <w:lang w:val="fr-FR"/>
        </w:rPr>
        <w:t>c</w:t>
      </w:r>
      <w:r>
        <w:rPr>
          <w:lang w:val="fr-FR"/>
        </w:rPr>
        <w:t xml:space="preserve">(y) par un facteur d’élargissement k, qui dépend de la probabilité choisie :  </w:t>
      </w:r>
    </w:p>
    <w:p w14:paraId="28058BEF" w14:textId="77777777" w:rsidR="00133378" w:rsidRPr="008208C4" w:rsidRDefault="00133378" w:rsidP="00133378">
      <w:pPr>
        <w:keepLines/>
        <w:tabs>
          <w:tab w:val="right" w:pos="8505"/>
        </w:tabs>
        <w:spacing w:after="120"/>
        <w:ind w:left="1134" w:firstLine="567"/>
        <w:jc w:val="both"/>
        <w:rPr>
          <w:bCs/>
        </w:rPr>
      </w:pPr>
      <w:r>
        <w:rPr>
          <w:lang w:val="fr-FR"/>
        </w:rPr>
        <w:t>U = k· µ</w:t>
      </w:r>
      <w:r>
        <w:rPr>
          <w:vertAlign w:val="subscript"/>
          <w:lang w:val="fr-FR"/>
        </w:rPr>
        <w:t>c</w:t>
      </w:r>
      <w:r>
        <w:rPr>
          <w:lang w:val="fr-FR"/>
        </w:rPr>
        <w:t xml:space="preserve">(y) </w:t>
      </w:r>
      <w:r>
        <w:rPr>
          <w:lang w:val="fr-FR"/>
        </w:rPr>
        <w:tab/>
        <w:t>(7)</w:t>
      </w:r>
    </w:p>
    <w:p w14:paraId="77D60E3D" w14:textId="29FB53F0" w:rsidR="00133378" w:rsidRPr="008208C4" w:rsidRDefault="00133378" w:rsidP="008A78CB">
      <w:pPr>
        <w:pStyle w:val="SingleTxtG"/>
        <w:spacing w:before="0" w:line="240" w:lineRule="atLeast"/>
        <w:ind w:firstLine="567"/>
        <w:rPr>
          <w:bCs/>
        </w:rPr>
      </w:pPr>
      <w:r>
        <w:rPr>
          <w:lang w:val="fr-FR"/>
        </w:rPr>
        <w:tab/>
        <w:t xml:space="preserve">Le facteur d’élargissement peut être défini de telle sorte que le résultat U corresponde à la largeur d’un certain intervalle de confiance (bien que, d’après le Guide 98-3, ce ne soit pas tout à fait correct sur le plan statistique). </w:t>
      </w:r>
    </w:p>
    <w:p w14:paraId="69ED1FC3" w14:textId="29CFF15C" w:rsidR="00133378" w:rsidRPr="008208C4" w:rsidRDefault="00133378" w:rsidP="008A78CB">
      <w:pPr>
        <w:pStyle w:val="SingleTxtG"/>
        <w:spacing w:before="0" w:line="240" w:lineRule="atLeast"/>
        <w:ind w:firstLine="567"/>
        <w:rPr>
          <w:bCs/>
        </w:rPr>
      </w:pPr>
      <w:r>
        <w:rPr>
          <w:lang w:val="fr-FR"/>
        </w:rPr>
        <w:tab/>
        <w:t xml:space="preserve">Normalement, le facteur k se situe entre les valeurs 2 et 3, qui correspondent respectivement à des niveaux de confiance de 95 % et de 99 % environ. Il peut toutefois être inférieur à 2 dans certains cas. </w:t>
      </w:r>
    </w:p>
    <w:p w14:paraId="48E8615E" w14:textId="40F242A6" w:rsidR="00133378" w:rsidRPr="008208C4" w:rsidRDefault="00133378" w:rsidP="008A78CB">
      <w:pPr>
        <w:pStyle w:val="SingleTxtG"/>
        <w:spacing w:before="0" w:line="240" w:lineRule="atLeast"/>
        <w:ind w:firstLine="567"/>
        <w:rPr>
          <w:bCs/>
        </w:rPr>
      </w:pPr>
      <w:r>
        <w:rPr>
          <w:lang w:val="fr-FR"/>
        </w:rPr>
        <w:tab/>
        <w:t>Le résultat du mesurage est alors commodément donné par :</w:t>
      </w:r>
    </w:p>
    <w:p w14:paraId="15EC31B6" w14:textId="77777777" w:rsidR="00133378" w:rsidRPr="008208C4" w:rsidRDefault="00133378" w:rsidP="00133378">
      <w:pPr>
        <w:keepLines/>
        <w:tabs>
          <w:tab w:val="right" w:pos="8505"/>
        </w:tabs>
        <w:spacing w:after="120"/>
        <w:ind w:left="1134" w:right="1134" w:firstLine="567"/>
        <w:jc w:val="both"/>
        <w:rPr>
          <w:bCs/>
        </w:rPr>
      </w:pPr>
      <w:r>
        <w:rPr>
          <w:lang w:val="fr-FR"/>
        </w:rPr>
        <w:t xml:space="preserve">Y = y </w:t>
      </w:r>
      <w:r>
        <w:rPr>
          <w:lang w:val="fr-FR"/>
        </w:rPr>
        <w:sym w:font="Symbol" w:char="F0B1"/>
      </w:r>
      <w:r>
        <w:rPr>
          <w:lang w:val="fr-FR"/>
        </w:rPr>
        <w:t xml:space="preserve"> U</w:t>
      </w:r>
      <w:r>
        <w:rPr>
          <w:lang w:val="fr-FR"/>
        </w:rPr>
        <w:tab/>
        <w:t>(8)</w:t>
      </w:r>
    </w:p>
    <w:p w14:paraId="213BCF70" w14:textId="75708E65" w:rsidR="00133378" w:rsidRPr="008208C4" w:rsidRDefault="00133378" w:rsidP="008A78CB">
      <w:pPr>
        <w:pStyle w:val="SingleTxtG"/>
        <w:spacing w:before="0" w:line="240" w:lineRule="atLeast"/>
        <w:ind w:firstLine="567"/>
        <w:rPr>
          <w:bCs/>
        </w:rPr>
      </w:pPr>
      <w:r>
        <w:rPr>
          <w:lang w:val="fr-FR"/>
        </w:rPr>
        <w:tab/>
        <w:t>Pour des raisons pratiques, il convient d’établir un budget d’incertitude sous la forme d’un tableau dans lequel sont définies toutes les grandeurs utiles. Le tableau 5.1 est un exemple de budget d’incertitude tiré d’une norme ISO sur la mesure du niveau de pression acoustique des véhicules à l’arrêt</w:t>
      </w:r>
      <w:r w:rsidRPr="003D6013">
        <w:rPr>
          <w:sz w:val="18"/>
          <w:szCs w:val="18"/>
          <w:vertAlign w:val="superscript"/>
          <w:lang w:val="fr-FR"/>
        </w:rPr>
        <w:t>5</w:t>
      </w:r>
      <w:r>
        <w:rPr>
          <w:lang w:val="fr-FR"/>
        </w:rPr>
        <w:t>.</w:t>
      </w:r>
    </w:p>
    <w:p w14:paraId="0E91B7A2" w14:textId="77777777" w:rsidR="00133378" w:rsidRPr="0060407D" w:rsidRDefault="00133378" w:rsidP="00133378">
      <w:pPr>
        <w:pStyle w:val="Titre1"/>
        <w:tabs>
          <w:tab w:val="left" w:pos="1701"/>
          <w:tab w:val="left" w:pos="2268"/>
          <w:tab w:val="left" w:pos="2835"/>
        </w:tabs>
        <w:spacing w:after="120"/>
        <w:rPr>
          <w:b/>
        </w:rPr>
      </w:pPr>
      <w:r>
        <w:rPr>
          <w:lang w:val="fr-FR"/>
        </w:rPr>
        <w:lastRenderedPageBreak/>
        <w:t>Tableau 5.1</w:t>
      </w:r>
      <w:r>
        <w:rPr>
          <w:lang w:val="fr-FR"/>
        </w:rPr>
        <w:br/>
      </w:r>
      <w:r>
        <w:rPr>
          <w:b/>
          <w:bCs/>
          <w:lang w:val="fr-FR"/>
        </w:rPr>
        <w:t>Détermination du niveau de pression acoustique : budget d’incertitude</w:t>
      </w:r>
      <w:r w:rsidRPr="0060407D">
        <w:rPr>
          <w:b/>
          <w:vertAlign w:val="superscript"/>
        </w:rPr>
        <w:t>5</w:t>
      </w:r>
    </w:p>
    <w:tbl>
      <w:tblPr>
        <w:tblStyle w:val="Tabellenraster1"/>
        <w:tblW w:w="7370" w:type="dxa"/>
        <w:tblInd w:w="1134" w:type="dxa"/>
        <w:tblLayout w:type="fixed"/>
        <w:tblCellMar>
          <w:left w:w="0" w:type="dxa"/>
          <w:right w:w="0" w:type="dxa"/>
        </w:tblCellMar>
        <w:tblLook w:val="04A0" w:firstRow="1" w:lastRow="0" w:firstColumn="1" w:lastColumn="0" w:noHBand="0" w:noVBand="1"/>
      </w:tblPr>
      <w:tblGrid>
        <w:gridCol w:w="1072"/>
        <w:gridCol w:w="1050"/>
        <w:gridCol w:w="1417"/>
        <w:gridCol w:w="1414"/>
        <w:gridCol w:w="1138"/>
        <w:gridCol w:w="1279"/>
      </w:tblGrid>
      <w:tr w:rsidR="00133378" w:rsidRPr="0060407D" w14:paraId="71DFB608" w14:textId="77777777" w:rsidTr="00CF3256">
        <w:trPr>
          <w:tblHeader/>
        </w:trPr>
        <w:tc>
          <w:tcPr>
            <w:tcW w:w="1072" w:type="dxa"/>
            <w:shd w:val="clear" w:color="auto" w:fill="auto"/>
            <w:vAlign w:val="bottom"/>
          </w:tcPr>
          <w:p w14:paraId="073E8152" w14:textId="77777777" w:rsidR="00133378" w:rsidRPr="0060407D" w:rsidRDefault="00133378" w:rsidP="00D47163">
            <w:pPr>
              <w:spacing w:before="80" w:after="80" w:line="200" w:lineRule="exact"/>
              <w:jc w:val="center"/>
              <w:rPr>
                <w:b/>
                <w:bCs/>
                <w:i/>
                <w:sz w:val="16"/>
              </w:rPr>
            </w:pPr>
            <w:r w:rsidRPr="0060407D">
              <w:rPr>
                <w:b/>
                <w:bCs/>
                <w:i/>
                <w:sz w:val="16"/>
                <w:lang w:val="fr-FR"/>
              </w:rPr>
              <w:t>Grandeur</w:t>
            </w:r>
          </w:p>
        </w:tc>
        <w:tc>
          <w:tcPr>
            <w:tcW w:w="1050" w:type="dxa"/>
            <w:shd w:val="clear" w:color="auto" w:fill="auto"/>
            <w:vAlign w:val="bottom"/>
          </w:tcPr>
          <w:p w14:paraId="03F3D480" w14:textId="77777777" w:rsidR="00133378" w:rsidRPr="0060407D" w:rsidRDefault="00133378" w:rsidP="00D47163">
            <w:pPr>
              <w:spacing w:before="80" w:after="80" w:line="200" w:lineRule="exact"/>
              <w:jc w:val="center"/>
              <w:rPr>
                <w:b/>
                <w:bCs/>
                <w:i/>
                <w:sz w:val="16"/>
              </w:rPr>
            </w:pPr>
            <w:r w:rsidRPr="0060407D">
              <w:rPr>
                <w:b/>
                <w:bCs/>
                <w:i/>
                <w:sz w:val="16"/>
                <w:lang w:val="fr-FR"/>
              </w:rPr>
              <w:t>Estimation</w:t>
            </w:r>
            <w:r w:rsidRPr="0060407D">
              <w:rPr>
                <w:b/>
                <w:bCs/>
                <w:i/>
                <w:sz w:val="16"/>
                <w:lang w:val="fr-FR"/>
              </w:rPr>
              <w:br/>
              <w:t>(dB)</w:t>
            </w:r>
          </w:p>
        </w:tc>
        <w:tc>
          <w:tcPr>
            <w:tcW w:w="1417" w:type="dxa"/>
            <w:shd w:val="clear" w:color="auto" w:fill="auto"/>
            <w:vAlign w:val="bottom"/>
          </w:tcPr>
          <w:p w14:paraId="3C2BDE55" w14:textId="77777777" w:rsidR="00133378" w:rsidRPr="0060407D" w:rsidRDefault="00133378" w:rsidP="00D47163">
            <w:pPr>
              <w:spacing w:before="80" w:after="80" w:line="200" w:lineRule="exact"/>
              <w:jc w:val="center"/>
              <w:rPr>
                <w:b/>
                <w:bCs/>
                <w:i/>
                <w:sz w:val="16"/>
              </w:rPr>
            </w:pPr>
            <w:r w:rsidRPr="0060407D">
              <w:rPr>
                <w:b/>
                <w:bCs/>
                <w:i/>
                <w:sz w:val="16"/>
                <w:lang w:val="fr-FR"/>
              </w:rPr>
              <w:t>Incertitude-type µ</w:t>
            </w:r>
            <w:r w:rsidRPr="0060407D">
              <w:rPr>
                <w:b/>
                <w:bCs/>
                <w:i/>
                <w:sz w:val="16"/>
                <w:vertAlign w:val="subscript"/>
                <w:lang w:val="fr-FR"/>
              </w:rPr>
              <w:t>i</w:t>
            </w:r>
            <w:r w:rsidRPr="0060407D">
              <w:rPr>
                <w:b/>
                <w:bCs/>
                <w:i/>
                <w:sz w:val="16"/>
                <w:lang w:val="fr-FR"/>
              </w:rPr>
              <w:t xml:space="preserve"> </w:t>
            </w:r>
            <w:r w:rsidRPr="0060407D">
              <w:rPr>
                <w:b/>
                <w:bCs/>
                <w:i/>
                <w:sz w:val="16"/>
                <w:lang w:val="fr-FR"/>
              </w:rPr>
              <w:br/>
              <w:t>(dB)</w:t>
            </w:r>
          </w:p>
        </w:tc>
        <w:tc>
          <w:tcPr>
            <w:tcW w:w="1414" w:type="dxa"/>
            <w:shd w:val="clear" w:color="auto" w:fill="auto"/>
            <w:vAlign w:val="bottom"/>
          </w:tcPr>
          <w:p w14:paraId="79FD46AE" w14:textId="77777777" w:rsidR="00133378" w:rsidRPr="0060407D" w:rsidRDefault="00133378" w:rsidP="00D47163">
            <w:pPr>
              <w:spacing w:before="80" w:after="80" w:line="200" w:lineRule="exact"/>
              <w:jc w:val="center"/>
              <w:rPr>
                <w:b/>
                <w:bCs/>
                <w:i/>
                <w:sz w:val="16"/>
              </w:rPr>
            </w:pPr>
            <w:r w:rsidRPr="0060407D">
              <w:rPr>
                <w:b/>
                <w:bCs/>
                <w:i/>
                <w:sz w:val="16"/>
                <w:lang w:val="fr-FR"/>
              </w:rPr>
              <w:t>Loi de probabilité</w:t>
            </w:r>
          </w:p>
        </w:tc>
        <w:tc>
          <w:tcPr>
            <w:tcW w:w="1138" w:type="dxa"/>
            <w:shd w:val="clear" w:color="auto" w:fill="auto"/>
            <w:vAlign w:val="bottom"/>
          </w:tcPr>
          <w:p w14:paraId="048D7F52" w14:textId="7A13A09D" w:rsidR="00133378" w:rsidRPr="0060407D" w:rsidRDefault="00133378" w:rsidP="00D47163">
            <w:pPr>
              <w:spacing w:before="80" w:after="80" w:line="200" w:lineRule="exact"/>
              <w:jc w:val="center"/>
              <w:rPr>
                <w:b/>
                <w:bCs/>
                <w:i/>
                <w:sz w:val="16"/>
                <w:vertAlign w:val="subscript"/>
              </w:rPr>
            </w:pPr>
            <w:r w:rsidRPr="0060407D">
              <w:rPr>
                <w:b/>
                <w:bCs/>
                <w:i/>
                <w:sz w:val="16"/>
                <w:lang w:val="fr-FR"/>
              </w:rPr>
              <w:t xml:space="preserve">Coefficient </w:t>
            </w:r>
            <w:r w:rsidR="003D6013">
              <w:rPr>
                <w:b/>
                <w:bCs/>
                <w:i/>
                <w:sz w:val="16"/>
                <w:lang w:val="fr-FR"/>
              </w:rPr>
              <w:br/>
            </w:r>
            <w:r w:rsidRPr="0060407D">
              <w:rPr>
                <w:b/>
                <w:bCs/>
                <w:i/>
                <w:sz w:val="16"/>
                <w:lang w:val="fr-FR"/>
              </w:rPr>
              <w:t xml:space="preserve">de sensibilité </w:t>
            </w:r>
            <w:r w:rsidRPr="0060407D">
              <w:rPr>
                <w:b/>
                <w:bCs/>
                <w:i/>
                <w:sz w:val="16"/>
                <w:lang w:val="fr-FR"/>
              </w:rPr>
              <w:br/>
              <w:t>c</w:t>
            </w:r>
            <w:r w:rsidRPr="0060407D">
              <w:rPr>
                <w:b/>
                <w:bCs/>
                <w:i/>
                <w:sz w:val="16"/>
                <w:vertAlign w:val="subscript"/>
                <w:lang w:val="fr-FR"/>
              </w:rPr>
              <w:t>i</w:t>
            </w:r>
          </w:p>
        </w:tc>
        <w:tc>
          <w:tcPr>
            <w:tcW w:w="1279" w:type="dxa"/>
            <w:shd w:val="clear" w:color="auto" w:fill="auto"/>
            <w:vAlign w:val="bottom"/>
          </w:tcPr>
          <w:p w14:paraId="435A14E0" w14:textId="77777777" w:rsidR="00133378" w:rsidRPr="0060407D" w:rsidRDefault="00133378" w:rsidP="00D47163">
            <w:pPr>
              <w:spacing w:before="80" w:after="80" w:line="200" w:lineRule="exact"/>
              <w:jc w:val="center"/>
              <w:rPr>
                <w:b/>
                <w:bCs/>
                <w:i/>
                <w:sz w:val="16"/>
              </w:rPr>
            </w:pPr>
            <w:r w:rsidRPr="0060407D">
              <w:rPr>
                <w:b/>
                <w:bCs/>
                <w:i/>
                <w:sz w:val="16"/>
                <w:lang w:val="fr-FR"/>
              </w:rPr>
              <w:t>Incertitude c</w:t>
            </w:r>
            <w:r w:rsidRPr="0060407D">
              <w:rPr>
                <w:b/>
                <w:bCs/>
                <w:i/>
                <w:sz w:val="16"/>
                <w:vertAlign w:val="subscript"/>
                <w:lang w:val="fr-FR"/>
              </w:rPr>
              <w:t>i</w:t>
            </w:r>
            <w:r w:rsidRPr="0060407D">
              <w:rPr>
                <w:b/>
                <w:bCs/>
                <w:i/>
                <w:sz w:val="16"/>
                <w:lang w:val="fr-FR"/>
              </w:rPr>
              <w:t xml:space="preserve"> µ</w:t>
            </w:r>
            <w:r w:rsidRPr="0060407D">
              <w:rPr>
                <w:b/>
                <w:bCs/>
                <w:i/>
                <w:sz w:val="16"/>
                <w:vertAlign w:val="subscript"/>
                <w:lang w:val="fr-FR"/>
              </w:rPr>
              <w:t>i</w:t>
            </w:r>
            <w:r w:rsidRPr="0060407D">
              <w:rPr>
                <w:b/>
                <w:bCs/>
                <w:i/>
                <w:sz w:val="16"/>
                <w:vertAlign w:val="subscript"/>
                <w:lang w:val="fr-FR"/>
              </w:rPr>
              <w:br/>
            </w:r>
            <w:r w:rsidRPr="0060407D">
              <w:rPr>
                <w:b/>
                <w:bCs/>
                <w:i/>
                <w:sz w:val="16"/>
                <w:lang w:val="fr-FR"/>
              </w:rPr>
              <w:t>(dB)</w:t>
            </w:r>
          </w:p>
        </w:tc>
      </w:tr>
      <w:tr w:rsidR="00133378" w:rsidRPr="0060407D" w14:paraId="081AAAB9" w14:textId="77777777" w:rsidTr="00CF3256">
        <w:tc>
          <w:tcPr>
            <w:tcW w:w="1072" w:type="dxa"/>
            <w:shd w:val="clear" w:color="auto" w:fill="auto"/>
          </w:tcPr>
          <w:p w14:paraId="2E5736E3" w14:textId="77777777" w:rsidR="00133378" w:rsidRPr="0060407D" w:rsidRDefault="00133378" w:rsidP="00CF3256">
            <w:pPr>
              <w:spacing w:before="40" w:after="40" w:line="220" w:lineRule="exact"/>
              <w:jc w:val="center"/>
              <w:rPr>
                <w:i/>
                <w:iCs/>
                <w:sz w:val="18"/>
                <w:szCs w:val="18"/>
                <w:vertAlign w:val="subscript"/>
              </w:rPr>
            </w:pPr>
            <w:proofErr w:type="spellStart"/>
            <w:r w:rsidRPr="0060407D">
              <w:rPr>
                <w:i/>
                <w:iCs/>
                <w:sz w:val="18"/>
                <w:szCs w:val="18"/>
                <w:lang w:val="fr-FR"/>
              </w:rPr>
              <w:t>L</w:t>
            </w:r>
            <w:r w:rsidRPr="0060407D">
              <w:rPr>
                <w:i/>
                <w:iCs/>
                <w:sz w:val="18"/>
                <w:szCs w:val="18"/>
                <w:vertAlign w:val="subscript"/>
                <w:lang w:val="fr-FR"/>
              </w:rPr>
              <w:t>Amesure</w:t>
            </w:r>
            <w:proofErr w:type="spellEnd"/>
            <w:r w:rsidRPr="0060407D">
              <w:rPr>
                <w:i/>
                <w:iCs/>
                <w:sz w:val="18"/>
                <w:szCs w:val="18"/>
                <w:vertAlign w:val="subscript"/>
                <w:lang w:val="fr-FR"/>
              </w:rPr>
              <w:t>, i</w:t>
            </w:r>
          </w:p>
        </w:tc>
        <w:tc>
          <w:tcPr>
            <w:tcW w:w="1050" w:type="dxa"/>
            <w:shd w:val="clear" w:color="auto" w:fill="auto"/>
            <w:vAlign w:val="bottom"/>
          </w:tcPr>
          <w:p w14:paraId="62E15E2E" w14:textId="77777777" w:rsidR="00133378" w:rsidRPr="0060407D" w:rsidRDefault="00133378" w:rsidP="00CF3256">
            <w:pPr>
              <w:spacing w:before="40" w:after="40" w:line="220" w:lineRule="exact"/>
              <w:jc w:val="center"/>
              <w:rPr>
                <w:i/>
                <w:iCs/>
                <w:sz w:val="18"/>
                <w:szCs w:val="18"/>
              </w:rPr>
            </w:pPr>
            <w:proofErr w:type="spellStart"/>
            <w:r w:rsidRPr="0060407D">
              <w:rPr>
                <w:i/>
                <w:iCs/>
                <w:sz w:val="18"/>
                <w:szCs w:val="18"/>
                <w:lang w:val="fr-FR"/>
              </w:rPr>
              <w:t>L</w:t>
            </w:r>
            <w:r w:rsidRPr="0060407D">
              <w:rPr>
                <w:i/>
                <w:iCs/>
                <w:sz w:val="18"/>
                <w:szCs w:val="18"/>
                <w:vertAlign w:val="subscript"/>
                <w:lang w:val="fr-FR"/>
              </w:rPr>
              <w:t>Amesure</w:t>
            </w:r>
            <w:proofErr w:type="spellEnd"/>
            <w:r w:rsidRPr="0060407D">
              <w:rPr>
                <w:i/>
                <w:iCs/>
                <w:sz w:val="18"/>
                <w:szCs w:val="18"/>
                <w:vertAlign w:val="subscript"/>
                <w:lang w:val="fr-FR"/>
              </w:rPr>
              <w:t>, i</w:t>
            </w:r>
          </w:p>
        </w:tc>
        <w:tc>
          <w:tcPr>
            <w:tcW w:w="1417" w:type="dxa"/>
            <w:shd w:val="clear" w:color="auto" w:fill="auto"/>
            <w:vAlign w:val="bottom"/>
          </w:tcPr>
          <w:p w14:paraId="7AE701FE"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0B447413"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5C25A7AF"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2B9ED9EA"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38187303" w14:textId="77777777" w:rsidTr="00CF3256">
        <w:tc>
          <w:tcPr>
            <w:tcW w:w="1072" w:type="dxa"/>
            <w:shd w:val="clear" w:color="auto" w:fill="auto"/>
          </w:tcPr>
          <w:p w14:paraId="02141DFA" w14:textId="77777777" w:rsidR="00133378" w:rsidRPr="0060407D" w:rsidRDefault="00133378" w:rsidP="00CF3256">
            <w:pPr>
              <w:spacing w:before="40" w:after="40" w:line="220" w:lineRule="exact"/>
              <w:jc w:val="center"/>
              <w:rPr>
                <w:i/>
                <w:iCs/>
                <w:sz w:val="18"/>
                <w:szCs w:val="18"/>
              </w:rPr>
            </w:pPr>
            <w:r w:rsidRPr="0060407D">
              <w:rPr>
                <w:i/>
                <w:iCs/>
                <w:sz w:val="18"/>
                <w:szCs w:val="18"/>
                <w:lang w:val="fr-FR"/>
              </w:rPr>
              <w:t>δ</w:t>
            </w:r>
            <w:r w:rsidRPr="0060407D">
              <w:rPr>
                <w:i/>
                <w:iCs/>
                <w:sz w:val="18"/>
                <w:szCs w:val="18"/>
                <w:vertAlign w:val="subscript"/>
                <w:lang w:val="fr-FR"/>
              </w:rPr>
              <w:t>1</w:t>
            </w:r>
          </w:p>
        </w:tc>
        <w:tc>
          <w:tcPr>
            <w:tcW w:w="1050" w:type="dxa"/>
            <w:shd w:val="clear" w:color="auto" w:fill="auto"/>
            <w:vAlign w:val="bottom"/>
          </w:tcPr>
          <w:p w14:paraId="58CEBE16"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0E5F29AA"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73CE16CD"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444DB194"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73A26563"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14DA54EE" w14:textId="77777777" w:rsidTr="00CF3256">
        <w:tc>
          <w:tcPr>
            <w:tcW w:w="1072" w:type="dxa"/>
            <w:shd w:val="clear" w:color="auto" w:fill="auto"/>
          </w:tcPr>
          <w:p w14:paraId="1D01113C" w14:textId="77777777" w:rsidR="00133378" w:rsidRPr="0060407D" w:rsidRDefault="00133378" w:rsidP="00CF3256">
            <w:pPr>
              <w:spacing w:before="40" w:after="40" w:line="220" w:lineRule="exact"/>
              <w:jc w:val="center"/>
              <w:rPr>
                <w:i/>
                <w:iCs/>
                <w:sz w:val="18"/>
                <w:szCs w:val="18"/>
                <w:vertAlign w:val="subscript"/>
              </w:rPr>
            </w:pPr>
            <w:r w:rsidRPr="0060407D">
              <w:rPr>
                <w:i/>
                <w:iCs/>
                <w:sz w:val="18"/>
                <w:szCs w:val="18"/>
                <w:lang w:val="fr-FR"/>
              </w:rPr>
              <w:t>δ</w:t>
            </w:r>
            <w:r w:rsidRPr="0060407D">
              <w:rPr>
                <w:i/>
                <w:iCs/>
                <w:sz w:val="18"/>
                <w:szCs w:val="18"/>
                <w:vertAlign w:val="subscript"/>
                <w:lang w:val="fr-FR"/>
              </w:rPr>
              <w:t>2</w:t>
            </w:r>
          </w:p>
        </w:tc>
        <w:tc>
          <w:tcPr>
            <w:tcW w:w="1050" w:type="dxa"/>
            <w:shd w:val="clear" w:color="auto" w:fill="auto"/>
            <w:vAlign w:val="bottom"/>
          </w:tcPr>
          <w:p w14:paraId="4CFEE7CA"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6A0F04AD"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5D3347F3"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135C0CB9"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4D60C7B5"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7A5BF71C" w14:textId="77777777" w:rsidTr="00CF3256">
        <w:tc>
          <w:tcPr>
            <w:tcW w:w="1072" w:type="dxa"/>
            <w:shd w:val="clear" w:color="auto" w:fill="auto"/>
          </w:tcPr>
          <w:p w14:paraId="16F8F0B3" w14:textId="77777777" w:rsidR="00133378" w:rsidRPr="0060407D" w:rsidRDefault="00133378" w:rsidP="00CF3256">
            <w:pPr>
              <w:spacing w:before="40" w:after="40" w:line="220" w:lineRule="exact"/>
              <w:jc w:val="center"/>
              <w:rPr>
                <w:i/>
                <w:iCs/>
                <w:sz w:val="18"/>
                <w:szCs w:val="18"/>
                <w:vertAlign w:val="subscript"/>
              </w:rPr>
            </w:pPr>
            <w:r w:rsidRPr="0060407D">
              <w:rPr>
                <w:i/>
                <w:iCs/>
                <w:sz w:val="18"/>
                <w:szCs w:val="18"/>
                <w:lang w:val="fr-FR"/>
              </w:rPr>
              <w:t>δ</w:t>
            </w:r>
            <w:r w:rsidRPr="0060407D">
              <w:rPr>
                <w:i/>
                <w:iCs/>
                <w:sz w:val="18"/>
                <w:szCs w:val="18"/>
                <w:vertAlign w:val="subscript"/>
                <w:lang w:val="fr-FR"/>
              </w:rPr>
              <w:t>3</w:t>
            </w:r>
          </w:p>
        </w:tc>
        <w:tc>
          <w:tcPr>
            <w:tcW w:w="1050" w:type="dxa"/>
            <w:shd w:val="clear" w:color="auto" w:fill="auto"/>
            <w:vAlign w:val="bottom"/>
          </w:tcPr>
          <w:p w14:paraId="6736CC61"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3C4B9EC6"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3C16DD3C"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54320F54"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1F82DCC3"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274ACD6E" w14:textId="77777777" w:rsidTr="00CF3256">
        <w:tc>
          <w:tcPr>
            <w:tcW w:w="1072" w:type="dxa"/>
            <w:shd w:val="clear" w:color="auto" w:fill="auto"/>
          </w:tcPr>
          <w:p w14:paraId="3523D7F2" w14:textId="77777777" w:rsidR="00133378" w:rsidRPr="0060407D" w:rsidRDefault="00133378" w:rsidP="00CF3256">
            <w:pPr>
              <w:spacing w:before="40" w:after="40" w:line="220" w:lineRule="exact"/>
              <w:jc w:val="center"/>
              <w:rPr>
                <w:i/>
                <w:iCs/>
                <w:sz w:val="18"/>
                <w:szCs w:val="18"/>
                <w:vertAlign w:val="subscript"/>
              </w:rPr>
            </w:pPr>
            <w:r w:rsidRPr="0060407D">
              <w:rPr>
                <w:i/>
                <w:iCs/>
                <w:sz w:val="18"/>
                <w:szCs w:val="18"/>
                <w:lang w:val="fr-FR"/>
              </w:rPr>
              <w:t>δ</w:t>
            </w:r>
            <w:r w:rsidRPr="0060407D">
              <w:rPr>
                <w:i/>
                <w:iCs/>
                <w:sz w:val="18"/>
                <w:szCs w:val="18"/>
                <w:vertAlign w:val="subscript"/>
                <w:lang w:val="fr-FR"/>
              </w:rPr>
              <w:t>4</w:t>
            </w:r>
          </w:p>
        </w:tc>
        <w:tc>
          <w:tcPr>
            <w:tcW w:w="1050" w:type="dxa"/>
            <w:shd w:val="clear" w:color="auto" w:fill="auto"/>
            <w:vAlign w:val="bottom"/>
          </w:tcPr>
          <w:p w14:paraId="3B20329C"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5D426063"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5678AE60"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6EC66EBE"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4D934F02"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346D2F21" w14:textId="77777777" w:rsidTr="00CF3256">
        <w:tc>
          <w:tcPr>
            <w:tcW w:w="1072" w:type="dxa"/>
            <w:shd w:val="clear" w:color="auto" w:fill="auto"/>
          </w:tcPr>
          <w:p w14:paraId="7BB7B64C" w14:textId="77777777" w:rsidR="00133378" w:rsidRPr="0060407D" w:rsidRDefault="00133378" w:rsidP="00CF3256">
            <w:pPr>
              <w:spacing w:before="40" w:after="40" w:line="220" w:lineRule="exact"/>
              <w:jc w:val="center"/>
              <w:rPr>
                <w:i/>
                <w:iCs/>
                <w:strike/>
                <w:sz w:val="18"/>
                <w:szCs w:val="18"/>
                <w:vertAlign w:val="subscript"/>
              </w:rPr>
            </w:pPr>
            <w:r w:rsidRPr="0060407D">
              <w:rPr>
                <w:i/>
                <w:iCs/>
                <w:sz w:val="18"/>
                <w:szCs w:val="18"/>
                <w:lang w:val="fr-FR"/>
              </w:rPr>
              <w:t>δ</w:t>
            </w:r>
            <w:r w:rsidRPr="0060407D">
              <w:rPr>
                <w:i/>
                <w:iCs/>
                <w:strike/>
                <w:sz w:val="18"/>
                <w:szCs w:val="18"/>
                <w:vertAlign w:val="subscript"/>
                <w:lang w:val="fr-FR"/>
              </w:rPr>
              <w:t>5</w:t>
            </w:r>
          </w:p>
        </w:tc>
        <w:tc>
          <w:tcPr>
            <w:tcW w:w="1050" w:type="dxa"/>
            <w:shd w:val="clear" w:color="auto" w:fill="auto"/>
            <w:vAlign w:val="bottom"/>
          </w:tcPr>
          <w:p w14:paraId="51D96A6F"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1CD502A9"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32D3DB2C"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048BEF4B"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0767CE97"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r w:rsidR="00133378" w:rsidRPr="0060407D" w14:paraId="6265DC32" w14:textId="77777777" w:rsidTr="00CF3256">
        <w:tc>
          <w:tcPr>
            <w:tcW w:w="1072" w:type="dxa"/>
            <w:shd w:val="clear" w:color="auto" w:fill="auto"/>
          </w:tcPr>
          <w:p w14:paraId="5BB5C846" w14:textId="77777777" w:rsidR="00133378" w:rsidRPr="0060407D" w:rsidRDefault="00133378" w:rsidP="00CF3256">
            <w:pPr>
              <w:spacing w:before="40" w:after="40" w:line="220" w:lineRule="exact"/>
              <w:jc w:val="center"/>
              <w:rPr>
                <w:i/>
                <w:iCs/>
                <w:sz w:val="18"/>
                <w:szCs w:val="18"/>
              </w:rPr>
            </w:pPr>
            <w:r w:rsidRPr="0060407D">
              <w:rPr>
                <w:i/>
                <w:iCs/>
                <w:sz w:val="18"/>
                <w:szCs w:val="18"/>
                <w:lang w:val="fr-FR"/>
              </w:rPr>
              <w:t>δ</w:t>
            </w:r>
            <w:r w:rsidRPr="0060407D">
              <w:rPr>
                <w:i/>
                <w:iCs/>
                <w:strike/>
                <w:sz w:val="18"/>
                <w:szCs w:val="18"/>
                <w:vertAlign w:val="subscript"/>
                <w:lang w:val="fr-FR"/>
              </w:rPr>
              <w:t>6</w:t>
            </w:r>
          </w:p>
        </w:tc>
        <w:tc>
          <w:tcPr>
            <w:tcW w:w="1050" w:type="dxa"/>
            <w:shd w:val="clear" w:color="auto" w:fill="auto"/>
            <w:vAlign w:val="bottom"/>
          </w:tcPr>
          <w:p w14:paraId="67D1039D"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7" w:type="dxa"/>
            <w:shd w:val="clear" w:color="auto" w:fill="auto"/>
            <w:vAlign w:val="bottom"/>
          </w:tcPr>
          <w:p w14:paraId="5884843C"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414" w:type="dxa"/>
            <w:shd w:val="clear" w:color="auto" w:fill="auto"/>
            <w:vAlign w:val="bottom"/>
          </w:tcPr>
          <w:p w14:paraId="6ED1E8B5"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138" w:type="dxa"/>
            <w:shd w:val="clear" w:color="auto" w:fill="auto"/>
            <w:vAlign w:val="bottom"/>
          </w:tcPr>
          <w:p w14:paraId="05D94BB6"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c>
          <w:tcPr>
            <w:tcW w:w="1279" w:type="dxa"/>
            <w:shd w:val="clear" w:color="auto" w:fill="auto"/>
            <w:vAlign w:val="bottom"/>
          </w:tcPr>
          <w:p w14:paraId="7C3A4494" w14:textId="77777777" w:rsidR="00133378" w:rsidRPr="0060407D" w:rsidRDefault="00133378" w:rsidP="00CF3256">
            <w:pPr>
              <w:spacing w:before="40" w:after="40" w:line="220" w:lineRule="exact"/>
              <w:jc w:val="center"/>
              <w:rPr>
                <w:i/>
                <w:iCs/>
                <w:sz w:val="18"/>
                <w:szCs w:val="18"/>
              </w:rPr>
            </w:pPr>
            <w:r w:rsidRPr="0060407D">
              <w:rPr>
                <w:i/>
                <w:iCs/>
                <w:sz w:val="18"/>
                <w:szCs w:val="18"/>
              </w:rPr>
              <w:t>-</w:t>
            </w:r>
          </w:p>
        </w:tc>
      </w:tr>
    </w:tbl>
    <w:p w14:paraId="78BD62DF" w14:textId="77777777" w:rsidR="00133378" w:rsidRPr="002D4003" w:rsidRDefault="00133378" w:rsidP="00133378">
      <w:pPr>
        <w:pStyle w:val="HChG"/>
      </w:pPr>
      <w:bookmarkStart w:id="15" w:name="_Toc83987019"/>
      <w:bookmarkStart w:id="16" w:name="_Toc87431064"/>
      <w:r>
        <w:tab/>
      </w:r>
      <w:r w:rsidRPr="002D4003">
        <w:t>6.</w:t>
      </w:r>
      <w:r w:rsidRPr="002D4003">
        <w:tab/>
      </w:r>
      <w:bookmarkStart w:id="17" w:name="_Hlk90452598"/>
      <w:r>
        <w:rPr>
          <w:lang w:val="fr-FR"/>
        </w:rPr>
        <w:t>Approche de la norme ISO 5725</w:t>
      </w:r>
      <w:bookmarkEnd w:id="15"/>
      <w:bookmarkEnd w:id="16"/>
      <w:bookmarkEnd w:id="17"/>
    </w:p>
    <w:p w14:paraId="1486F6C1" w14:textId="6F5C7622" w:rsidR="00133378" w:rsidRPr="008208C4" w:rsidRDefault="00133378" w:rsidP="008A78CB">
      <w:pPr>
        <w:pStyle w:val="SingleTxtG"/>
        <w:spacing w:before="0" w:line="240" w:lineRule="atLeast"/>
        <w:ind w:firstLine="567"/>
        <w:rPr>
          <w:bCs/>
        </w:rPr>
      </w:pPr>
      <w:r>
        <w:rPr>
          <w:lang w:val="fr-FR"/>
        </w:rPr>
        <w:tab/>
        <w:t>La norme ISO 5725 (Exactitude (justesse et fidélité) des résultats et méthodes de mesure</w:t>
      </w:r>
      <w:r>
        <w:rPr>
          <w:vertAlign w:val="superscript"/>
          <w:lang w:val="fr-FR"/>
        </w:rPr>
        <w:t>2</w:t>
      </w:r>
      <w:r>
        <w:rPr>
          <w:lang w:val="fr-FR"/>
        </w:rPr>
        <w:t>) compte six parties :</w:t>
      </w:r>
    </w:p>
    <w:p w14:paraId="18B519C4" w14:textId="77777777" w:rsidR="00133378" w:rsidRPr="008208C4" w:rsidRDefault="00133378" w:rsidP="008A78CB">
      <w:pPr>
        <w:pStyle w:val="SingleTxtG"/>
        <w:spacing w:before="0" w:line="240" w:lineRule="atLeast"/>
        <w:ind w:left="1701"/>
        <w:rPr>
          <w:bCs/>
        </w:rPr>
      </w:pPr>
      <w:r w:rsidRPr="008208C4">
        <w:rPr>
          <w:bCs/>
        </w:rPr>
        <w:t>Partie 1</w:t>
      </w:r>
      <w:r>
        <w:rPr>
          <w:bCs/>
        </w:rPr>
        <w:t> </w:t>
      </w:r>
      <w:r w:rsidRPr="008208C4">
        <w:rPr>
          <w:bCs/>
        </w:rPr>
        <w:t>:</w:t>
      </w:r>
      <w:r w:rsidRPr="008208C4">
        <w:rPr>
          <w:bCs/>
        </w:rPr>
        <w:tab/>
      </w:r>
      <w:r>
        <w:rPr>
          <w:lang w:val="fr-FR"/>
        </w:rPr>
        <w:t>Principes généraux et définitions</w:t>
      </w:r>
    </w:p>
    <w:p w14:paraId="76AA2AE6" w14:textId="77777777" w:rsidR="00133378" w:rsidRPr="008208C4" w:rsidRDefault="00133378" w:rsidP="008A78CB">
      <w:pPr>
        <w:pStyle w:val="SingleTxtG"/>
        <w:spacing w:before="0" w:line="240" w:lineRule="atLeast"/>
        <w:ind w:left="1701"/>
        <w:rPr>
          <w:bCs/>
        </w:rPr>
      </w:pPr>
      <w:r w:rsidRPr="008208C4">
        <w:rPr>
          <w:bCs/>
        </w:rPr>
        <w:t>Partie 2</w:t>
      </w:r>
      <w:r>
        <w:rPr>
          <w:bCs/>
        </w:rPr>
        <w:t> </w:t>
      </w:r>
      <w:r w:rsidRPr="008208C4">
        <w:rPr>
          <w:bCs/>
        </w:rPr>
        <w:t>:</w:t>
      </w:r>
      <w:r w:rsidRPr="008208C4">
        <w:rPr>
          <w:bCs/>
        </w:rPr>
        <w:tab/>
      </w:r>
      <w:r>
        <w:rPr>
          <w:lang w:val="fr-FR"/>
        </w:rPr>
        <w:t xml:space="preserve">Méthode de base pour la détermination de la répétabilité et de la reproductibilité d’une méthode de mesure normalisée </w:t>
      </w:r>
    </w:p>
    <w:p w14:paraId="793CAA52" w14:textId="77777777" w:rsidR="00133378" w:rsidRPr="008208C4" w:rsidRDefault="00133378" w:rsidP="008A78CB">
      <w:pPr>
        <w:pStyle w:val="SingleTxtG"/>
        <w:spacing w:before="0" w:line="240" w:lineRule="atLeast"/>
        <w:ind w:left="1701"/>
        <w:rPr>
          <w:bCs/>
        </w:rPr>
      </w:pPr>
      <w:r w:rsidRPr="008208C4">
        <w:rPr>
          <w:bCs/>
        </w:rPr>
        <w:t>Partie 3</w:t>
      </w:r>
      <w:r>
        <w:rPr>
          <w:bCs/>
        </w:rPr>
        <w:t> </w:t>
      </w:r>
      <w:r w:rsidRPr="008208C4">
        <w:rPr>
          <w:bCs/>
        </w:rPr>
        <w:t>:</w:t>
      </w:r>
      <w:r w:rsidRPr="008208C4">
        <w:rPr>
          <w:bCs/>
        </w:rPr>
        <w:tab/>
      </w:r>
      <w:r>
        <w:rPr>
          <w:lang w:val="fr-FR"/>
        </w:rPr>
        <w:t>Mesures intermédiaires de la fidélité d’une méthode de mesure normalisée</w:t>
      </w:r>
    </w:p>
    <w:p w14:paraId="275EF3DE" w14:textId="77777777" w:rsidR="00133378" w:rsidRPr="008208C4" w:rsidRDefault="00133378" w:rsidP="008A78CB">
      <w:pPr>
        <w:pStyle w:val="SingleTxtG"/>
        <w:spacing w:before="0" w:line="240" w:lineRule="atLeast"/>
        <w:ind w:left="1701"/>
        <w:rPr>
          <w:bCs/>
        </w:rPr>
      </w:pPr>
      <w:r w:rsidRPr="008208C4">
        <w:rPr>
          <w:bCs/>
        </w:rPr>
        <w:t>Partie 4</w:t>
      </w:r>
      <w:r>
        <w:rPr>
          <w:bCs/>
        </w:rPr>
        <w:t> </w:t>
      </w:r>
      <w:r w:rsidRPr="008208C4">
        <w:rPr>
          <w:bCs/>
        </w:rPr>
        <w:t>:</w:t>
      </w:r>
      <w:r w:rsidRPr="008208C4">
        <w:rPr>
          <w:bCs/>
        </w:rPr>
        <w:tab/>
      </w:r>
      <w:r>
        <w:rPr>
          <w:lang w:val="fr-FR"/>
        </w:rPr>
        <w:t xml:space="preserve">Méthodes de base pour la détermination de la justesse d’une méthode de mesure normalisée </w:t>
      </w:r>
    </w:p>
    <w:p w14:paraId="00BE4AAB" w14:textId="77777777" w:rsidR="00133378" w:rsidRPr="008208C4" w:rsidRDefault="00133378" w:rsidP="008A78CB">
      <w:pPr>
        <w:pStyle w:val="SingleTxtG"/>
        <w:spacing w:before="0" w:line="240" w:lineRule="atLeast"/>
        <w:ind w:left="1701"/>
        <w:rPr>
          <w:bCs/>
        </w:rPr>
      </w:pPr>
      <w:r w:rsidRPr="008208C4">
        <w:rPr>
          <w:bCs/>
        </w:rPr>
        <w:t>Partie 5</w:t>
      </w:r>
      <w:r>
        <w:rPr>
          <w:bCs/>
        </w:rPr>
        <w:t> </w:t>
      </w:r>
      <w:r w:rsidRPr="008208C4">
        <w:rPr>
          <w:bCs/>
        </w:rPr>
        <w:t>:</w:t>
      </w:r>
      <w:r w:rsidRPr="008208C4">
        <w:rPr>
          <w:bCs/>
        </w:rPr>
        <w:tab/>
      </w:r>
      <w:r>
        <w:rPr>
          <w:lang w:val="fr-FR"/>
        </w:rPr>
        <w:t xml:space="preserve">Méthodes alternatives pour la détermination de la fidélité d’une méthode de mesure normalisée </w:t>
      </w:r>
    </w:p>
    <w:p w14:paraId="1F432C62" w14:textId="77777777" w:rsidR="00133378" w:rsidRPr="008208C4" w:rsidRDefault="00133378" w:rsidP="008A78CB">
      <w:pPr>
        <w:pStyle w:val="SingleTxtG"/>
        <w:spacing w:before="0" w:line="240" w:lineRule="atLeast"/>
        <w:ind w:left="1701"/>
        <w:rPr>
          <w:bCs/>
        </w:rPr>
      </w:pPr>
      <w:r w:rsidRPr="008208C4">
        <w:rPr>
          <w:bCs/>
        </w:rPr>
        <w:t>Partie 6</w:t>
      </w:r>
      <w:r>
        <w:rPr>
          <w:bCs/>
        </w:rPr>
        <w:t> </w:t>
      </w:r>
      <w:r w:rsidRPr="008208C4">
        <w:rPr>
          <w:bCs/>
        </w:rPr>
        <w:t>:</w:t>
      </w:r>
      <w:r w:rsidRPr="008208C4">
        <w:rPr>
          <w:bCs/>
        </w:rPr>
        <w:tab/>
      </w:r>
      <w:r>
        <w:rPr>
          <w:lang w:val="fr-FR"/>
        </w:rPr>
        <w:t>Utilisation dans la pratique des valeurs d’exactitude</w:t>
      </w:r>
    </w:p>
    <w:p w14:paraId="6F0A7029" w14:textId="277193EA" w:rsidR="00133378" w:rsidRPr="008208C4" w:rsidRDefault="00133378" w:rsidP="008A78CB">
      <w:pPr>
        <w:pStyle w:val="SingleTxtG"/>
        <w:spacing w:before="0" w:line="240" w:lineRule="atLeast"/>
        <w:ind w:firstLine="567"/>
        <w:rPr>
          <w:bCs/>
        </w:rPr>
      </w:pPr>
      <w:r>
        <w:rPr>
          <w:lang w:val="fr-FR"/>
        </w:rPr>
        <w:tab/>
        <w:t>Cette norme sert principalement à la comparaison des résultats entre laboratoires ou au sein d’un même laboratoire.</w:t>
      </w:r>
    </w:p>
    <w:p w14:paraId="7E7DC1F3" w14:textId="4B44513F" w:rsidR="00133378" w:rsidRPr="008208C4" w:rsidRDefault="00133378" w:rsidP="008A78CB">
      <w:pPr>
        <w:pStyle w:val="SingleTxtG"/>
        <w:spacing w:before="0" w:line="240" w:lineRule="atLeast"/>
        <w:ind w:firstLine="567"/>
        <w:rPr>
          <w:bCs/>
        </w:rPr>
      </w:pPr>
      <w:r>
        <w:rPr>
          <w:lang w:val="fr-FR"/>
        </w:rPr>
        <w:tab/>
        <w:t>On trouvera ci-après une synthèse du modèle statistique présenté dans la partie 1 de la norme et des travaux que l’Union technique de l’automobile, du motocycle et du cycle (UTAC) a consacrés à cette norme</w:t>
      </w:r>
      <w:r>
        <w:rPr>
          <w:vertAlign w:val="superscript"/>
          <w:lang w:val="fr-FR"/>
        </w:rPr>
        <w:t>6</w:t>
      </w:r>
      <w:r>
        <w:rPr>
          <w:lang w:val="fr-FR"/>
        </w:rPr>
        <w:t>.</w:t>
      </w:r>
    </w:p>
    <w:p w14:paraId="398682D6" w14:textId="16EDC48B" w:rsidR="00133378" w:rsidRPr="008208C4" w:rsidRDefault="00133378" w:rsidP="008A78CB">
      <w:pPr>
        <w:pStyle w:val="SingleTxtG"/>
        <w:spacing w:before="0" w:line="240" w:lineRule="atLeast"/>
        <w:ind w:firstLine="567"/>
        <w:rPr>
          <w:bCs/>
        </w:rPr>
      </w:pPr>
      <w:r>
        <w:rPr>
          <w:lang w:val="fr-FR"/>
        </w:rPr>
        <w:tab/>
        <w:t>Pour estimer l’exactitude (justesse et fidélité) d’une méthode de mesure, on peut partir du principe que le résultat Y de chaque essai est la somme de trois composantes :</w:t>
      </w:r>
    </w:p>
    <w:p w14:paraId="78561372" w14:textId="77777777" w:rsidR="00133378" w:rsidRPr="008208C4" w:rsidRDefault="00133378" w:rsidP="00133378">
      <w:pPr>
        <w:keepLines/>
        <w:tabs>
          <w:tab w:val="right" w:pos="8505"/>
        </w:tabs>
        <w:spacing w:after="120"/>
        <w:ind w:left="1134" w:firstLine="567"/>
        <w:jc w:val="both"/>
        <w:rPr>
          <w:bCs/>
        </w:rPr>
      </w:pPr>
      <w:proofErr w:type="spellStart"/>
      <w:r>
        <w:rPr>
          <w:lang w:val="fr-FR"/>
        </w:rPr>
        <w:t>Y</w:t>
      </w:r>
      <w:r>
        <w:rPr>
          <w:vertAlign w:val="subscript"/>
          <w:lang w:val="fr-FR"/>
        </w:rPr>
        <w:t>ij</w:t>
      </w:r>
      <w:proofErr w:type="spellEnd"/>
      <w:r>
        <w:rPr>
          <w:lang w:val="fr-FR"/>
        </w:rPr>
        <w:t xml:space="preserve"> = m + L</w:t>
      </w:r>
      <w:r>
        <w:rPr>
          <w:vertAlign w:val="subscript"/>
          <w:lang w:val="fr-FR"/>
        </w:rPr>
        <w:t>i</w:t>
      </w:r>
      <w:r>
        <w:rPr>
          <w:lang w:val="fr-FR"/>
        </w:rPr>
        <w:t xml:space="preserve"> + </w:t>
      </w:r>
      <w:proofErr w:type="spellStart"/>
      <w:r>
        <w:rPr>
          <w:lang w:val="fr-FR"/>
        </w:rPr>
        <w:t>ɛ</w:t>
      </w:r>
      <w:r>
        <w:rPr>
          <w:vertAlign w:val="subscript"/>
          <w:lang w:val="fr-FR"/>
        </w:rPr>
        <w:t>ij</w:t>
      </w:r>
      <w:proofErr w:type="spellEnd"/>
      <w:r>
        <w:rPr>
          <w:lang w:val="fr-FR"/>
        </w:rPr>
        <w:t xml:space="preserve"> </w:t>
      </w:r>
      <w:r>
        <w:rPr>
          <w:lang w:val="fr-FR"/>
        </w:rPr>
        <w:tab/>
        <w:t>(9)</w:t>
      </w:r>
    </w:p>
    <w:p w14:paraId="1934F61A" w14:textId="3A99B621" w:rsidR="00133378" w:rsidRDefault="00133378" w:rsidP="008A78CB">
      <w:pPr>
        <w:pStyle w:val="SingleTxtG"/>
        <w:spacing w:before="0" w:line="240" w:lineRule="atLeast"/>
        <w:ind w:firstLine="567"/>
        <w:rPr>
          <w:bCs/>
        </w:rPr>
      </w:pPr>
      <w:r>
        <w:rPr>
          <w:lang w:val="fr-FR"/>
        </w:rPr>
        <w:tab/>
        <w:t>Où :</w:t>
      </w:r>
    </w:p>
    <w:p w14:paraId="1FD1F653" w14:textId="77777777" w:rsidR="00133378" w:rsidRDefault="00133378" w:rsidP="008A78CB">
      <w:pPr>
        <w:pStyle w:val="SingleTxtG"/>
        <w:spacing w:before="0" w:line="240" w:lineRule="atLeast"/>
        <w:ind w:left="1701"/>
        <w:rPr>
          <w:bCs/>
        </w:rPr>
      </w:pPr>
      <w:proofErr w:type="spellStart"/>
      <w:r>
        <w:rPr>
          <w:lang w:val="fr-FR"/>
        </w:rPr>
        <w:t>Y</w:t>
      </w:r>
      <w:r>
        <w:rPr>
          <w:vertAlign w:val="subscript"/>
          <w:lang w:val="fr-FR"/>
        </w:rPr>
        <w:t>ij</w:t>
      </w:r>
      <w:proofErr w:type="spellEnd"/>
      <w:r>
        <w:rPr>
          <w:lang w:val="fr-FR"/>
        </w:rPr>
        <w:t xml:space="preserve"> est le </w:t>
      </w:r>
      <w:proofErr w:type="spellStart"/>
      <w:r>
        <w:rPr>
          <w:lang w:val="fr-FR"/>
        </w:rPr>
        <w:t>j</w:t>
      </w:r>
      <w:r>
        <w:rPr>
          <w:vertAlign w:val="superscript"/>
          <w:lang w:val="fr-FR"/>
        </w:rPr>
        <w:t>ème</w:t>
      </w:r>
      <w:proofErr w:type="spellEnd"/>
      <w:r>
        <w:rPr>
          <w:lang w:val="fr-FR"/>
        </w:rPr>
        <w:t xml:space="preserve"> résultat obtenu par le laboratoire i ; </w:t>
      </w:r>
    </w:p>
    <w:p w14:paraId="54E38E71" w14:textId="77777777" w:rsidR="00133378" w:rsidRDefault="00133378" w:rsidP="008A78CB">
      <w:pPr>
        <w:pStyle w:val="SingleTxtG"/>
        <w:spacing w:before="0" w:line="240" w:lineRule="atLeast"/>
        <w:ind w:left="1701"/>
        <w:rPr>
          <w:bCs/>
        </w:rPr>
      </w:pPr>
      <w:r>
        <w:rPr>
          <w:lang w:val="fr-FR"/>
        </w:rPr>
        <w:t>m est la moyenne générale (espérance mathématique) ;</w:t>
      </w:r>
    </w:p>
    <w:p w14:paraId="38DC590C" w14:textId="77777777" w:rsidR="00133378" w:rsidRDefault="00133378" w:rsidP="008A78CB">
      <w:pPr>
        <w:pStyle w:val="SingleTxtG"/>
        <w:spacing w:before="0" w:line="240" w:lineRule="atLeast"/>
        <w:ind w:left="1701"/>
        <w:rPr>
          <w:bCs/>
        </w:rPr>
      </w:pPr>
      <w:r>
        <w:rPr>
          <w:lang w:val="fr-FR"/>
        </w:rPr>
        <w:t>L</w:t>
      </w:r>
      <w:r>
        <w:rPr>
          <w:vertAlign w:val="subscript"/>
          <w:lang w:val="fr-FR"/>
        </w:rPr>
        <w:t>i</w:t>
      </w:r>
      <w:r>
        <w:rPr>
          <w:lang w:val="fr-FR"/>
        </w:rPr>
        <w:t xml:space="preserve"> est l’effet laboratoire i, I = 1 à p, avec la variance σ</w:t>
      </w:r>
      <w:r>
        <w:rPr>
          <w:vertAlign w:val="subscript"/>
          <w:lang w:val="fr-FR"/>
        </w:rPr>
        <w:t>L</w:t>
      </w:r>
      <w:r>
        <w:rPr>
          <w:vertAlign w:val="superscript"/>
          <w:lang w:val="fr-FR"/>
        </w:rPr>
        <w:t>2</w:t>
      </w:r>
      <w:r w:rsidRPr="0060407D">
        <w:rPr>
          <w:lang w:val="fr-FR"/>
        </w:rPr>
        <w:t> </w:t>
      </w:r>
      <w:r>
        <w:rPr>
          <w:lang w:val="fr-FR"/>
        </w:rPr>
        <w:t>;</w:t>
      </w:r>
    </w:p>
    <w:p w14:paraId="7850EC96" w14:textId="77777777" w:rsidR="00133378" w:rsidRDefault="00133378" w:rsidP="008A78CB">
      <w:pPr>
        <w:pStyle w:val="SingleTxtG"/>
        <w:spacing w:before="0" w:line="240" w:lineRule="atLeast"/>
        <w:ind w:left="1701"/>
        <w:rPr>
          <w:bCs/>
        </w:rPr>
      </w:pPr>
      <w:proofErr w:type="spellStart"/>
      <w:r>
        <w:rPr>
          <w:lang w:val="fr-FR"/>
        </w:rPr>
        <w:t>ɛ</w:t>
      </w:r>
      <w:r>
        <w:rPr>
          <w:vertAlign w:val="subscript"/>
          <w:lang w:val="fr-FR"/>
        </w:rPr>
        <w:t>ij</w:t>
      </w:r>
      <w:proofErr w:type="spellEnd"/>
      <w:r>
        <w:rPr>
          <w:lang w:val="fr-FR"/>
        </w:rPr>
        <w:t xml:space="preserve"> est le résidu (erreur aléatoire) du </w:t>
      </w:r>
      <w:proofErr w:type="spellStart"/>
      <w:r>
        <w:rPr>
          <w:lang w:val="fr-FR"/>
        </w:rPr>
        <w:t>j</w:t>
      </w:r>
      <w:r>
        <w:rPr>
          <w:vertAlign w:val="superscript"/>
          <w:lang w:val="fr-FR"/>
        </w:rPr>
        <w:t>ème</w:t>
      </w:r>
      <w:proofErr w:type="spellEnd"/>
      <w:r>
        <w:rPr>
          <w:lang w:val="fr-FR"/>
        </w:rPr>
        <w:t xml:space="preserve"> résultat du laboratoire I, j à n, avec les variances : </w:t>
      </w:r>
    </w:p>
    <w:p w14:paraId="53911E6B" w14:textId="77777777" w:rsidR="00133378" w:rsidRPr="00590B7E" w:rsidRDefault="00133378" w:rsidP="00133378">
      <w:pPr>
        <w:keepLines/>
        <w:tabs>
          <w:tab w:val="right" w:pos="8505"/>
        </w:tabs>
        <w:spacing w:after="120"/>
        <w:ind w:left="1701" w:firstLine="567"/>
        <w:rPr>
          <w:bCs/>
          <w:lang w:val="es-ES"/>
        </w:rPr>
      </w:pPr>
      <w:proofErr w:type="spellStart"/>
      <w:r w:rsidRPr="00590B7E">
        <w:rPr>
          <w:lang w:val="es-ES"/>
        </w:rPr>
        <w:t>var</w:t>
      </w:r>
      <w:proofErr w:type="spellEnd"/>
      <w:r w:rsidRPr="00590B7E">
        <w:rPr>
          <w:lang w:val="es-ES"/>
        </w:rPr>
        <w:t xml:space="preserve">(L) = </w:t>
      </w:r>
      <w:r>
        <w:rPr>
          <w:lang w:val="fr-FR"/>
        </w:rPr>
        <w:t>σ</w:t>
      </w:r>
      <w:r w:rsidRPr="00590B7E">
        <w:rPr>
          <w:vertAlign w:val="subscript"/>
          <w:lang w:val="es-ES"/>
        </w:rPr>
        <w:t>L</w:t>
      </w:r>
      <w:r w:rsidRPr="00590B7E">
        <w:rPr>
          <w:vertAlign w:val="superscript"/>
          <w:lang w:val="es-ES"/>
        </w:rPr>
        <w:t>2</w:t>
      </w:r>
      <w:r w:rsidRPr="00590B7E">
        <w:rPr>
          <w:lang w:val="es-ES"/>
        </w:rPr>
        <w:t xml:space="preserve">      </w:t>
      </w:r>
      <w:r w:rsidRPr="00590B7E">
        <w:rPr>
          <w:lang w:val="es-ES"/>
        </w:rPr>
        <w:tab/>
        <w:t>(10)</w:t>
      </w:r>
    </w:p>
    <w:p w14:paraId="0148C651" w14:textId="77777777" w:rsidR="00133378" w:rsidRPr="00590B7E" w:rsidRDefault="00133378" w:rsidP="00133378">
      <w:pPr>
        <w:keepLines/>
        <w:tabs>
          <w:tab w:val="left" w:pos="3119"/>
          <w:tab w:val="right" w:pos="8505"/>
        </w:tabs>
        <w:spacing w:after="120"/>
        <w:ind w:left="1701" w:firstLine="567"/>
        <w:rPr>
          <w:bCs/>
          <w:lang w:val="es-ES"/>
        </w:rPr>
      </w:pPr>
      <w:proofErr w:type="spellStart"/>
      <w:r w:rsidRPr="00590B7E">
        <w:rPr>
          <w:lang w:val="es-ES"/>
        </w:rPr>
        <w:t>var</w:t>
      </w:r>
      <w:proofErr w:type="spellEnd"/>
      <w:r w:rsidRPr="00590B7E">
        <w:rPr>
          <w:lang w:val="es-ES"/>
        </w:rPr>
        <w:t xml:space="preserve">(ɛ) = </w:t>
      </w:r>
      <w:r>
        <w:rPr>
          <w:lang w:val="fr-FR"/>
        </w:rPr>
        <w:t>σ</w:t>
      </w:r>
      <w:r w:rsidRPr="00590B7E">
        <w:rPr>
          <w:vertAlign w:val="subscript"/>
          <w:lang w:val="es-ES"/>
        </w:rPr>
        <w:t>ɛ</w:t>
      </w:r>
      <w:r w:rsidRPr="00590B7E">
        <w:rPr>
          <w:vertAlign w:val="superscript"/>
          <w:lang w:val="es-ES"/>
        </w:rPr>
        <w:t>2</w:t>
      </w:r>
      <w:r w:rsidRPr="00590B7E">
        <w:rPr>
          <w:lang w:val="es-ES"/>
        </w:rPr>
        <w:t xml:space="preserve">    </w:t>
      </w:r>
      <w:r w:rsidRPr="00590B7E">
        <w:rPr>
          <w:lang w:val="es-ES"/>
        </w:rPr>
        <w:tab/>
        <w:t>(11)</w:t>
      </w:r>
    </w:p>
    <w:p w14:paraId="5FECC3ED" w14:textId="20E970F3" w:rsidR="00133378" w:rsidRPr="008208C4" w:rsidRDefault="00133378" w:rsidP="008A78CB">
      <w:pPr>
        <w:pStyle w:val="SingleTxtG"/>
        <w:spacing w:before="0" w:line="240" w:lineRule="atLeast"/>
        <w:ind w:firstLine="567"/>
        <w:rPr>
          <w:bCs/>
        </w:rPr>
      </w:pPr>
      <w:r w:rsidRPr="00A86099">
        <w:rPr>
          <w:lang w:val="es-ES"/>
        </w:rPr>
        <w:tab/>
      </w:r>
      <w:r>
        <w:rPr>
          <w:lang w:val="fr-FR"/>
        </w:rPr>
        <w:t>On trouvera dans la partie 3 de la norme des méthodes de mesure de la grandeur de certaines des composantes aléatoires de L.</w:t>
      </w:r>
    </w:p>
    <w:p w14:paraId="19254546" w14:textId="28C37E03" w:rsidR="00133378" w:rsidRPr="008208C4" w:rsidRDefault="00133378" w:rsidP="008A78CB">
      <w:pPr>
        <w:pStyle w:val="SingleTxtG"/>
        <w:spacing w:before="0" w:line="240" w:lineRule="atLeast"/>
        <w:ind w:firstLine="567"/>
        <w:rPr>
          <w:bCs/>
        </w:rPr>
      </w:pPr>
      <w:r>
        <w:rPr>
          <w:lang w:val="fr-FR"/>
        </w:rPr>
        <w:lastRenderedPageBreak/>
        <w:tab/>
        <w:t xml:space="preserve">En général, </w:t>
      </w:r>
      <w:proofErr w:type="spellStart"/>
      <w:r>
        <w:rPr>
          <w:lang w:val="fr-FR"/>
        </w:rPr>
        <w:t>L</w:t>
      </w:r>
      <w:proofErr w:type="spellEnd"/>
      <w:r>
        <w:rPr>
          <w:lang w:val="fr-FR"/>
        </w:rPr>
        <w:t xml:space="preserve"> peut être considéré comme la somme des erreurs aléatoires et systématiques.</w:t>
      </w:r>
    </w:p>
    <w:p w14:paraId="45DF5C21" w14:textId="6EC613E7" w:rsidR="00133378" w:rsidRPr="008208C4" w:rsidRDefault="00133378" w:rsidP="008A78CB">
      <w:pPr>
        <w:pStyle w:val="SingleTxtG"/>
        <w:spacing w:before="0" w:line="240" w:lineRule="atLeast"/>
        <w:ind w:firstLine="567"/>
        <w:rPr>
          <w:bCs/>
        </w:rPr>
      </w:pPr>
      <w:r>
        <w:rPr>
          <w:lang w:val="fr-FR"/>
        </w:rPr>
        <w:tab/>
        <w:t xml:space="preserve">Pour un même laboratoire, sa variance dans des conditions répétables est appelée la variance </w:t>
      </w:r>
      <w:proofErr w:type="spellStart"/>
      <w:r>
        <w:rPr>
          <w:lang w:val="fr-FR"/>
        </w:rPr>
        <w:t>intralaboratoire</w:t>
      </w:r>
      <w:proofErr w:type="spellEnd"/>
      <w:r>
        <w:rPr>
          <w:lang w:val="fr-FR"/>
        </w:rPr>
        <w:t xml:space="preserve"> et est donnée par :</w:t>
      </w:r>
    </w:p>
    <w:p w14:paraId="24DE45B1" w14:textId="77777777" w:rsidR="00133378" w:rsidRPr="00564692" w:rsidRDefault="00133378" w:rsidP="00133378">
      <w:pPr>
        <w:keepLines/>
        <w:tabs>
          <w:tab w:val="right" w:pos="8505"/>
        </w:tabs>
        <w:spacing w:after="120"/>
        <w:ind w:left="1134" w:firstLine="567"/>
        <w:jc w:val="both"/>
        <w:rPr>
          <w:bCs/>
        </w:rPr>
      </w:pPr>
      <m:oMath>
        <m:sSubSup>
          <m:sSubSupPr>
            <m:ctrlPr>
              <w:rPr>
                <w:rFonts w:ascii="Cambria Math" w:hAnsi="Cambria Math"/>
                <w:bCs/>
                <w:iCs/>
                <w:lang w:val="en-GB"/>
              </w:rPr>
            </m:ctrlPr>
          </m:sSubSupPr>
          <m:e>
            <m:r>
              <m:rPr>
                <m:sty m:val="p"/>
              </m:rPr>
              <w:rPr>
                <w:rFonts w:ascii="Cambria Math" w:hAnsi="Cambria Math"/>
                <w:lang w:val="en-GB"/>
              </w:rPr>
              <m:t>σ</m:t>
            </m:r>
          </m:e>
          <m:sub>
            <m:r>
              <m:rPr>
                <m:sty m:val="p"/>
              </m:rPr>
              <w:rPr>
                <w:rFonts w:ascii="Cambria Math" w:hAnsi="Cambria Math"/>
                <w:lang w:val="fr-FR"/>
              </w:rPr>
              <m:t>L</m:t>
            </m:r>
          </m:sub>
          <m:sup>
            <m:r>
              <m:rPr>
                <m:sty m:val="p"/>
              </m:rPr>
              <w:rPr>
                <w:rFonts w:ascii="Cambria Math" w:hAnsi="Cambria Math"/>
                <w:lang w:val="fr-FR"/>
              </w:rPr>
              <m:t>2</m:t>
            </m:r>
          </m:sup>
        </m:sSubSup>
        <m:r>
          <m:rPr>
            <m:sty m:val="p"/>
          </m:rPr>
          <w:rPr>
            <w:rFonts w:ascii="Cambria Math" w:hAnsi="Cambria Math"/>
            <w:lang w:val="fr-FR"/>
          </w:rPr>
          <m:t>=</m:t>
        </m:r>
        <m:bar>
          <m:barPr>
            <m:pos m:val="top"/>
            <m:ctrlPr>
              <w:rPr>
                <w:rFonts w:ascii="Cambria Math" w:hAnsi="Cambria Math"/>
                <w:bCs/>
                <w:iCs/>
                <w:lang w:val="en-GB"/>
              </w:rPr>
            </m:ctrlPr>
          </m:barPr>
          <m:e>
            <m:r>
              <m:rPr>
                <m:sty m:val="p"/>
              </m:rPr>
              <w:rPr>
                <w:rFonts w:ascii="Cambria Math" w:hAnsi="Cambria Math"/>
                <w:lang w:val="fr-FR"/>
              </w:rPr>
              <m:t>var</m:t>
            </m:r>
            <m:d>
              <m:dPr>
                <m:ctrlPr>
                  <w:rPr>
                    <w:rFonts w:ascii="Cambria Math" w:hAnsi="Cambria Math"/>
                    <w:bCs/>
                    <w:iCs/>
                    <w:lang w:val="en-GB"/>
                  </w:rPr>
                </m:ctrlPr>
              </m:dPr>
              <m:e>
                <m:r>
                  <m:rPr>
                    <m:sty m:val="p"/>
                  </m:rPr>
                  <w:rPr>
                    <w:rFonts w:ascii="Cambria Math" w:hAnsi="Cambria Math"/>
                    <w:lang w:val="en-GB"/>
                  </w:rPr>
                  <m:t>ε</m:t>
                </m:r>
              </m:e>
            </m:d>
          </m:e>
        </m:bar>
        <m:r>
          <m:rPr>
            <m:sty m:val="p"/>
          </m:rPr>
          <w:rPr>
            <w:rFonts w:ascii="Cambria Math" w:hAnsi="Cambria Math"/>
            <w:lang w:val="fr-FR"/>
          </w:rPr>
          <m:t>=</m:t>
        </m:r>
        <m:bar>
          <m:barPr>
            <m:pos m:val="top"/>
            <m:ctrlPr>
              <w:rPr>
                <w:rFonts w:ascii="Cambria Math" w:hAnsi="Cambria Math"/>
                <w:bCs/>
                <w:iCs/>
                <w:lang w:val="en-GB"/>
              </w:rPr>
            </m:ctrlPr>
          </m:barPr>
          <m:e>
            <m:sSubSup>
              <m:sSubSupPr>
                <m:ctrlPr>
                  <w:rPr>
                    <w:rFonts w:ascii="Cambria Math" w:hAnsi="Cambria Math"/>
                    <w:bCs/>
                    <w:iCs/>
                    <w:lang w:val="en-GB"/>
                  </w:rPr>
                </m:ctrlPr>
              </m:sSubSupPr>
              <m:e>
                <m:r>
                  <m:rPr>
                    <m:sty m:val="p"/>
                  </m:rPr>
                  <w:rPr>
                    <w:rFonts w:ascii="Cambria Math" w:hAnsi="Cambria Math"/>
                    <w:lang w:val="en-GB"/>
                  </w:rPr>
                  <m:t>σ</m:t>
                </m:r>
              </m:e>
              <m:sub>
                <m:r>
                  <m:rPr>
                    <m:sty m:val="p"/>
                  </m:rPr>
                  <w:rPr>
                    <w:rFonts w:ascii="Cambria Math" w:hAnsi="Cambria Math"/>
                    <w:lang w:val="fr-FR"/>
                  </w:rPr>
                  <m:t>W</m:t>
                </m:r>
              </m:sub>
              <m:sup>
                <m:r>
                  <m:rPr>
                    <m:sty m:val="p"/>
                  </m:rPr>
                  <w:rPr>
                    <w:rFonts w:ascii="Cambria Math" w:hAnsi="Cambria Math"/>
                    <w:lang w:val="fr-FR"/>
                  </w:rPr>
                  <m:t>2</m:t>
                </m:r>
              </m:sup>
            </m:sSubSup>
          </m:e>
        </m:bar>
      </m:oMath>
      <w:r>
        <w:rPr>
          <w:lang w:val="fr-FR"/>
        </w:rPr>
        <w:t xml:space="preserve">            </w:t>
      </w:r>
      <w:r>
        <w:rPr>
          <w:lang w:val="fr-FR"/>
        </w:rPr>
        <w:tab/>
        <w:t>(12)</w:t>
      </w:r>
    </w:p>
    <w:p w14:paraId="7E2459C2" w14:textId="3FF66474" w:rsidR="00133378" w:rsidRPr="008208C4" w:rsidRDefault="00133378" w:rsidP="008A78CB">
      <w:pPr>
        <w:pStyle w:val="SingleTxtG"/>
        <w:spacing w:before="0" w:line="240" w:lineRule="atLeast"/>
        <w:ind w:firstLine="567"/>
        <w:rPr>
          <w:bCs/>
        </w:rPr>
      </w:pPr>
      <w:r>
        <w:rPr>
          <w:lang w:val="fr-FR"/>
        </w:rPr>
        <w:tab/>
        <w:t>Cette moyenne arithmétique est calculée pour l’ensemble des laboratoires qui participent à l’évaluation de l’exactitude de la méthode de mesure et subsistent après élimination des valeurs aberrantes.</w:t>
      </w:r>
    </w:p>
    <w:p w14:paraId="53946C19" w14:textId="6A788064" w:rsidR="00133378" w:rsidRPr="008208C4" w:rsidRDefault="00133378" w:rsidP="008A78CB">
      <w:pPr>
        <w:pStyle w:val="SingleTxtG"/>
        <w:spacing w:before="0" w:line="240" w:lineRule="atLeast"/>
        <w:ind w:firstLine="567"/>
        <w:rPr>
          <w:bCs/>
        </w:rPr>
      </w:pPr>
      <w:r>
        <w:rPr>
          <w:lang w:val="fr-FR"/>
        </w:rPr>
        <w:tab/>
        <w:t xml:space="preserve">Dans ce modèle de base, la variance de répétabilité est directement considérée comme égale au terme d’erreur ɛ, mais la variance de reproductibilité dépend de la somme de la variance de répétabilité et de la variance </w:t>
      </w:r>
      <w:proofErr w:type="spellStart"/>
      <w:r>
        <w:rPr>
          <w:lang w:val="fr-FR"/>
        </w:rPr>
        <w:t>interlaboratoires</w:t>
      </w:r>
      <w:proofErr w:type="spellEnd"/>
      <w:r>
        <w:rPr>
          <w:lang w:val="fr-FR"/>
        </w:rPr>
        <w:t xml:space="preserve"> donnée par la fonction (10).</w:t>
      </w:r>
    </w:p>
    <w:p w14:paraId="0003E868" w14:textId="2BE27CC2" w:rsidR="00133378" w:rsidRDefault="00133378" w:rsidP="008A78CB">
      <w:pPr>
        <w:pStyle w:val="SingleTxtG"/>
        <w:spacing w:before="0" w:line="240" w:lineRule="atLeast"/>
        <w:ind w:firstLine="567"/>
        <w:rPr>
          <w:lang w:val="fr-FR"/>
        </w:rPr>
      </w:pPr>
      <w:r>
        <w:rPr>
          <w:lang w:val="fr-FR"/>
        </w:rPr>
        <w:tab/>
        <w:t>Pour les évaluations de la précision :</w:t>
      </w:r>
    </w:p>
    <w:p w14:paraId="30F791C8" w14:textId="77777777" w:rsidR="00133378" w:rsidRPr="008208C4" w:rsidRDefault="00133378" w:rsidP="00133378">
      <w:pPr>
        <w:pStyle w:val="Bullet1G"/>
        <w:numPr>
          <w:ilvl w:val="0"/>
          <w:numId w:val="0"/>
        </w:numPr>
        <w:tabs>
          <w:tab w:val="left" w:pos="1701"/>
        </w:tabs>
        <w:ind w:left="1701" w:hanging="170"/>
      </w:pPr>
      <w:r w:rsidRPr="008208C4">
        <w:t>•</w:t>
      </w:r>
      <w:r w:rsidRPr="008208C4">
        <w:tab/>
      </w:r>
      <w:r>
        <w:rPr>
          <w:lang w:val="fr-FR"/>
        </w:rPr>
        <w:t xml:space="preserve">Écart-type de répétabilité : </w:t>
      </w:r>
      <w:proofErr w:type="spellStart"/>
      <w:r>
        <w:rPr>
          <w:lang w:val="fr-FR"/>
        </w:rPr>
        <w:t>σ</w:t>
      </w:r>
      <w:r>
        <w:rPr>
          <w:vertAlign w:val="subscript"/>
          <w:lang w:val="fr-FR"/>
        </w:rPr>
        <w:t>r</w:t>
      </w:r>
      <w:proofErr w:type="spellEnd"/>
      <w:r>
        <w:rPr>
          <w:vertAlign w:val="subscript"/>
          <w:lang w:val="fr-FR"/>
        </w:rPr>
        <w:t xml:space="preserve"> </w:t>
      </w:r>
      <w:r>
        <w:rPr>
          <w:lang w:val="fr-FR"/>
        </w:rPr>
        <w:t xml:space="preserve">= </w:t>
      </w:r>
      <w:proofErr w:type="spellStart"/>
      <w:r>
        <w:rPr>
          <w:lang w:val="fr-FR"/>
        </w:rPr>
        <w:t>σ</w:t>
      </w:r>
      <w:r>
        <w:rPr>
          <w:vertAlign w:val="subscript"/>
          <w:lang w:val="fr-FR"/>
        </w:rPr>
        <w:t>ɛ</w:t>
      </w:r>
      <w:proofErr w:type="spellEnd"/>
    </w:p>
    <w:p w14:paraId="24A081BF" w14:textId="77777777" w:rsidR="00133378" w:rsidRPr="008208C4" w:rsidRDefault="00133378" w:rsidP="00133378">
      <w:pPr>
        <w:pStyle w:val="Bullet1G"/>
        <w:numPr>
          <w:ilvl w:val="0"/>
          <w:numId w:val="0"/>
        </w:numPr>
        <w:tabs>
          <w:tab w:val="left" w:pos="1701"/>
        </w:tabs>
        <w:ind w:left="1701" w:hanging="170"/>
        <w:rPr>
          <w:bCs/>
        </w:rPr>
      </w:pPr>
      <w:r w:rsidRPr="008208C4">
        <w:rPr>
          <w:bCs/>
        </w:rPr>
        <w:t>•</w:t>
      </w:r>
      <w:r w:rsidRPr="008208C4">
        <w:rPr>
          <w:bCs/>
        </w:rPr>
        <w:tab/>
      </w:r>
      <w:r>
        <w:rPr>
          <w:lang w:val="fr-FR"/>
        </w:rPr>
        <w:t>Écart-type de reproductibilité : σ</w:t>
      </w:r>
      <w:r>
        <w:rPr>
          <w:vertAlign w:val="subscript"/>
          <w:lang w:val="fr-FR"/>
        </w:rPr>
        <w:t>R</w:t>
      </w:r>
      <w:r>
        <w:rPr>
          <w:vertAlign w:val="superscript"/>
          <w:lang w:val="fr-FR"/>
        </w:rPr>
        <w:t>2</w:t>
      </w:r>
      <w:r>
        <w:rPr>
          <w:lang w:val="fr-FR"/>
        </w:rPr>
        <w:t xml:space="preserve"> = σ</w:t>
      </w:r>
      <w:r>
        <w:rPr>
          <w:vertAlign w:val="subscript"/>
          <w:lang w:val="fr-FR"/>
        </w:rPr>
        <w:t>L</w:t>
      </w:r>
      <w:r>
        <w:rPr>
          <w:vertAlign w:val="superscript"/>
          <w:lang w:val="fr-FR"/>
        </w:rPr>
        <w:t>2</w:t>
      </w:r>
      <w:r>
        <w:rPr>
          <w:lang w:val="fr-FR"/>
        </w:rPr>
        <w:t xml:space="preserve"> + σ</w:t>
      </w:r>
      <w:r>
        <w:rPr>
          <w:vertAlign w:val="subscript"/>
          <w:lang w:val="fr-FR"/>
        </w:rPr>
        <w:t>r</w:t>
      </w:r>
      <w:r>
        <w:rPr>
          <w:vertAlign w:val="superscript"/>
          <w:lang w:val="fr-FR"/>
        </w:rPr>
        <w:t>2</w:t>
      </w:r>
      <w:r>
        <w:rPr>
          <w:lang w:val="fr-FR"/>
        </w:rPr>
        <w:t xml:space="preserve">  </w:t>
      </w:r>
    </w:p>
    <w:p w14:paraId="3C9E46C1" w14:textId="77777777" w:rsidR="00133378" w:rsidRPr="008208C4" w:rsidRDefault="00133378" w:rsidP="008A78CB">
      <w:pPr>
        <w:pStyle w:val="SingleTxtG"/>
        <w:spacing w:before="0" w:line="240" w:lineRule="atLeast"/>
        <w:ind w:firstLine="567"/>
        <w:rPr>
          <w:bCs/>
        </w:rPr>
      </w:pPr>
      <w:r>
        <w:rPr>
          <w:lang w:val="fr-FR"/>
        </w:rPr>
        <w:tab/>
      </w:r>
      <w:r>
        <w:rPr>
          <w:lang w:val="fr-FR"/>
        </w:rPr>
        <w:tab/>
        <w:t>Estimation de la composante de variance :</w:t>
      </w:r>
    </w:p>
    <w:p w14:paraId="1F0D2B73" w14:textId="77777777" w:rsidR="00133378" w:rsidRPr="008208C4" w:rsidRDefault="00133378" w:rsidP="00133378">
      <w:pPr>
        <w:pStyle w:val="Bullet1G"/>
        <w:numPr>
          <w:ilvl w:val="0"/>
          <w:numId w:val="0"/>
        </w:numPr>
        <w:tabs>
          <w:tab w:val="left" w:pos="1701"/>
        </w:tabs>
        <w:ind w:left="1701" w:hanging="170"/>
        <w:rPr>
          <w:bCs/>
        </w:rPr>
      </w:pPr>
      <w:r w:rsidRPr="008208C4">
        <w:rPr>
          <w:bCs/>
        </w:rPr>
        <w:t>•</w:t>
      </w:r>
      <w:r w:rsidRPr="008208C4">
        <w:rPr>
          <w:bCs/>
        </w:rPr>
        <w:tab/>
      </w:r>
      <w:r>
        <w:rPr>
          <w:lang w:val="fr-FR"/>
        </w:rPr>
        <w:t>Répétabilité :  s</w:t>
      </w:r>
      <w:r>
        <w:rPr>
          <w:vertAlign w:val="subscript"/>
          <w:lang w:val="fr-FR"/>
        </w:rPr>
        <w:t>r</w:t>
      </w:r>
      <w:r>
        <w:rPr>
          <w:lang w:val="fr-FR"/>
        </w:rPr>
        <w:t xml:space="preserve"> = </w:t>
      </w:r>
      <w:proofErr w:type="spellStart"/>
      <w:r>
        <w:rPr>
          <w:lang w:val="fr-FR"/>
        </w:rPr>
        <w:t>s</w:t>
      </w:r>
      <w:r>
        <w:rPr>
          <w:vertAlign w:val="subscript"/>
          <w:lang w:val="fr-FR"/>
        </w:rPr>
        <w:t>ɛ</w:t>
      </w:r>
      <w:proofErr w:type="spellEnd"/>
    </w:p>
    <w:p w14:paraId="5748A7F4" w14:textId="77777777" w:rsidR="00133378" w:rsidRPr="008208C4" w:rsidRDefault="00133378" w:rsidP="00133378">
      <w:pPr>
        <w:pStyle w:val="Bullet1G"/>
        <w:numPr>
          <w:ilvl w:val="0"/>
          <w:numId w:val="0"/>
        </w:numPr>
        <w:tabs>
          <w:tab w:val="left" w:pos="1701"/>
        </w:tabs>
        <w:ind w:left="1701" w:hanging="170"/>
        <w:rPr>
          <w:bCs/>
        </w:rPr>
      </w:pPr>
      <w:r w:rsidRPr="008208C4">
        <w:rPr>
          <w:bCs/>
        </w:rPr>
        <w:t>•</w:t>
      </w:r>
      <w:r w:rsidRPr="008208C4">
        <w:rPr>
          <w:bCs/>
        </w:rPr>
        <w:tab/>
      </w:r>
      <w:r>
        <w:rPr>
          <w:lang w:val="fr-FR"/>
        </w:rPr>
        <w:t>Reproductibilité : s</w:t>
      </w:r>
      <w:r>
        <w:rPr>
          <w:vertAlign w:val="subscript"/>
          <w:lang w:val="fr-FR"/>
        </w:rPr>
        <w:t>R</w:t>
      </w:r>
      <w:r>
        <w:rPr>
          <w:vertAlign w:val="superscript"/>
          <w:lang w:val="fr-FR"/>
        </w:rPr>
        <w:t>2</w:t>
      </w:r>
      <w:r>
        <w:rPr>
          <w:lang w:val="fr-FR"/>
        </w:rPr>
        <w:t xml:space="preserve"> = s</w:t>
      </w:r>
      <w:r>
        <w:rPr>
          <w:vertAlign w:val="subscript"/>
          <w:lang w:val="fr-FR"/>
        </w:rPr>
        <w:t>ɛ</w:t>
      </w:r>
      <w:r>
        <w:rPr>
          <w:vertAlign w:val="superscript"/>
          <w:lang w:val="fr-FR"/>
        </w:rPr>
        <w:t>2</w:t>
      </w:r>
      <w:r>
        <w:rPr>
          <w:lang w:val="fr-FR"/>
        </w:rPr>
        <w:t xml:space="preserve"> + s</w:t>
      </w:r>
      <w:r>
        <w:rPr>
          <w:vertAlign w:val="subscript"/>
          <w:lang w:val="fr-FR"/>
        </w:rPr>
        <w:t>L</w:t>
      </w:r>
      <w:r>
        <w:rPr>
          <w:vertAlign w:val="superscript"/>
          <w:lang w:val="fr-FR"/>
        </w:rPr>
        <w:t>2</w:t>
      </w:r>
    </w:p>
    <w:p w14:paraId="196018EE" w14:textId="2AD8DEB1" w:rsidR="00133378" w:rsidRPr="008208C4" w:rsidRDefault="00133378" w:rsidP="008A78CB">
      <w:pPr>
        <w:pStyle w:val="SingleTxtG"/>
        <w:spacing w:before="0" w:line="240" w:lineRule="atLeast"/>
        <w:ind w:firstLine="567"/>
        <w:rPr>
          <w:bCs/>
        </w:rPr>
      </w:pPr>
      <w:r>
        <w:rPr>
          <w:lang w:val="fr-FR"/>
        </w:rPr>
        <w:tab/>
        <w:t>Pour les évaluations de la justesse :</w:t>
      </w:r>
    </w:p>
    <w:p w14:paraId="16A91B69" w14:textId="77777777" w:rsidR="00133378" w:rsidRPr="008208C4" w:rsidRDefault="00133378" w:rsidP="00133378">
      <w:pPr>
        <w:keepLines/>
        <w:tabs>
          <w:tab w:val="right" w:pos="8505"/>
        </w:tabs>
        <w:spacing w:after="120"/>
        <w:ind w:left="1134" w:right="1134" w:firstLine="567"/>
        <w:jc w:val="both"/>
        <w:rPr>
          <w:bCs/>
        </w:rPr>
      </w:pPr>
      <w:r>
        <w:rPr>
          <w:lang w:val="fr-FR"/>
        </w:rPr>
        <w:t xml:space="preserve">δ = m - µ                    </w:t>
      </w:r>
      <w:r>
        <w:rPr>
          <w:lang w:val="fr-FR"/>
        </w:rPr>
        <w:tab/>
        <w:t xml:space="preserve">(13) </w:t>
      </w:r>
    </w:p>
    <w:p w14:paraId="708D406A" w14:textId="5CE3F953" w:rsidR="00133378" w:rsidRPr="008208C4" w:rsidRDefault="00133378" w:rsidP="008A78CB">
      <w:pPr>
        <w:pStyle w:val="SingleTxtG"/>
        <w:spacing w:before="0" w:line="240" w:lineRule="atLeast"/>
        <w:ind w:firstLine="567"/>
        <w:rPr>
          <w:bCs/>
        </w:rPr>
      </w:pPr>
      <w:r>
        <w:rPr>
          <w:lang w:val="fr-FR"/>
        </w:rPr>
        <w:tab/>
        <w:t xml:space="preserve">Où µ est la valeur de référence si celle-ci existe.   </w:t>
      </w:r>
    </w:p>
    <w:p w14:paraId="75ED2854" w14:textId="30E0DADE" w:rsidR="00133378" w:rsidRDefault="00133378" w:rsidP="008A78CB">
      <w:pPr>
        <w:pStyle w:val="SingleTxtG"/>
        <w:spacing w:before="0" w:line="240" w:lineRule="atLeast"/>
        <w:ind w:firstLine="567"/>
        <w:rPr>
          <w:bCs/>
        </w:rPr>
      </w:pPr>
      <w:r>
        <w:rPr>
          <w:lang w:val="fr-FR"/>
        </w:rPr>
        <w:tab/>
        <w:t xml:space="preserve">L’estimation est donnée par :  </w:t>
      </w:r>
    </w:p>
    <w:p w14:paraId="2631083E" w14:textId="77777777" w:rsidR="00133378" w:rsidRDefault="00133378" w:rsidP="00133378">
      <w:pPr>
        <w:keepLines/>
        <w:tabs>
          <w:tab w:val="right" w:pos="8505"/>
        </w:tabs>
        <w:spacing w:after="120"/>
        <w:ind w:left="1134" w:right="1134" w:firstLine="567"/>
        <w:jc w:val="both"/>
        <w:rPr>
          <w:bCs/>
        </w:rPr>
      </w:pPr>
      <m:oMath>
        <m:acc>
          <m:accPr>
            <m:ctrlPr>
              <w:rPr>
                <w:rFonts w:ascii="Cambria Math" w:hAnsi="Cambria Math"/>
                <w:bCs/>
                <w:iCs/>
                <w:lang w:val="en-GB"/>
              </w:rPr>
            </m:ctrlPr>
          </m:accPr>
          <m:e>
            <m:r>
              <m:rPr>
                <m:sty m:val="p"/>
              </m:rPr>
              <w:rPr>
                <w:rFonts w:ascii="Cambria Math" w:hAnsi="Cambria Math"/>
                <w:lang w:val="en-GB"/>
              </w:rPr>
              <m:t>δ</m:t>
            </m:r>
          </m:e>
        </m:acc>
        <m:r>
          <m:rPr>
            <m:sty m:val="p"/>
          </m:rPr>
          <w:rPr>
            <w:rFonts w:ascii="Cambria Math" w:hAnsi="Cambria Math"/>
            <w:lang w:val="fr-FR"/>
          </w:rPr>
          <m:t xml:space="preserve">= </m:t>
        </m:r>
        <m:acc>
          <m:accPr>
            <m:ctrlPr>
              <w:rPr>
                <w:rFonts w:ascii="Cambria Math" w:hAnsi="Cambria Math"/>
                <w:bCs/>
                <w:iCs/>
                <w:lang w:val="en-GB"/>
              </w:rPr>
            </m:ctrlPr>
          </m:accPr>
          <m:e>
            <m:r>
              <m:rPr>
                <m:sty m:val="p"/>
              </m:rPr>
              <w:rPr>
                <w:rFonts w:ascii="Cambria Math" w:hAnsi="Cambria Math"/>
                <w:lang w:val="fr-FR"/>
              </w:rPr>
              <m:t>m</m:t>
            </m:r>
          </m:e>
        </m:acc>
        <m:r>
          <m:rPr>
            <m:sty m:val="p"/>
          </m:rPr>
          <w:rPr>
            <w:rFonts w:ascii="Cambria Math" w:hAnsi="Cambria Math"/>
            <w:lang w:val="fr-FR"/>
          </w:rPr>
          <m:t xml:space="preserve">- </m:t>
        </m:r>
        <m:r>
          <m:rPr>
            <m:sty m:val="p"/>
          </m:rPr>
          <w:rPr>
            <w:rFonts w:ascii="Cambria Math" w:hAnsi="Cambria Math"/>
            <w:lang w:val="en-GB"/>
          </w:rPr>
          <m:t>μ</m:t>
        </m:r>
      </m:oMath>
      <w:r>
        <w:rPr>
          <w:lang w:val="fr-FR"/>
        </w:rPr>
        <w:tab/>
        <w:t>(14)</w:t>
      </w:r>
    </w:p>
    <w:p w14:paraId="4215F163" w14:textId="3D3937D6" w:rsidR="00133378" w:rsidRPr="008208C4" w:rsidRDefault="00133378" w:rsidP="008A78CB">
      <w:pPr>
        <w:pStyle w:val="SingleTxtG"/>
        <w:spacing w:before="0" w:line="240" w:lineRule="atLeast"/>
        <w:ind w:firstLine="567"/>
        <w:rPr>
          <w:bCs/>
        </w:rPr>
      </w:pPr>
      <w:r>
        <w:rPr>
          <w:lang w:val="fr-FR"/>
        </w:rPr>
        <w:tab/>
        <w:t>L’incertitude composée µc(y) dépend des valeurs de précision :</w:t>
      </w:r>
    </w:p>
    <w:p w14:paraId="5EDA4C03" w14:textId="77777777" w:rsidR="00133378" w:rsidRPr="008208C4" w:rsidRDefault="00133378" w:rsidP="00133378">
      <w:pPr>
        <w:pStyle w:val="Bullet1G"/>
        <w:numPr>
          <w:ilvl w:val="0"/>
          <w:numId w:val="0"/>
        </w:numPr>
        <w:tabs>
          <w:tab w:val="left" w:pos="1701"/>
        </w:tabs>
        <w:ind w:left="1701" w:hanging="170"/>
        <w:rPr>
          <w:bCs/>
        </w:rPr>
      </w:pPr>
      <w:r w:rsidRPr="008208C4">
        <w:rPr>
          <w:bCs/>
        </w:rPr>
        <w:t>•</w:t>
      </w:r>
      <w:r w:rsidRPr="008208C4">
        <w:rPr>
          <w:bCs/>
        </w:rPr>
        <w:tab/>
      </w:r>
      <w:r>
        <w:rPr>
          <w:lang w:val="fr-FR"/>
        </w:rPr>
        <w:t>dans des conditions de répétabilité : µ</w:t>
      </w:r>
      <w:r>
        <w:rPr>
          <w:vertAlign w:val="subscript"/>
          <w:lang w:val="fr-FR"/>
        </w:rPr>
        <w:t>c</w:t>
      </w:r>
      <w:r>
        <w:rPr>
          <w:lang w:val="fr-FR"/>
        </w:rPr>
        <w:t xml:space="preserve">(y) = </w:t>
      </w:r>
      <w:proofErr w:type="spellStart"/>
      <w:r>
        <w:rPr>
          <w:lang w:val="fr-FR"/>
        </w:rPr>
        <w:t>s</w:t>
      </w:r>
      <w:r>
        <w:rPr>
          <w:vertAlign w:val="subscript"/>
          <w:lang w:val="fr-FR"/>
        </w:rPr>
        <w:t>ɛ</w:t>
      </w:r>
      <w:proofErr w:type="spellEnd"/>
      <w:r>
        <w:rPr>
          <w:lang w:val="fr-FR"/>
        </w:rPr>
        <w:t xml:space="preserve"> </w:t>
      </w:r>
    </w:p>
    <w:p w14:paraId="77A30240" w14:textId="77777777" w:rsidR="00133378" w:rsidRPr="008208C4" w:rsidRDefault="00133378" w:rsidP="00133378">
      <w:pPr>
        <w:pStyle w:val="Bullet1G"/>
        <w:numPr>
          <w:ilvl w:val="0"/>
          <w:numId w:val="0"/>
        </w:numPr>
        <w:tabs>
          <w:tab w:val="left" w:pos="1701"/>
        </w:tabs>
        <w:ind w:left="1701" w:hanging="170"/>
        <w:rPr>
          <w:bCs/>
        </w:rPr>
      </w:pPr>
      <w:r w:rsidRPr="008208C4">
        <w:rPr>
          <w:bCs/>
        </w:rPr>
        <w:t>•</w:t>
      </w:r>
      <w:r w:rsidRPr="008208C4">
        <w:rPr>
          <w:bCs/>
        </w:rPr>
        <w:tab/>
      </w:r>
      <w:r>
        <w:rPr>
          <w:lang w:val="fr-FR"/>
        </w:rPr>
        <w:t>dans des conditions de reproductibilité : µ</w:t>
      </w:r>
      <w:r>
        <w:rPr>
          <w:vertAlign w:val="subscript"/>
          <w:lang w:val="fr-FR"/>
        </w:rPr>
        <w:t>c</w:t>
      </w:r>
      <w:r>
        <w:rPr>
          <w:lang w:val="fr-FR"/>
        </w:rPr>
        <w:t xml:space="preserve">(y) = </w:t>
      </w:r>
      <w:proofErr w:type="spellStart"/>
      <w:r>
        <w:rPr>
          <w:lang w:val="fr-FR"/>
        </w:rPr>
        <w:t>s</w:t>
      </w:r>
      <w:r>
        <w:rPr>
          <w:vertAlign w:val="subscript"/>
          <w:lang w:val="fr-FR"/>
        </w:rPr>
        <w:t>R</w:t>
      </w:r>
      <w:proofErr w:type="spellEnd"/>
      <w:r>
        <w:rPr>
          <w:lang w:val="fr-FR"/>
        </w:rPr>
        <w:t xml:space="preserve"> </w:t>
      </w:r>
    </w:p>
    <w:p w14:paraId="439A586C" w14:textId="571FE7A1" w:rsidR="00133378" w:rsidRPr="008208C4" w:rsidRDefault="00133378" w:rsidP="008A78CB">
      <w:pPr>
        <w:pStyle w:val="SingleTxtG"/>
        <w:spacing w:before="0" w:line="240" w:lineRule="atLeast"/>
        <w:ind w:firstLine="567"/>
        <w:rPr>
          <w:bCs/>
        </w:rPr>
      </w:pPr>
      <w:r>
        <w:rPr>
          <w:lang w:val="fr-FR"/>
        </w:rPr>
        <w:tab/>
        <w:t xml:space="preserve">L’incertitude élargie est donnée par : </w:t>
      </w:r>
    </w:p>
    <w:p w14:paraId="133EF4CA" w14:textId="77777777" w:rsidR="00133378" w:rsidRPr="008208C4" w:rsidRDefault="00133378" w:rsidP="00133378">
      <w:pPr>
        <w:keepLines/>
        <w:tabs>
          <w:tab w:val="right" w:pos="8505"/>
        </w:tabs>
        <w:spacing w:after="120"/>
        <w:ind w:left="1134" w:right="1134" w:firstLine="567"/>
        <w:jc w:val="both"/>
        <w:rPr>
          <w:bCs/>
        </w:rPr>
      </w:pPr>
      <w:r>
        <w:rPr>
          <w:lang w:val="fr-FR"/>
        </w:rPr>
        <w:t>U = k· µ</w:t>
      </w:r>
      <w:r>
        <w:rPr>
          <w:vertAlign w:val="subscript"/>
          <w:lang w:val="fr-FR"/>
        </w:rPr>
        <w:t>c</w:t>
      </w:r>
      <w:r>
        <w:rPr>
          <w:lang w:val="fr-FR"/>
        </w:rPr>
        <w:t xml:space="preserve">(y)               </w:t>
      </w:r>
      <w:r>
        <w:rPr>
          <w:lang w:val="fr-FR"/>
        </w:rPr>
        <w:tab/>
        <w:t>(15)</w:t>
      </w:r>
    </w:p>
    <w:p w14:paraId="71419CC8" w14:textId="7E05F1FD" w:rsidR="00133378" w:rsidRPr="00E63698" w:rsidRDefault="00133378" w:rsidP="008A78CB">
      <w:pPr>
        <w:pStyle w:val="SingleTxtG"/>
        <w:spacing w:before="0" w:line="240" w:lineRule="atLeast"/>
        <w:ind w:firstLine="567"/>
        <w:rPr>
          <w:bCs/>
        </w:rPr>
      </w:pPr>
      <w:r>
        <w:rPr>
          <w:lang w:val="fr-FR"/>
        </w:rPr>
        <w:tab/>
        <w:t>Où k est le facteur d’élargissement choisi.</w:t>
      </w:r>
      <w:bookmarkStart w:id="18" w:name="_Toc83987020"/>
      <w:bookmarkStart w:id="19" w:name="_Toc87431065"/>
    </w:p>
    <w:p w14:paraId="7D2895B8" w14:textId="45216355" w:rsidR="00133378" w:rsidRPr="002D4003" w:rsidRDefault="00133378" w:rsidP="00133378">
      <w:pPr>
        <w:pStyle w:val="HChG"/>
      </w:pPr>
      <w:r>
        <w:tab/>
      </w:r>
      <w:r w:rsidRPr="002D4003">
        <w:t>7.</w:t>
      </w:r>
      <w:r w:rsidRPr="002D4003">
        <w:tab/>
      </w:r>
      <w:bookmarkStart w:id="20" w:name="_Hlk90452612"/>
      <w:r>
        <w:rPr>
          <w:lang w:val="fr-FR"/>
        </w:rPr>
        <w:t xml:space="preserve">Exemple d’estimation de l’incertitude élargie : </w:t>
      </w:r>
      <w:r w:rsidR="008C31B6">
        <w:rPr>
          <w:lang w:val="fr-FR"/>
        </w:rPr>
        <w:br/>
      </w:r>
      <w:r>
        <w:rPr>
          <w:lang w:val="fr-FR"/>
        </w:rPr>
        <w:t>Règlement ONU n</w:t>
      </w:r>
      <w:r>
        <w:rPr>
          <w:vertAlign w:val="superscript"/>
          <w:lang w:val="fr-FR"/>
        </w:rPr>
        <w:t>o</w:t>
      </w:r>
      <w:r>
        <w:rPr>
          <w:lang w:val="fr-FR"/>
        </w:rPr>
        <w:t xml:space="preserve"> 51 et norme ISO 362-1</w:t>
      </w:r>
      <w:bookmarkEnd w:id="18"/>
      <w:bookmarkEnd w:id="19"/>
      <w:bookmarkEnd w:id="20"/>
    </w:p>
    <w:p w14:paraId="1904B7CC" w14:textId="481E6F30" w:rsidR="00133378" w:rsidRPr="008208C4" w:rsidRDefault="00133378" w:rsidP="008A78CB">
      <w:pPr>
        <w:pStyle w:val="SingleTxtG"/>
        <w:spacing w:before="0" w:line="240" w:lineRule="atLeast"/>
        <w:ind w:firstLine="567"/>
        <w:rPr>
          <w:bCs/>
        </w:rPr>
      </w:pPr>
      <w:r>
        <w:rPr>
          <w:lang w:val="fr-FR"/>
        </w:rPr>
        <w:tab/>
      </w:r>
      <w:r w:rsidRPr="00B275EF">
        <w:rPr>
          <w:bCs/>
        </w:rPr>
        <w:t>Dans</w:t>
      </w:r>
      <w:r>
        <w:rPr>
          <w:lang w:val="fr-FR"/>
        </w:rPr>
        <w:t xml:space="preserve"> le Règlement ONU n</w:t>
      </w:r>
      <w:r>
        <w:rPr>
          <w:vertAlign w:val="superscript"/>
          <w:lang w:val="fr-FR"/>
        </w:rPr>
        <w:t>o</w:t>
      </w:r>
      <w:r>
        <w:rPr>
          <w:lang w:val="fr-FR"/>
        </w:rPr>
        <w:t xml:space="preserve"> 51, la méthode d’essai applicable aux véhicules des catégories M</w:t>
      </w:r>
      <w:r>
        <w:rPr>
          <w:vertAlign w:val="subscript"/>
          <w:lang w:val="fr-FR"/>
        </w:rPr>
        <w:t>1</w:t>
      </w:r>
      <w:r>
        <w:rPr>
          <w:lang w:val="fr-FR"/>
        </w:rPr>
        <w:t xml:space="preserve"> et N</w:t>
      </w:r>
      <w:r>
        <w:rPr>
          <w:vertAlign w:val="subscript"/>
          <w:lang w:val="fr-FR"/>
        </w:rPr>
        <w:t>1</w:t>
      </w:r>
      <w:r>
        <w:rPr>
          <w:lang w:val="fr-FR"/>
        </w:rPr>
        <w:t>, ainsi qu’aux véhicules de la catégorie M</w:t>
      </w:r>
      <w:r>
        <w:rPr>
          <w:vertAlign w:val="subscript"/>
          <w:lang w:val="fr-FR"/>
        </w:rPr>
        <w:t>2</w:t>
      </w:r>
      <w:r>
        <w:rPr>
          <w:lang w:val="fr-FR"/>
        </w:rPr>
        <w:t xml:space="preserve"> dont la masse maximale autorisée est inférieure ou égale à 3 500 kg (annexe 3), repose sur deux conditions de conduite, à savoir une vitesse d’essai constante </w:t>
      </w:r>
      <w:proofErr w:type="spellStart"/>
      <w:r>
        <w:rPr>
          <w:lang w:val="fr-FR"/>
        </w:rPr>
        <w:t>L</w:t>
      </w:r>
      <w:r>
        <w:rPr>
          <w:vertAlign w:val="subscript"/>
          <w:lang w:val="fr-FR"/>
        </w:rPr>
        <w:t>crs</w:t>
      </w:r>
      <w:proofErr w:type="spellEnd"/>
      <w:r>
        <w:rPr>
          <w:lang w:val="fr-FR"/>
        </w:rPr>
        <w:t xml:space="preserve"> et une accélération d’essai à pleins gaz </w:t>
      </w:r>
      <w:proofErr w:type="spellStart"/>
      <w:r>
        <w:rPr>
          <w:lang w:val="fr-FR"/>
        </w:rPr>
        <w:t>L</w:t>
      </w:r>
      <w:r>
        <w:rPr>
          <w:vertAlign w:val="subscript"/>
          <w:lang w:val="fr-FR"/>
        </w:rPr>
        <w:t>wot</w:t>
      </w:r>
      <w:proofErr w:type="spellEnd"/>
      <w:r>
        <w:rPr>
          <w:lang w:val="fr-FR"/>
        </w:rPr>
        <w:t xml:space="preserve">, qui permettent de déterminer la valeur finale à retenir pour l’homologation de type, </w:t>
      </w:r>
      <w:proofErr w:type="spellStart"/>
      <w:r>
        <w:rPr>
          <w:lang w:val="fr-FR"/>
        </w:rPr>
        <w:t>L</w:t>
      </w:r>
      <w:r>
        <w:rPr>
          <w:vertAlign w:val="subscript"/>
          <w:lang w:val="fr-FR"/>
        </w:rPr>
        <w:t>urban</w:t>
      </w:r>
      <w:proofErr w:type="spellEnd"/>
      <w:r>
        <w:rPr>
          <w:lang w:val="fr-FR"/>
        </w:rPr>
        <w:t>.</w:t>
      </w:r>
    </w:p>
    <w:p w14:paraId="650BBBA3" w14:textId="529C67DE" w:rsidR="00133378" w:rsidRPr="008208C4" w:rsidRDefault="00133378" w:rsidP="008A78CB">
      <w:pPr>
        <w:pStyle w:val="SingleTxtG"/>
        <w:spacing w:before="0" w:line="240" w:lineRule="atLeast"/>
        <w:ind w:firstLine="567"/>
        <w:rPr>
          <w:bCs/>
        </w:rPr>
      </w:pPr>
      <w:r>
        <w:rPr>
          <w:lang w:val="fr-FR"/>
        </w:rPr>
        <w:tab/>
        <w:t>Dans le tableau 7.1 ci-dessous, l’incidence des différentes grandeurs sur ces indicateurs a été estimée d’un essai à l’autre, d’un jour à l’autre, d’un site à l’autre et d’un véhicule à l’autre.</w:t>
      </w:r>
    </w:p>
    <w:p w14:paraId="0E2A54B4" w14:textId="4B8FA4F1" w:rsidR="00133378" w:rsidRDefault="00133378" w:rsidP="00D47163">
      <w:pPr>
        <w:pStyle w:val="SingleTxtG"/>
        <w:keepLines/>
        <w:spacing w:before="0" w:line="240" w:lineRule="atLeast"/>
        <w:ind w:firstLine="567"/>
        <w:rPr>
          <w:bCs/>
        </w:rPr>
      </w:pPr>
      <w:r>
        <w:rPr>
          <w:lang w:val="fr-FR"/>
        </w:rPr>
        <w:lastRenderedPageBreak/>
        <w:tab/>
        <w:t xml:space="preserve">Certaines valeurs ont été calculées à partir des tolérances définies dans le Règlement, d’autres ont été obtenues de manière empirique. À partir de la loi de probabilité, on mesure la variance et l’écart-type. On calcule ensuite la contribution de chacune des grandeurs (en pourcentage). Grâce au code couleur, il est facile de comprendre l’influence de chaque grandeur sur l’incertitude totale. Certaines des grandeurs peuvent être compensées (l’influence de la température et des variations de la piste d’essai, par exemple), tandis que d’autres relèvent de l’aléatoire, comme l’exactitude des instruments, et ne peuvent être compensées. Dans l’exemple ci-après, l’incertitude élargie totale a été estimée à </w:t>
      </w:r>
      <w:r w:rsidR="00B275EF">
        <w:rPr>
          <w:b/>
          <w:bCs/>
          <w:lang w:val="fr-FR"/>
        </w:rPr>
        <w:sym w:font="Symbol" w:char="F0B1"/>
      </w:r>
      <w:r w:rsidRPr="006A29D2">
        <w:rPr>
          <w:b/>
          <w:bCs/>
          <w:lang w:val="fr-FR"/>
        </w:rPr>
        <w:t>3,46 dB</w:t>
      </w:r>
      <w:r>
        <w:rPr>
          <w:lang w:val="fr-FR"/>
        </w:rPr>
        <w:t xml:space="preserve"> avec un facteur d’élargissement k égal à 2 (niveau de confiance de 95 %).</w:t>
      </w:r>
    </w:p>
    <w:p w14:paraId="090033DE" w14:textId="77777777" w:rsidR="00133378" w:rsidRPr="00590B7E" w:rsidRDefault="00133378" w:rsidP="00133378">
      <w:pPr>
        <w:rPr>
          <w:bCs/>
          <w:lang w:val="fr-FR"/>
        </w:rPr>
      </w:pPr>
      <w:r w:rsidRPr="00590B7E">
        <w:rPr>
          <w:bCs/>
          <w:lang w:val="fr-FR"/>
        </w:rPr>
        <w:br w:type="page"/>
      </w:r>
    </w:p>
    <w:p w14:paraId="5C42280C" w14:textId="53815B53" w:rsidR="00133378" w:rsidRPr="00AC74B8" w:rsidRDefault="00133378" w:rsidP="000E3EA7">
      <w:pPr>
        <w:pStyle w:val="Titre1"/>
        <w:spacing w:after="120"/>
        <w:ind w:left="0"/>
        <w:rPr>
          <w:vertAlign w:val="superscript"/>
        </w:rPr>
      </w:pPr>
      <w:r>
        <w:rPr>
          <w:lang w:val="fr-FR"/>
        </w:rPr>
        <w:lastRenderedPageBreak/>
        <w:t>Tableau 7.1</w:t>
      </w:r>
      <w:r w:rsidRPr="000E3EA7">
        <w:rPr>
          <w:rStyle w:val="Appelnotedebasdep"/>
          <w:bCs/>
          <w:sz w:val="20"/>
          <w:vertAlign w:val="baseline"/>
          <w:lang w:val="fr-FR"/>
        </w:rPr>
        <w:footnoteReference w:customMarkFollows="1" w:id="3"/>
        <w:t>**</w:t>
      </w:r>
      <w:r w:rsidR="00B275EF">
        <w:rPr>
          <w:lang w:val="fr-FR"/>
        </w:rPr>
        <w:br/>
      </w:r>
      <w:r w:rsidRPr="000E3EA7">
        <w:rPr>
          <w:b/>
          <w:bCs/>
          <w:lang w:val="fr-FR"/>
        </w:rPr>
        <w:t xml:space="preserve">Exemple de calcul de l’incertitude pour le Règlement ONU </w:t>
      </w:r>
      <w:r w:rsidR="00D05B9D" w:rsidRPr="00D05B9D">
        <w:rPr>
          <w:rFonts w:eastAsia="MS Mincho"/>
          <w:b/>
          <w:bCs/>
          <w:lang w:val="fr-FR"/>
        </w:rPr>
        <w:t>n</w:t>
      </w:r>
      <w:r w:rsidR="00D05B9D" w:rsidRPr="00D05B9D">
        <w:rPr>
          <w:rFonts w:eastAsia="MS Mincho"/>
          <w:b/>
          <w:bCs/>
          <w:vertAlign w:val="superscript"/>
          <w:lang w:val="fr-FR"/>
        </w:rPr>
        <w:t>o</w:t>
      </w:r>
      <w:r w:rsidR="00B275EF" w:rsidRPr="000E3EA7">
        <w:rPr>
          <w:b/>
          <w:bCs/>
          <w:lang w:val="fr-FR"/>
        </w:rPr>
        <w:t> </w:t>
      </w:r>
      <w:r w:rsidRPr="000E3EA7">
        <w:rPr>
          <w:b/>
          <w:bCs/>
          <w:lang w:val="fr-FR"/>
        </w:rPr>
        <w:t>51</w:t>
      </w:r>
      <w:r w:rsidR="000E3EA7" w:rsidRPr="000E3EA7">
        <w:rPr>
          <w:b/>
          <w:bCs/>
          <w:lang w:val="fr-FR"/>
        </w:rPr>
        <w:t> </w:t>
      </w:r>
      <w:r w:rsidRPr="000E3EA7">
        <w:rPr>
          <w:b/>
          <w:bCs/>
          <w:lang w:val="fr-FR"/>
        </w:rPr>
        <w:t>:</w:t>
      </w:r>
      <w:r w:rsidR="000E3EA7" w:rsidRPr="000E3EA7">
        <w:rPr>
          <w:b/>
          <w:bCs/>
          <w:lang w:val="fr-FR"/>
        </w:rPr>
        <w:br/>
      </w:r>
      <w:r w:rsidRPr="000E3EA7">
        <w:rPr>
          <w:b/>
          <w:bCs/>
          <w:lang w:val="fr-FR"/>
        </w:rPr>
        <w:t>Tableau de mesure de l’incertitude pour les véhicules des catégories M</w:t>
      </w:r>
      <w:r w:rsidRPr="000E3EA7">
        <w:rPr>
          <w:b/>
          <w:bCs/>
          <w:vertAlign w:val="subscript"/>
          <w:lang w:val="fr-FR"/>
        </w:rPr>
        <w:t>1</w:t>
      </w:r>
      <w:r w:rsidRPr="000E3EA7">
        <w:rPr>
          <w:b/>
          <w:bCs/>
          <w:lang w:val="fr-FR"/>
        </w:rPr>
        <w:t>, N</w:t>
      </w:r>
      <w:r w:rsidRPr="000E3EA7">
        <w:rPr>
          <w:b/>
          <w:bCs/>
          <w:vertAlign w:val="subscript"/>
          <w:lang w:val="fr-FR"/>
        </w:rPr>
        <w:t>1</w:t>
      </w:r>
      <w:r w:rsidRPr="000E3EA7">
        <w:rPr>
          <w:b/>
          <w:bCs/>
          <w:lang w:val="fr-FR"/>
        </w:rPr>
        <w:t xml:space="preserve"> et M</w:t>
      </w:r>
      <w:r w:rsidRPr="000E3EA7">
        <w:rPr>
          <w:b/>
          <w:bCs/>
          <w:vertAlign w:val="subscript"/>
          <w:lang w:val="fr-FR"/>
        </w:rPr>
        <w:t>2</w:t>
      </w:r>
      <w:r w:rsidRPr="000E3EA7">
        <w:rPr>
          <w:b/>
          <w:bCs/>
          <w:lang w:val="fr-FR"/>
        </w:rPr>
        <w:t xml:space="preserve"> </w:t>
      </w:r>
      <w:r w:rsidR="000E3EA7" w:rsidRPr="000E3EA7">
        <w:rPr>
          <w:b/>
          <w:bCs/>
          <w:lang w:val="fr-FR"/>
        </w:rPr>
        <w:br/>
      </w:r>
      <w:r w:rsidRPr="000E3EA7">
        <w:rPr>
          <w:b/>
          <w:bCs/>
          <w:lang w:val="fr-FR"/>
        </w:rPr>
        <w:t>dont la masse est inférieure à 3 600 kg</w:t>
      </w:r>
      <w:r w:rsidRPr="00D05B9D">
        <w:rPr>
          <w:sz w:val="18"/>
          <w:szCs w:val="18"/>
          <w:vertAlign w:val="superscript"/>
          <w:lang w:val="fr-FR"/>
        </w:rPr>
        <w:t>7</w:t>
      </w:r>
    </w:p>
    <w:tbl>
      <w:tblPr>
        <w:tblW w:w="9639" w:type="dxa"/>
        <w:tblLayout w:type="fixed"/>
        <w:tblCellMar>
          <w:left w:w="70" w:type="dxa"/>
          <w:right w:w="70" w:type="dxa"/>
        </w:tblCellMar>
        <w:tblLook w:val="04A0" w:firstRow="1" w:lastRow="0" w:firstColumn="1" w:lastColumn="0" w:noHBand="0" w:noVBand="1"/>
      </w:tblPr>
      <w:tblGrid>
        <w:gridCol w:w="396"/>
        <w:gridCol w:w="2184"/>
        <w:gridCol w:w="471"/>
        <w:gridCol w:w="542"/>
        <w:gridCol w:w="571"/>
        <w:gridCol w:w="1042"/>
        <w:gridCol w:w="541"/>
        <w:gridCol w:w="498"/>
        <w:gridCol w:w="505"/>
        <w:gridCol w:w="424"/>
        <w:gridCol w:w="578"/>
        <w:gridCol w:w="638"/>
        <w:gridCol w:w="504"/>
        <w:gridCol w:w="745"/>
      </w:tblGrid>
      <w:tr w:rsidR="00A738E5" w:rsidRPr="00267764" w14:paraId="0EC8A26C" w14:textId="77777777" w:rsidTr="004E5254">
        <w:trPr>
          <w:cantSplit/>
          <w:trHeight w:val="1144"/>
          <w:tblHeader/>
        </w:trPr>
        <w:tc>
          <w:tcPr>
            <w:tcW w:w="398" w:type="dxa"/>
            <w:vMerge w:val="restart"/>
            <w:tcBorders>
              <w:top w:val="single" w:sz="4" w:space="0" w:color="auto"/>
              <w:left w:val="single" w:sz="4" w:space="0" w:color="auto"/>
              <w:bottom w:val="single" w:sz="4" w:space="0" w:color="auto"/>
              <w:right w:val="nil"/>
            </w:tcBorders>
            <w:shd w:val="clear" w:color="auto" w:fill="auto"/>
            <w:textDirection w:val="btLr"/>
            <w:vAlign w:val="center"/>
            <w:hideMark/>
          </w:tcPr>
          <w:p w14:paraId="71072CB2" w14:textId="77777777" w:rsidR="00133378" w:rsidRPr="00267764" w:rsidRDefault="00133378" w:rsidP="00924E41">
            <w:pPr>
              <w:jc w:val="center"/>
              <w:rPr>
                <w:rFonts w:asciiTheme="majorBidi" w:hAnsiTheme="majorBidi" w:cstheme="majorBidi"/>
                <w:b/>
                <w:bCs/>
                <w:i/>
                <w:iCs/>
                <w:sz w:val="14"/>
                <w:szCs w:val="14"/>
              </w:rPr>
            </w:pPr>
            <w:r w:rsidRPr="00267764">
              <w:rPr>
                <w:b/>
                <w:bCs/>
                <w:i/>
                <w:iCs/>
                <w:sz w:val="14"/>
                <w:szCs w:val="14"/>
                <w:lang w:val="fr-FR"/>
              </w:rPr>
              <w:t>Situation</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AAEC9" w14:textId="77777777" w:rsidR="00133378" w:rsidRPr="00267764" w:rsidRDefault="00133378" w:rsidP="00924E41">
            <w:pPr>
              <w:ind w:left="0"/>
              <w:jc w:val="center"/>
              <w:rPr>
                <w:rFonts w:asciiTheme="majorBidi" w:hAnsiTheme="majorBidi" w:cstheme="majorBidi"/>
                <w:b/>
                <w:bCs/>
                <w:i/>
                <w:iCs/>
                <w:sz w:val="14"/>
                <w:szCs w:val="14"/>
              </w:rPr>
            </w:pPr>
            <w:r w:rsidRPr="00267764">
              <w:rPr>
                <w:b/>
                <w:bCs/>
                <w:i/>
                <w:iCs/>
                <w:sz w:val="14"/>
                <w:szCs w:val="14"/>
                <w:lang w:val="fr-FR"/>
              </w:rPr>
              <w:t>Grandeur d’entrée</w:t>
            </w:r>
          </w:p>
        </w:tc>
        <w:tc>
          <w:tcPr>
            <w:tcW w:w="1020"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3B203441" w14:textId="778F65FD" w:rsidR="00133378" w:rsidRPr="00267764" w:rsidRDefault="00133378" w:rsidP="00CE1B9A">
            <w:pPr>
              <w:spacing w:before="0" w:after="0"/>
              <w:ind w:left="0" w:right="0"/>
              <w:jc w:val="center"/>
              <w:rPr>
                <w:rFonts w:asciiTheme="majorBidi" w:hAnsiTheme="majorBidi" w:cstheme="majorBidi"/>
                <w:b/>
                <w:bCs/>
                <w:i/>
                <w:iCs/>
                <w:sz w:val="14"/>
                <w:szCs w:val="14"/>
              </w:rPr>
            </w:pPr>
            <w:r w:rsidRPr="00267764">
              <w:rPr>
                <w:b/>
                <w:bCs/>
                <w:i/>
                <w:iCs/>
                <w:sz w:val="14"/>
                <w:szCs w:val="14"/>
                <w:lang w:val="fr-FR"/>
              </w:rPr>
              <w:t xml:space="preserve">Écarts </w:t>
            </w:r>
            <w:r w:rsidR="00B04C36" w:rsidRPr="00267764">
              <w:rPr>
                <w:b/>
                <w:bCs/>
                <w:i/>
                <w:iCs/>
                <w:sz w:val="14"/>
                <w:szCs w:val="14"/>
                <w:lang w:val="fr-FR"/>
              </w:rPr>
              <w:br/>
            </w:r>
            <w:r w:rsidRPr="00267764">
              <w:rPr>
                <w:b/>
                <w:bCs/>
                <w:i/>
                <w:iCs/>
                <w:sz w:val="14"/>
                <w:szCs w:val="14"/>
                <w:lang w:val="fr-FR"/>
              </w:rPr>
              <w:t>estimés</w:t>
            </w:r>
            <w:r w:rsidR="00B04C36" w:rsidRPr="00267764">
              <w:rPr>
                <w:b/>
                <w:bCs/>
                <w:i/>
                <w:iCs/>
                <w:sz w:val="14"/>
                <w:szCs w:val="14"/>
                <w:lang w:val="fr-FR"/>
              </w:rPr>
              <w:br/>
            </w:r>
            <w:r w:rsidRPr="00267764">
              <w:rPr>
                <w:b/>
                <w:bCs/>
                <w:i/>
                <w:iCs/>
                <w:sz w:val="14"/>
                <w:szCs w:val="14"/>
                <w:lang w:val="fr-FR"/>
              </w:rPr>
              <w:t>du résultat</w:t>
            </w:r>
            <w:r w:rsidRPr="00267764">
              <w:rPr>
                <w:sz w:val="14"/>
                <w:szCs w:val="14"/>
                <w:lang w:val="fr-FR"/>
              </w:rPr>
              <w:t xml:space="preserve"> </w:t>
            </w:r>
            <w:r w:rsidR="00B04C36" w:rsidRPr="00267764">
              <w:rPr>
                <w:sz w:val="14"/>
                <w:szCs w:val="14"/>
                <w:lang w:val="fr-FR"/>
              </w:rPr>
              <w:br/>
            </w:r>
            <w:r w:rsidRPr="00267764">
              <w:rPr>
                <w:b/>
                <w:bCs/>
                <w:i/>
                <w:iCs/>
                <w:sz w:val="14"/>
                <w:szCs w:val="14"/>
                <w:lang w:val="fr-FR"/>
              </w:rPr>
              <w:t xml:space="preserve">du mesurage </w:t>
            </w:r>
            <w:r w:rsidR="00CE1B9A" w:rsidRPr="00267764">
              <w:rPr>
                <w:b/>
                <w:bCs/>
                <w:i/>
                <w:iCs/>
                <w:sz w:val="14"/>
                <w:szCs w:val="14"/>
                <w:lang w:val="fr-FR"/>
              </w:rPr>
              <w:br/>
            </w:r>
            <w:r w:rsidRPr="00267764">
              <w:rPr>
                <w:b/>
                <w:bCs/>
                <w:i/>
                <w:iCs/>
                <w:sz w:val="14"/>
                <w:szCs w:val="14"/>
                <w:lang w:val="fr-FR"/>
              </w:rPr>
              <w:t>(crête à crête)</w:t>
            </w:r>
          </w:p>
        </w:tc>
        <w:tc>
          <w:tcPr>
            <w:tcW w:w="575" w:type="dxa"/>
            <w:tcBorders>
              <w:top w:val="single" w:sz="4" w:space="0" w:color="auto"/>
              <w:left w:val="nil"/>
              <w:bottom w:val="single" w:sz="4" w:space="0" w:color="auto"/>
              <w:right w:val="nil"/>
            </w:tcBorders>
            <w:shd w:val="clear" w:color="auto" w:fill="auto"/>
            <w:textDirection w:val="btLr"/>
            <w:vAlign w:val="center"/>
            <w:hideMark/>
          </w:tcPr>
          <w:p w14:paraId="5D817648" w14:textId="77777777" w:rsidR="00133378" w:rsidRPr="00267764" w:rsidRDefault="00133378" w:rsidP="00127642">
            <w:pPr>
              <w:ind w:left="113" w:right="113"/>
              <w:jc w:val="center"/>
              <w:rPr>
                <w:rFonts w:asciiTheme="majorBidi" w:hAnsiTheme="majorBidi" w:cstheme="majorBidi"/>
                <w:b/>
                <w:bCs/>
                <w:i/>
                <w:iCs/>
                <w:sz w:val="14"/>
                <w:szCs w:val="14"/>
              </w:rPr>
            </w:pPr>
            <w:r w:rsidRPr="00267764">
              <w:rPr>
                <w:b/>
                <w:bCs/>
                <w:i/>
                <w:iCs/>
                <w:sz w:val="14"/>
                <w:szCs w:val="14"/>
                <w:lang w:val="fr-FR"/>
              </w:rPr>
              <w:t xml:space="preserve">Incidence sur </w:t>
            </w:r>
            <w:proofErr w:type="spellStart"/>
            <w:r w:rsidRPr="00267764">
              <w:rPr>
                <w:b/>
                <w:bCs/>
                <w:i/>
                <w:iCs/>
                <w:sz w:val="14"/>
                <w:szCs w:val="14"/>
                <w:lang w:val="fr-FR"/>
              </w:rPr>
              <w:t>L</w:t>
            </w:r>
            <w:r w:rsidRPr="00267764">
              <w:rPr>
                <w:b/>
                <w:bCs/>
                <w:i/>
                <w:iCs/>
                <w:sz w:val="14"/>
                <w:szCs w:val="14"/>
                <w:vertAlign w:val="subscript"/>
                <w:lang w:val="fr-FR"/>
              </w:rPr>
              <w:t>urb</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AA38BBC" w14:textId="38317E72" w:rsidR="00133378" w:rsidRPr="00267764" w:rsidRDefault="00133378" w:rsidP="00B056B8">
            <w:pPr>
              <w:jc w:val="center"/>
              <w:rPr>
                <w:rFonts w:asciiTheme="majorBidi" w:hAnsiTheme="majorBidi" w:cstheme="majorBidi"/>
                <w:b/>
                <w:bCs/>
                <w:i/>
                <w:iCs/>
                <w:sz w:val="14"/>
                <w:szCs w:val="14"/>
              </w:rPr>
            </w:pPr>
            <w:r w:rsidRPr="00267764">
              <w:rPr>
                <w:b/>
                <w:bCs/>
                <w:i/>
                <w:iCs/>
                <w:sz w:val="14"/>
                <w:szCs w:val="14"/>
                <w:lang w:val="fr-FR"/>
              </w:rPr>
              <w:t xml:space="preserve">Loi </w:t>
            </w:r>
            <w:r w:rsidR="00305868" w:rsidRPr="00267764">
              <w:rPr>
                <w:b/>
                <w:bCs/>
                <w:i/>
                <w:iCs/>
                <w:sz w:val="14"/>
                <w:szCs w:val="14"/>
                <w:lang w:val="fr-FR"/>
              </w:rPr>
              <w:br/>
            </w:r>
            <w:r w:rsidRPr="00267764">
              <w:rPr>
                <w:b/>
                <w:bCs/>
                <w:i/>
                <w:iCs/>
                <w:sz w:val="14"/>
                <w:szCs w:val="14"/>
                <w:lang w:val="fr-FR"/>
              </w:rPr>
              <w:t>de probabilité</w:t>
            </w:r>
          </w:p>
        </w:tc>
        <w:tc>
          <w:tcPr>
            <w:tcW w:w="54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34947E" w14:textId="77777777" w:rsidR="00133378" w:rsidRPr="00267764" w:rsidRDefault="00133378" w:rsidP="00127642">
            <w:pPr>
              <w:ind w:left="113" w:right="113"/>
              <w:jc w:val="center"/>
              <w:rPr>
                <w:rFonts w:asciiTheme="majorBidi" w:hAnsiTheme="majorBidi" w:cstheme="majorBidi"/>
                <w:b/>
                <w:bCs/>
                <w:i/>
                <w:iCs/>
                <w:sz w:val="14"/>
                <w:szCs w:val="14"/>
              </w:rPr>
            </w:pPr>
            <w:r w:rsidRPr="00267764">
              <w:rPr>
                <w:b/>
                <w:bCs/>
                <w:i/>
                <w:iCs/>
                <w:sz w:val="14"/>
                <w:szCs w:val="14"/>
                <w:lang w:val="fr-FR"/>
              </w:rPr>
              <w:t>Variance</w:t>
            </w:r>
          </w:p>
        </w:tc>
        <w:tc>
          <w:tcPr>
            <w:tcW w:w="50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31A6E1" w14:textId="77777777" w:rsidR="00133378" w:rsidRPr="00267764" w:rsidRDefault="00133378" w:rsidP="00127642">
            <w:pPr>
              <w:ind w:left="113" w:right="113"/>
              <w:jc w:val="center"/>
              <w:rPr>
                <w:rFonts w:asciiTheme="majorBidi" w:hAnsiTheme="majorBidi" w:cstheme="majorBidi"/>
                <w:b/>
                <w:bCs/>
                <w:i/>
                <w:iCs/>
                <w:sz w:val="14"/>
                <w:szCs w:val="14"/>
              </w:rPr>
            </w:pPr>
            <w:r w:rsidRPr="00267764">
              <w:rPr>
                <w:b/>
                <w:bCs/>
                <w:i/>
                <w:iCs/>
                <w:sz w:val="14"/>
                <w:szCs w:val="14"/>
                <w:lang w:val="fr-FR"/>
              </w:rPr>
              <w:t>Écart-type</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EDBB804" w14:textId="77777777" w:rsidR="00133378" w:rsidRPr="00267764" w:rsidRDefault="00133378" w:rsidP="00127642">
            <w:pPr>
              <w:ind w:left="113" w:right="113"/>
              <w:jc w:val="center"/>
              <w:rPr>
                <w:rFonts w:asciiTheme="majorBidi" w:hAnsiTheme="majorBidi" w:cstheme="majorBidi"/>
                <w:b/>
                <w:bCs/>
                <w:i/>
                <w:iCs/>
                <w:sz w:val="14"/>
                <w:szCs w:val="14"/>
              </w:rPr>
            </w:pPr>
            <w:r w:rsidRPr="00267764">
              <w:rPr>
                <w:b/>
                <w:bCs/>
                <w:i/>
                <w:iCs/>
                <w:sz w:val="14"/>
                <w:szCs w:val="14"/>
                <w:lang w:val="fr-FR"/>
              </w:rPr>
              <w:t>Proportion</w:t>
            </w:r>
          </w:p>
        </w:tc>
        <w:tc>
          <w:tcPr>
            <w:tcW w:w="4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B8F5CE" w14:textId="79E6E830" w:rsidR="00133378" w:rsidRPr="00267764" w:rsidRDefault="00133378" w:rsidP="00267764">
            <w:pPr>
              <w:spacing w:before="0" w:after="0"/>
              <w:ind w:left="0" w:right="0"/>
              <w:jc w:val="center"/>
              <w:rPr>
                <w:rFonts w:asciiTheme="majorBidi" w:hAnsiTheme="majorBidi" w:cstheme="majorBidi"/>
                <w:b/>
                <w:bCs/>
                <w:i/>
                <w:iCs/>
                <w:sz w:val="14"/>
                <w:szCs w:val="14"/>
              </w:rPr>
            </w:pPr>
            <w:r w:rsidRPr="00267764">
              <w:rPr>
                <w:b/>
                <w:bCs/>
                <w:i/>
                <w:iCs/>
                <w:sz w:val="14"/>
                <w:szCs w:val="14"/>
                <w:lang w:val="fr-FR"/>
              </w:rPr>
              <w:t>Incertitude-type</w:t>
            </w:r>
            <w:r w:rsidRPr="00267764">
              <w:rPr>
                <w:sz w:val="14"/>
                <w:szCs w:val="14"/>
                <w:lang w:val="fr-FR"/>
              </w:rPr>
              <w:t xml:space="preserve"> </w:t>
            </w:r>
            <w:r w:rsidRPr="00267764">
              <w:rPr>
                <w:b/>
                <w:bCs/>
                <w:i/>
                <w:iCs/>
                <w:sz w:val="14"/>
                <w:szCs w:val="14"/>
                <w:lang w:val="fr-FR"/>
              </w:rPr>
              <w:t>composée</w:t>
            </w:r>
          </w:p>
        </w:tc>
        <w:tc>
          <w:tcPr>
            <w:tcW w:w="1732"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BACE6F" w14:textId="77777777" w:rsidR="00133378" w:rsidRPr="00267764" w:rsidRDefault="00133378" w:rsidP="00127642">
            <w:pPr>
              <w:ind w:left="113" w:right="113"/>
              <w:jc w:val="center"/>
              <w:rPr>
                <w:rFonts w:asciiTheme="majorBidi" w:hAnsiTheme="majorBidi" w:cstheme="majorBidi"/>
                <w:b/>
                <w:bCs/>
                <w:i/>
                <w:iCs/>
                <w:sz w:val="14"/>
                <w:szCs w:val="14"/>
              </w:rPr>
            </w:pPr>
            <w:r w:rsidRPr="00267764">
              <w:rPr>
                <w:b/>
                <w:bCs/>
                <w:i/>
                <w:iCs/>
                <w:sz w:val="14"/>
                <w:szCs w:val="14"/>
                <w:lang w:val="fr-FR"/>
              </w:rPr>
              <w:t>Budgets d’incertitude</w:t>
            </w:r>
          </w:p>
        </w:tc>
        <w:tc>
          <w:tcPr>
            <w:tcW w:w="75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698E2FB2" w14:textId="6A7A57D7" w:rsidR="00133378" w:rsidRPr="00267764" w:rsidRDefault="00133378" w:rsidP="00194F8D">
            <w:pPr>
              <w:spacing w:before="0" w:after="0"/>
              <w:ind w:left="0" w:right="0"/>
              <w:jc w:val="center"/>
              <w:rPr>
                <w:rFonts w:asciiTheme="majorBidi" w:hAnsiTheme="majorBidi" w:cstheme="majorBidi"/>
                <w:b/>
                <w:bCs/>
                <w:i/>
                <w:iCs/>
                <w:sz w:val="14"/>
                <w:szCs w:val="14"/>
              </w:rPr>
            </w:pPr>
            <w:r w:rsidRPr="00267764">
              <w:rPr>
                <w:b/>
                <w:bCs/>
                <w:i/>
                <w:iCs/>
                <w:sz w:val="14"/>
                <w:szCs w:val="14"/>
                <w:lang w:val="fr-FR"/>
              </w:rPr>
              <w:t xml:space="preserve">Incertitude </w:t>
            </w:r>
            <w:r w:rsidR="00194F8D">
              <w:rPr>
                <w:b/>
                <w:bCs/>
                <w:i/>
                <w:iCs/>
                <w:sz w:val="14"/>
                <w:szCs w:val="14"/>
                <w:lang w:val="fr-FR"/>
              </w:rPr>
              <w:br/>
            </w:r>
            <w:r w:rsidRPr="00267764">
              <w:rPr>
                <w:b/>
                <w:bCs/>
                <w:i/>
                <w:iCs/>
                <w:sz w:val="14"/>
                <w:szCs w:val="14"/>
                <w:lang w:val="fr-FR"/>
              </w:rPr>
              <w:t xml:space="preserve">(niveau de confiance </w:t>
            </w:r>
            <w:r w:rsidR="00194F8D">
              <w:rPr>
                <w:b/>
                <w:bCs/>
                <w:i/>
                <w:iCs/>
                <w:sz w:val="14"/>
                <w:szCs w:val="14"/>
                <w:lang w:val="fr-FR"/>
              </w:rPr>
              <w:br/>
            </w:r>
            <w:r w:rsidRPr="00267764">
              <w:rPr>
                <w:b/>
                <w:bCs/>
                <w:i/>
                <w:iCs/>
                <w:sz w:val="14"/>
                <w:szCs w:val="14"/>
                <w:lang w:val="fr-FR"/>
              </w:rPr>
              <w:t>de 95 %)</w:t>
            </w:r>
          </w:p>
        </w:tc>
      </w:tr>
      <w:tr w:rsidR="00A738E5" w:rsidRPr="00267764" w14:paraId="629FF99D" w14:textId="77777777" w:rsidTr="004E5254">
        <w:trPr>
          <w:cantSplit/>
          <w:trHeight w:val="686"/>
          <w:tblHeader/>
        </w:trPr>
        <w:tc>
          <w:tcPr>
            <w:tcW w:w="398" w:type="dxa"/>
            <w:vMerge/>
            <w:tcBorders>
              <w:top w:val="single" w:sz="4" w:space="0" w:color="auto"/>
              <w:left w:val="single" w:sz="4" w:space="0" w:color="auto"/>
              <w:bottom w:val="single" w:sz="4" w:space="0" w:color="auto"/>
              <w:right w:val="nil"/>
            </w:tcBorders>
            <w:vAlign w:val="center"/>
            <w:hideMark/>
          </w:tcPr>
          <w:p w14:paraId="420BCC25" w14:textId="77777777" w:rsidR="00133378" w:rsidRPr="00267764" w:rsidRDefault="00133378" w:rsidP="00452EC2">
            <w:pPr>
              <w:ind w:left="160" w:hanging="52"/>
              <w:rPr>
                <w:rFonts w:asciiTheme="majorBidi" w:hAnsiTheme="majorBidi" w:cstheme="majorBidi"/>
                <w:b/>
                <w:bCs/>
                <w:sz w:val="14"/>
                <w:szCs w:val="14"/>
                <w:lang w:val="fr-FR" w:eastAsia="de-DE"/>
              </w:rPr>
            </w:pPr>
          </w:p>
        </w:tc>
        <w:tc>
          <w:tcPr>
            <w:tcW w:w="22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38926" w14:textId="77777777" w:rsidR="00133378" w:rsidRPr="00267764" w:rsidRDefault="00133378" w:rsidP="00924E41">
            <w:pPr>
              <w:ind w:left="0"/>
              <w:rPr>
                <w:rFonts w:asciiTheme="majorBidi" w:hAnsiTheme="majorBidi" w:cstheme="majorBidi"/>
                <w:b/>
                <w:bCs/>
                <w:sz w:val="14"/>
                <w:szCs w:val="14"/>
                <w:lang w:val="fr-FR" w:eastAsia="de-DE"/>
              </w:rPr>
            </w:pPr>
          </w:p>
        </w:tc>
        <w:tc>
          <w:tcPr>
            <w:tcW w:w="474"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71D14B3F" w14:textId="77777777" w:rsidR="00133378" w:rsidRPr="00267764" w:rsidRDefault="00133378" w:rsidP="00127642">
            <w:pPr>
              <w:ind w:left="113" w:right="113"/>
              <w:jc w:val="center"/>
              <w:rPr>
                <w:rFonts w:asciiTheme="majorBidi" w:hAnsiTheme="majorBidi" w:cstheme="majorBidi"/>
                <w:b/>
                <w:bCs/>
                <w:i/>
                <w:iCs/>
                <w:sz w:val="14"/>
                <w:szCs w:val="14"/>
              </w:rPr>
            </w:pPr>
            <w:proofErr w:type="spellStart"/>
            <w:r w:rsidRPr="00267764">
              <w:rPr>
                <w:b/>
                <w:bCs/>
                <w:i/>
                <w:iCs/>
                <w:sz w:val="14"/>
                <w:szCs w:val="14"/>
                <w:lang w:val="fr-FR"/>
              </w:rPr>
              <w:t>L</w:t>
            </w:r>
            <w:r w:rsidRPr="00267764">
              <w:rPr>
                <w:b/>
                <w:bCs/>
                <w:i/>
                <w:iCs/>
                <w:sz w:val="14"/>
                <w:szCs w:val="14"/>
                <w:vertAlign w:val="subscript"/>
                <w:lang w:val="fr-FR"/>
              </w:rPr>
              <w:t>wot</w:t>
            </w:r>
            <w:proofErr w:type="spellEnd"/>
          </w:p>
        </w:tc>
        <w:tc>
          <w:tcPr>
            <w:tcW w:w="546"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0540A4EE" w14:textId="77777777" w:rsidR="00133378" w:rsidRPr="00267764" w:rsidRDefault="00133378" w:rsidP="009D0677">
            <w:pPr>
              <w:jc w:val="center"/>
              <w:rPr>
                <w:rFonts w:asciiTheme="majorBidi" w:hAnsiTheme="majorBidi" w:cstheme="majorBidi"/>
                <w:b/>
                <w:bCs/>
                <w:i/>
                <w:iCs/>
                <w:sz w:val="14"/>
                <w:szCs w:val="14"/>
              </w:rPr>
            </w:pPr>
            <w:proofErr w:type="spellStart"/>
            <w:r w:rsidRPr="00267764">
              <w:rPr>
                <w:b/>
                <w:bCs/>
                <w:i/>
                <w:iCs/>
                <w:sz w:val="14"/>
                <w:szCs w:val="14"/>
                <w:lang w:val="fr-FR"/>
              </w:rPr>
              <w:t>L</w:t>
            </w:r>
            <w:r w:rsidRPr="00267764">
              <w:rPr>
                <w:b/>
                <w:bCs/>
                <w:i/>
                <w:iCs/>
                <w:sz w:val="14"/>
                <w:szCs w:val="14"/>
                <w:vertAlign w:val="subscript"/>
                <w:lang w:val="fr-FR"/>
              </w:rPr>
              <w:t>crs</w:t>
            </w:r>
            <w:proofErr w:type="spellEnd"/>
          </w:p>
        </w:tc>
        <w:tc>
          <w:tcPr>
            <w:tcW w:w="575" w:type="dxa"/>
            <w:tcBorders>
              <w:top w:val="single" w:sz="4" w:space="0" w:color="auto"/>
              <w:left w:val="nil"/>
              <w:bottom w:val="single" w:sz="4" w:space="0" w:color="auto"/>
              <w:right w:val="nil"/>
            </w:tcBorders>
            <w:vAlign w:val="center"/>
            <w:hideMark/>
          </w:tcPr>
          <w:p w14:paraId="1C03E773" w14:textId="77777777" w:rsidR="00133378" w:rsidRPr="00267764" w:rsidRDefault="00133378" w:rsidP="00127642">
            <w:pPr>
              <w:rPr>
                <w:rFonts w:asciiTheme="majorBidi" w:hAnsiTheme="majorBidi" w:cstheme="majorBidi"/>
                <w:b/>
                <w:bCs/>
                <w:sz w:val="14"/>
                <w:szCs w:val="14"/>
                <w:lang w:val="en-GB" w:eastAsia="de-DE"/>
              </w:rPr>
            </w:pP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2E7F7" w14:textId="77777777" w:rsidR="00133378" w:rsidRPr="00267764" w:rsidRDefault="00133378" w:rsidP="00127642">
            <w:pPr>
              <w:rPr>
                <w:rFonts w:asciiTheme="majorBidi" w:hAnsiTheme="majorBidi" w:cstheme="majorBidi"/>
                <w:b/>
                <w:bCs/>
                <w:sz w:val="14"/>
                <w:szCs w:val="14"/>
                <w:lang w:val="en-GB" w:eastAsia="de-DE"/>
              </w:rPr>
            </w:pPr>
          </w:p>
        </w:tc>
        <w:tc>
          <w:tcPr>
            <w:tcW w:w="545" w:type="dxa"/>
            <w:tcBorders>
              <w:top w:val="single" w:sz="4" w:space="0" w:color="auto"/>
              <w:left w:val="nil"/>
              <w:bottom w:val="single" w:sz="4" w:space="0" w:color="auto"/>
              <w:right w:val="single" w:sz="4" w:space="0" w:color="auto"/>
            </w:tcBorders>
            <w:vAlign w:val="center"/>
            <w:hideMark/>
          </w:tcPr>
          <w:p w14:paraId="2219C99F" w14:textId="77777777" w:rsidR="00133378" w:rsidRPr="00267764" w:rsidRDefault="00133378" w:rsidP="00127642">
            <w:pPr>
              <w:rPr>
                <w:rFonts w:asciiTheme="majorBidi" w:hAnsiTheme="majorBidi" w:cstheme="majorBidi"/>
                <w:b/>
                <w:bCs/>
                <w:sz w:val="14"/>
                <w:szCs w:val="14"/>
                <w:lang w:val="en-GB" w:eastAsia="de-DE"/>
              </w:rPr>
            </w:pPr>
          </w:p>
        </w:tc>
        <w:tc>
          <w:tcPr>
            <w:tcW w:w="501" w:type="dxa"/>
            <w:tcBorders>
              <w:top w:val="single" w:sz="4" w:space="0" w:color="auto"/>
              <w:left w:val="single" w:sz="4" w:space="0" w:color="auto"/>
              <w:bottom w:val="single" w:sz="4" w:space="0" w:color="auto"/>
              <w:right w:val="single" w:sz="4" w:space="0" w:color="auto"/>
            </w:tcBorders>
            <w:vAlign w:val="center"/>
            <w:hideMark/>
          </w:tcPr>
          <w:p w14:paraId="525898E6" w14:textId="77777777" w:rsidR="00133378" w:rsidRPr="00267764" w:rsidRDefault="00133378" w:rsidP="00127642">
            <w:pPr>
              <w:rPr>
                <w:rFonts w:asciiTheme="majorBidi" w:hAnsiTheme="majorBidi" w:cstheme="majorBidi"/>
                <w:b/>
                <w:bCs/>
                <w:sz w:val="14"/>
                <w:szCs w:val="14"/>
                <w:lang w:val="en-GB" w:eastAsia="de-DE"/>
              </w:rPr>
            </w:pP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E9BFA" w14:textId="77777777" w:rsidR="00133378" w:rsidRPr="00267764" w:rsidRDefault="00133378" w:rsidP="00534AD3">
            <w:pPr>
              <w:ind w:left="-66" w:right="-59"/>
              <w:rPr>
                <w:rFonts w:asciiTheme="majorBidi" w:hAnsiTheme="majorBidi" w:cstheme="majorBidi"/>
                <w:b/>
                <w:bCs/>
                <w:sz w:val="14"/>
                <w:szCs w:val="14"/>
                <w:lang w:val="en-GB" w:eastAsia="de-DE"/>
              </w:rPr>
            </w:pPr>
          </w:p>
        </w:tc>
        <w:tc>
          <w:tcPr>
            <w:tcW w:w="427" w:type="dxa"/>
            <w:tcBorders>
              <w:top w:val="single" w:sz="4" w:space="0" w:color="auto"/>
              <w:left w:val="single" w:sz="4" w:space="0" w:color="auto"/>
              <w:bottom w:val="single" w:sz="4" w:space="0" w:color="auto"/>
              <w:right w:val="single" w:sz="4" w:space="0" w:color="auto"/>
            </w:tcBorders>
            <w:vAlign w:val="center"/>
            <w:hideMark/>
          </w:tcPr>
          <w:p w14:paraId="7BE29949" w14:textId="77777777" w:rsidR="00133378" w:rsidRPr="00267764" w:rsidRDefault="00133378" w:rsidP="006C5089">
            <w:pPr>
              <w:ind w:left="-69" w:right="3"/>
              <w:rPr>
                <w:rFonts w:asciiTheme="majorBidi" w:hAnsiTheme="majorBidi" w:cstheme="majorBidi"/>
                <w:b/>
                <w:bCs/>
                <w:sz w:val="14"/>
                <w:szCs w:val="14"/>
                <w:lang w:val="en-GB" w:eastAsia="de-DE"/>
              </w:rPr>
            </w:pP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F930F" w14:textId="51587FF9" w:rsidR="00133378" w:rsidRPr="00267764" w:rsidRDefault="00133378" w:rsidP="00F14182">
            <w:pPr>
              <w:ind w:left="-73" w:right="-51"/>
              <w:jc w:val="center"/>
              <w:rPr>
                <w:rFonts w:asciiTheme="majorBidi" w:hAnsiTheme="majorBidi" w:cstheme="majorBidi"/>
                <w:b/>
                <w:bCs/>
                <w:i/>
                <w:iCs/>
                <w:sz w:val="14"/>
                <w:szCs w:val="14"/>
              </w:rPr>
            </w:pPr>
            <w:proofErr w:type="spellStart"/>
            <w:r w:rsidRPr="00267764">
              <w:rPr>
                <w:b/>
                <w:bCs/>
                <w:i/>
                <w:iCs/>
                <w:sz w:val="14"/>
                <w:szCs w:val="14"/>
                <w:lang w:val="fr-FR"/>
              </w:rPr>
              <w:t>Homolo</w:t>
            </w:r>
            <w:proofErr w:type="spellEnd"/>
            <w:r w:rsidR="00F14182">
              <w:rPr>
                <w:b/>
                <w:bCs/>
                <w:i/>
                <w:iCs/>
                <w:sz w:val="14"/>
                <w:szCs w:val="14"/>
                <w:lang w:val="fr-FR"/>
              </w:rPr>
              <w:t>-</w:t>
            </w:r>
            <w:r w:rsidR="00F14182">
              <w:rPr>
                <w:b/>
                <w:bCs/>
                <w:i/>
                <w:iCs/>
                <w:sz w:val="14"/>
                <w:szCs w:val="14"/>
                <w:lang w:val="fr-FR"/>
              </w:rPr>
              <w:br/>
            </w:r>
            <w:proofErr w:type="spellStart"/>
            <w:r w:rsidRPr="00267764">
              <w:rPr>
                <w:b/>
                <w:bCs/>
                <w:i/>
                <w:iCs/>
                <w:sz w:val="14"/>
                <w:szCs w:val="14"/>
                <w:lang w:val="fr-FR"/>
              </w:rPr>
              <w:t>gation</w:t>
            </w:r>
            <w:proofErr w:type="spellEnd"/>
            <w:r w:rsidRPr="00267764">
              <w:rPr>
                <w:b/>
                <w:bCs/>
                <w:i/>
                <w:iCs/>
                <w:sz w:val="14"/>
                <w:szCs w:val="14"/>
                <w:lang w:val="fr-FR"/>
              </w:rPr>
              <w:t xml:space="preserve"> </w:t>
            </w:r>
            <w:r w:rsidR="00F14182">
              <w:rPr>
                <w:b/>
                <w:bCs/>
                <w:i/>
                <w:iCs/>
                <w:sz w:val="14"/>
                <w:szCs w:val="14"/>
                <w:lang w:val="fr-FR"/>
              </w:rPr>
              <w:br/>
            </w:r>
            <w:r w:rsidRPr="00267764">
              <w:rPr>
                <w:b/>
                <w:bCs/>
                <w:i/>
                <w:iCs/>
                <w:sz w:val="14"/>
                <w:szCs w:val="14"/>
                <w:lang w:val="fr-FR"/>
              </w:rPr>
              <w:t>de type</w:t>
            </w: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395984EF" w14:textId="3B2ED52A" w:rsidR="00133378" w:rsidRPr="00267764" w:rsidRDefault="00133378" w:rsidP="00F14182">
            <w:pPr>
              <w:ind w:left="-62" w:right="-79"/>
              <w:jc w:val="center"/>
              <w:rPr>
                <w:rFonts w:asciiTheme="majorBidi" w:hAnsiTheme="majorBidi" w:cstheme="majorBidi"/>
                <w:b/>
                <w:bCs/>
                <w:i/>
                <w:iCs/>
                <w:sz w:val="14"/>
                <w:szCs w:val="14"/>
              </w:rPr>
            </w:pPr>
            <w:proofErr w:type="spellStart"/>
            <w:r w:rsidRPr="00267764">
              <w:rPr>
                <w:b/>
                <w:bCs/>
                <w:i/>
                <w:iCs/>
                <w:sz w:val="14"/>
                <w:szCs w:val="14"/>
                <w:lang w:val="fr-FR"/>
              </w:rPr>
              <w:t>Confor</w:t>
            </w:r>
            <w:r w:rsidR="00F14182">
              <w:rPr>
                <w:b/>
                <w:bCs/>
                <w:i/>
                <w:iCs/>
                <w:sz w:val="14"/>
                <w:szCs w:val="14"/>
                <w:lang w:val="fr-FR"/>
              </w:rPr>
              <w:t>-</w:t>
            </w:r>
            <w:r w:rsidRPr="00267764">
              <w:rPr>
                <w:b/>
                <w:bCs/>
                <w:i/>
                <w:iCs/>
                <w:sz w:val="14"/>
                <w:szCs w:val="14"/>
                <w:lang w:val="fr-FR"/>
              </w:rPr>
              <w:t>mité</w:t>
            </w:r>
            <w:proofErr w:type="spellEnd"/>
            <w:r w:rsidRPr="00267764">
              <w:rPr>
                <w:b/>
                <w:bCs/>
                <w:i/>
                <w:iCs/>
                <w:sz w:val="14"/>
                <w:szCs w:val="14"/>
                <w:lang w:val="fr-FR"/>
              </w:rPr>
              <w:t xml:space="preserve"> </w:t>
            </w:r>
            <w:r w:rsidR="00D47163">
              <w:rPr>
                <w:b/>
                <w:bCs/>
                <w:i/>
                <w:iCs/>
                <w:sz w:val="14"/>
                <w:szCs w:val="14"/>
                <w:lang w:val="fr-FR"/>
              </w:rPr>
              <w:br/>
            </w:r>
            <w:r w:rsidRPr="00267764">
              <w:rPr>
                <w:b/>
                <w:bCs/>
                <w:i/>
                <w:iCs/>
                <w:sz w:val="14"/>
                <w:szCs w:val="14"/>
                <w:lang w:val="fr-FR"/>
              </w:rPr>
              <w:t>de la production</w:t>
            </w:r>
          </w:p>
        </w:tc>
        <w:tc>
          <w:tcPr>
            <w:tcW w:w="507" w:type="dxa"/>
            <w:tcBorders>
              <w:top w:val="single" w:sz="4" w:space="0" w:color="auto"/>
              <w:left w:val="nil"/>
              <w:bottom w:val="single" w:sz="4" w:space="0" w:color="auto"/>
              <w:right w:val="single" w:sz="4" w:space="0" w:color="auto"/>
            </w:tcBorders>
            <w:shd w:val="clear" w:color="000000" w:fill="FFFFFF"/>
            <w:vAlign w:val="center"/>
            <w:hideMark/>
          </w:tcPr>
          <w:p w14:paraId="3A4DA08A" w14:textId="77777777" w:rsidR="00133378" w:rsidRPr="00267764" w:rsidRDefault="00133378" w:rsidP="00F14182">
            <w:pPr>
              <w:ind w:left="-62" w:right="-54"/>
              <w:jc w:val="center"/>
              <w:rPr>
                <w:rFonts w:asciiTheme="majorBidi" w:hAnsiTheme="majorBidi" w:cstheme="majorBidi"/>
                <w:b/>
                <w:bCs/>
                <w:i/>
                <w:iCs/>
                <w:sz w:val="14"/>
                <w:szCs w:val="14"/>
              </w:rPr>
            </w:pPr>
            <w:r w:rsidRPr="00267764">
              <w:rPr>
                <w:b/>
                <w:bCs/>
                <w:i/>
                <w:iCs/>
                <w:sz w:val="14"/>
                <w:szCs w:val="14"/>
                <w:lang w:val="fr-FR"/>
              </w:rPr>
              <w:t>Essais sur le terrain</w:t>
            </w:r>
          </w:p>
        </w:tc>
        <w:tc>
          <w:tcPr>
            <w:tcW w:w="751" w:type="dxa"/>
            <w:tcBorders>
              <w:top w:val="single" w:sz="4" w:space="0" w:color="auto"/>
              <w:left w:val="single" w:sz="4" w:space="0" w:color="auto"/>
              <w:bottom w:val="single" w:sz="4" w:space="0" w:color="auto"/>
              <w:right w:val="single" w:sz="4" w:space="0" w:color="auto"/>
            </w:tcBorders>
            <w:shd w:val="clear" w:color="000000" w:fill="FFFFFF"/>
          </w:tcPr>
          <w:p w14:paraId="4F148E32" w14:textId="77777777" w:rsidR="00133378" w:rsidRPr="00267764" w:rsidRDefault="00133378" w:rsidP="00127642">
            <w:pPr>
              <w:jc w:val="center"/>
              <w:rPr>
                <w:rFonts w:asciiTheme="majorBidi" w:hAnsiTheme="majorBidi" w:cstheme="majorBidi"/>
                <w:b/>
                <w:bCs/>
                <w:i/>
                <w:iCs/>
                <w:sz w:val="14"/>
                <w:szCs w:val="14"/>
                <w:lang w:val="en-GB" w:eastAsia="de-DE"/>
              </w:rPr>
            </w:pPr>
          </w:p>
        </w:tc>
      </w:tr>
      <w:tr w:rsidR="00194F8D" w:rsidRPr="00AE6DBE" w14:paraId="4936E948" w14:textId="77777777" w:rsidTr="00436A4F">
        <w:trPr>
          <w:trHeight w:val="162"/>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37F9FE" w14:textId="77777777" w:rsidR="00133378" w:rsidRPr="00E20087" w:rsidRDefault="00133378" w:rsidP="00452EC2">
            <w:pPr>
              <w:ind w:left="160" w:right="113" w:hanging="52"/>
              <w:jc w:val="center"/>
              <w:rPr>
                <w:rFonts w:asciiTheme="majorBidi" w:hAnsiTheme="majorBidi" w:cstheme="majorBidi"/>
                <w:b/>
                <w:bCs/>
                <w:sz w:val="16"/>
                <w:szCs w:val="16"/>
              </w:rPr>
            </w:pPr>
            <w:r w:rsidRPr="00E20087">
              <w:rPr>
                <w:b/>
                <w:bCs/>
                <w:sz w:val="16"/>
                <w:szCs w:val="16"/>
                <w:lang w:val="fr-FR"/>
              </w:rPr>
              <w:t>D</w:t>
            </w:r>
            <w:r>
              <w:rPr>
                <w:b/>
                <w:bCs/>
                <w:sz w:val="16"/>
                <w:szCs w:val="16"/>
                <w:lang w:val="fr-FR"/>
              </w:rPr>
              <w:t>’</w:t>
            </w:r>
            <w:r w:rsidRPr="00E20087">
              <w:rPr>
                <w:b/>
                <w:bCs/>
                <w:sz w:val="16"/>
                <w:szCs w:val="16"/>
                <w:lang w:val="fr-FR"/>
              </w:rPr>
              <w:t>un essai à l</w:t>
            </w:r>
            <w:r>
              <w:rPr>
                <w:b/>
                <w:bCs/>
                <w:sz w:val="16"/>
                <w:szCs w:val="16"/>
                <w:lang w:val="fr-FR"/>
              </w:rPr>
              <w:t>’</w:t>
            </w:r>
            <w:r w:rsidRPr="00E20087">
              <w:rPr>
                <w:b/>
                <w:bCs/>
                <w:sz w:val="16"/>
                <w:szCs w:val="16"/>
                <w:lang w:val="fr-FR"/>
              </w:rPr>
              <w:t>autre</w:t>
            </w: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E45B6"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Effet du vent (microclimat)</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45390C"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1,60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A6AB5"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1,50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9CC8A93"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1,57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ED2E07"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40B8980"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015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9A6CDDE"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0,392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34735F"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5,6 %</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E66A" w14:textId="77777777" w:rsidR="00133378" w:rsidRPr="00E20087" w:rsidRDefault="00133378" w:rsidP="006C5089">
            <w:pPr>
              <w:ind w:left="-69" w:right="3"/>
              <w:jc w:val="center"/>
              <w:rPr>
                <w:rFonts w:asciiTheme="majorBidi" w:hAnsiTheme="majorBidi" w:cstheme="majorBidi"/>
                <w:sz w:val="16"/>
                <w:szCs w:val="16"/>
              </w:rPr>
            </w:pPr>
            <w:r w:rsidRPr="00E20087">
              <w:rPr>
                <w:sz w:val="16"/>
                <w:szCs w:val="16"/>
                <w:lang w:val="fr-FR"/>
              </w:rPr>
              <w:t xml:space="preserve">0,53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667B8"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0,53 </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D762"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0,53 </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A6C3" w14:textId="77777777" w:rsidR="00133378" w:rsidRPr="00E20087" w:rsidRDefault="00133378" w:rsidP="00A738E5">
            <w:pPr>
              <w:ind w:left="-38" w:right="-47"/>
              <w:jc w:val="center"/>
              <w:rPr>
                <w:rFonts w:asciiTheme="majorBidi" w:hAnsiTheme="majorBidi" w:cstheme="majorBidi"/>
                <w:sz w:val="16"/>
                <w:szCs w:val="16"/>
              </w:rPr>
            </w:pPr>
            <w:r w:rsidRPr="00E20087">
              <w:rPr>
                <w:sz w:val="16"/>
                <w:szCs w:val="16"/>
                <w:lang w:val="fr-FR"/>
              </w:rPr>
              <w:t xml:space="preserve">0,53 </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14:paraId="71FE70B6"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1,1</w:t>
            </w:r>
          </w:p>
        </w:tc>
      </w:tr>
      <w:tr w:rsidR="00194F8D" w:rsidRPr="00AE6DBE" w14:paraId="3E8ADA67"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5AA0500A"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2B6427"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Conducteur #1 : écart par rapport au centre de la position de conduite</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AE01D0"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0,50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8853A4"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0FD9492"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0,50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395E48"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2E2E7AC"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0,02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5DE5A2C"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0,144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3615A9"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BE9DFC4"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63A4735"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4CA9065"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1A127239"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50B4AE2D"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196EE968"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6FE96407"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AF4CBD"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Conducteur #2 : début de l</w:t>
            </w:r>
            <w:r>
              <w:rPr>
                <w:sz w:val="16"/>
                <w:szCs w:val="16"/>
                <w:lang w:val="fr-FR"/>
              </w:rPr>
              <w:t>’</w:t>
            </w:r>
            <w:r w:rsidRPr="00E20087">
              <w:rPr>
                <w:sz w:val="16"/>
                <w:szCs w:val="16"/>
                <w:lang w:val="fr-FR"/>
              </w:rPr>
              <w:t>accélération</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1FD397"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0,60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05150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104B132"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0,40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E841C"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63EF01CF"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32541A8"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0,144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54B39B"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0,5 %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77B1886"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4868B701"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441719C"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0DB05C1F"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41CABAD9"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7ACC9E56"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4EFCF4B3"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46086" w14:textId="607C0A43" w:rsidR="00133378" w:rsidRPr="00E20087" w:rsidRDefault="00133378" w:rsidP="00924E41">
            <w:pPr>
              <w:ind w:left="0"/>
              <w:rPr>
                <w:rFonts w:asciiTheme="majorBidi" w:hAnsiTheme="majorBidi" w:cstheme="majorBidi"/>
                <w:sz w:val="16"/>
                <w:szCs w:val="16"/>
              </w:rPr>
            </w:pPr>
            <w:r w:rsidRPr="00E20087">
              <w:rPr>
                <w:sz w:val="16"/>
                <w:szCs w:val="16"/>
                <w:lang w:val="fr-FR"/>
              </w:rPr>
              <w:t>Conducteur #3 : variations de la vitesse de +/-1 km/h</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37EB4B"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0,30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4A6455"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33F7BA51"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0,50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B37A0F"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D5E79FA"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0,02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C7A2E35"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0,144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4B7E8D"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9428BCA"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28F99070"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0926DA2E"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328CC0BF"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5CCB3567"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42C46C83"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16E334FE"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74AF8B"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Conducteur #4 : variations de la charge en régime de croisière</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F34FA"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200741"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1,00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4EC31770"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0,34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6700D3"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63977006"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3B17A0F"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0,085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A4702A"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0,3 %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616F9F26"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12394EDF"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3B93813A"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24D15B19"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0EA09D6F"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104E3D0A"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0483B87B"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906D2"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du bruit ambiant</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9792B6"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0,40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E42396"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0,40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03618AC"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0,40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5D3688"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101D426"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34A05A"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0,115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F881C6"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0,5 %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F97640A"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DE5CF0A"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244492C5"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75BF44D6"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45C0CB90"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206EF5B1"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2488676D"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F47C51"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 la température de fonctionnement du moteur (WOT) et des pneumatiques (WOT et CRS) =&gt; voir la note dans la norme ISO 362-1</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52005A"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0,80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E436C4"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0,80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B15CE46"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0,80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974D43"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D7BEAAA"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0,05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5E6681B"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0,231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34A050"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2,0 %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64F6E1FF"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E48D1AB"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AA08BBF"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7C1E1DB0"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2A65DA28"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1919BBBB" w14:textId="77777777" w:rsidTr="00436A4F">
        <w:trPr>
          <w:trHeight w:val="162"/>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D453E0" w14:textId="77777777" w:rsidR="00133378" w:rsidRPr="00E20087" w:rsidRDefault="00133378" w:rsidP="00452EC2">
            <w:pPr>
              <w:ind w:left="160" w:right="113" w:hanging="52"/>
              <w:jc w:val="center"/>
              <w:rPr>
                <w:rFonts w:asciiTheme="majorBidi" w:hAnsiTheme="majorBidi" w:cstheme="majorBidi"/>
                <w:b/>
                <w:bCs/>
                <w:sz w:val="16"/>
                <w:szCs w:val="16"/>
              </w:rPr>
            </w:pPr>
            <w:r w:rsidRPr="00E20087">
              <w:rPr>
                <w:b/>
                <w:bCs/>
                <w:sz w:val="16"/>
                <w:szCs w:val="16"/>
                <w:lang w:val="fr-FR"/>
              </w:rPr>
              <w:t>D</w:t>
            </w:r>
            <w:r>
              <w:rPr>
                <w:b/>
                <w:bCs/>
                <w:sz w:val="16"/>
                <w:szCs w:val="16"/>
                <w:lang w:val="fr-FR"/>
              </w:rPr>
              <w:t>’</w:t>
            </w:r>
            <w:r w:rsidRPr="00E20087">
              <w:rPr>
                <w:b/>
                <w:bCs/>
                <w:sz w:val="16"/>
                <w:szCs w:val="16"/>
                <w:lang w:val="fr-FR"/>
              </w:rPr>
              <w:t>un jour à l</w:t>
            </w:r>
            <w:r>
              <w:rPr>
                <w:b/>
                <w:bCs/>
                <w:sz w:val="16"/>
                <w:szCs w:val="16"/>
                <w:lang w:val="fr-FR"/>
              </w:rPr>
              <w:t>’</w:t>
            </w:r>
            <w:r w:rsidRPr="00E20087">
              <w:rPr>
                <w:b/>
                <w:bCs/>
                <w:sz w:val="16"/>
                <w:szCs w:val="16"/>
                <w:lang w:val="fr-FR"/>
              </w:rPr>
              <w:t>autre</w:t>
            </w: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A2AAA3"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Pression barométrique (conditions météorologiques +/- 30 hPa)</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792F7E"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0,40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1FCD6B"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0,40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D1830C8"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0,40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1410E4"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0D8E96C"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C7FB1F8"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0,100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DB59DA"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0,4 %</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C31B" w14:textId="77777777" w:rsidR="00133378" w:rsidRPr="00E20087" w:rsidRDefault="00133378" w:rsidP="006C5089">
            <w:pPr>
              <w:ind w:left="-69" w:right="3"/>
              <w:jc w:val="center"/>
              <w:rPr>
                <w:rFonts w:asciiTheme="majorBidi" w:hAnsiTheme="majorBidi" w:cstheme="majorBidi"/>
                <w:sz w:val="16"/>
                <w:szCs w:val="16"/>
              </w:rPr>
            </w:pPr>
            <w:r w:rsidRPr="00E20087">
              <w:rPr>
                <w:sz w:val="16"/>
                <w:szCs w:val="16"/>
                <w:lang w:val="fr-FR"/>
              </w:rPr>
              <w:t xml:space="preserve">1,06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3C483"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0,53 </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D065"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1,06 </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A7CF" w14:textId="77777777" w:rsidR="00133378" w:rsidRPr="00E20087" w:rsidRDefault="00133378" w:rsidP="00A738E5">
            <w:pPr>
              <w:ind w:left="-38" w:right="-47"/>
              <w:jc w:val="center"/>
              <w:rPr>
                <w:rFonts w:asciiTheme="majorBidi" w:hAnsiTheme="majorBidi" w:cstheme="majorBidi"/>
                <w:sz w:val="16"/>
                <w:szCs w:val="16"/>
              </w:rPr>
            </w:pPr>
            <w:r w:rsidRPr="00E20087">
              <w:rPr>
                <w:sz w:val="16"/>
                <w:szCs w:val="16"/>
                <w:lang w:val="fr-FR"/>
              </w:rPr>
              <w:t xml:space="preserve">1,06 </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14:paraId="05D36015"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2,1</w:t>
            </w:r>
          </w:p>
        </w:tc>
      </w:tr>
      <w:tr w:rsidR="00194F8D" w:rsidRPr="00AE6DBE" w14:paraId="48E6F31B"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0B43ADF5"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54C3F" w14:textId="72D858AE" w:rsidR="00133378" w:rsidRPr="00E20087" w:rsidRDefault="00133378" w:rsidP="00924E41">
            <w:pPr>
              <w:ind w:left="0"/>
              <w:rPr>
                <w:rFonts w:asciiTheme="majorBidi" w:hAnsiTheme="majorBidi" w:cstheme="majorBidi"/>
                <w:sz w:val="16"/>
                <w:szCs w:val="16"/>
              </w:rPr>
            </w:pPr>
            <w:r w:rsidRPr="00E20087">
              <w:rPr>
                <w:sz w:val="16"/>
                <w:szCs w:val="16"/>
                <w:lang w:val="fr-FR"/>
              </w:rPr>
              <w:t>Effet de la température de l</w:t>
            </w:r>
            <w:r>
              <w:rPr>
                <w:sz w:val="16"/>
                <w:szCs w:val="16"/>
                <w:lang w:val="fr-FR"/>
              </w:rPr>
              <w:t>’</w:t>
            </w:r>
            <w:r w:rsidRPr="00E20087">
              <w:rPr>
                <w:sz w:val="16"/>
                <w:szCs w:val="16"/>
                <w:lang w:val="fr-FR"/>
              </w:rPr>
              <w:t>air sur le bruit des pneumatiques (5-10</w:t>
            </w:r>
            <w:r w:rsidR="00436A4F">
              <w:rPr>
                <w:sz w:val="16"/>
                <w:szCs w:val="16"/>
                <w:lang w:val="fr-FR"/>
              </w:rPr>
              <w:t> </w:t>
            </w:r>
            <w:r w:rsidRPr="00E20087">
              <w:rPr>
                <w:sz w:val="16"/>
                <w:szCs w:val="16"/>
                <w:lang w:val="fr-FR"/>
              </w:rPr>
              <w:t>°C)</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FAE83A"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ABBCA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F714CBB"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99514B"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7CD055ED"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F7D6154"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0,000</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0BB3A6"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0,02 %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3F7C2DE"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2FB9723"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38E20769"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52431DFC" w14:textId="77777777" w:rsidR="00133378" w:rsidRPr="00E20087" w:rsidRDefault="00133378" w:rsidP="00A738E5">
            <w:pPr>
              <w:ind w:left="-38" w:right="-47"/>
              <w:rPr>
                <w:rFonts w:asciiTheme="majorBidi" w:hAnsiTheme="majorBidi" w:cstheme="majorBidi"/>
                <w:color w:val="C00000"/>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73E23A64" w14:textId="77777777" w:rsidR="00133378" w:rsidRPr="00E20087" w:rsidRDefault="00133378" w:rsidP="00127642">
            <w:pPr>
              <w:jc w:val="center"/>
              <w:rPr>
                <w:rFonts w:asciiTheme="majorBidi" w:hAnsiTheme="majorBidi" w:cstheme="majorBidi"/>
                <w:color w:val="C00000"/>
                <w:sz w:val="16"/>
                <w:szCs w:val="16"/>
                <w:lang w:val="en-GB" w:eastAsia="de-DE"/>
              </w:rPr>
            </w:pPr>
          </w:p>
        </w:tc>
      </w:tr>
      <w:tr w:rsidR="00194F8D" w:rsidRPr="00AE6DBE" w14:paraId="5FAC3102"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5F09387C"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C8D98A" w14:textId="70CF0976" w:rsidR="00133378" w:rsidRPr="00E20087" w:rsidRDefault="00133378" w:rsidP="00924E41">
            <w:pPr>
              <w:ind w:left="0"/>
              <w:rPr>
                <w:rFonts w:asciiTheme="majorBidi" w:hAnsiTheme="majorBidi" w:cstheme="majorBidi"/>
                <w:sz w:val="16"/>
                <w:szCs w:val="16"/>
              </w:rPr>
            </w:pPr>
            <w:r w:rsidRPr="00E20087">
              <w:rPr>
                <w:sz w:val="16"/>
                <w:szCs w:val="16"/>
                <w:lang w:val="fr-FR"/>
              </w:rPr>
              <w:t>Effet de la température de l</w:t>
            </w:r>
            <w:r>
              <w:rPr>
                <w:sz w:val="16"/>
                <w:szCs w:val="16"/>
                <w:lang w:val="fr-FR"/>
              </w:rPr>
              <w:t>’</w:t>
            </w:r>
            <w:r w:rsidRPr="00E20087">
              <w:rPr>
                <w:sz w:val="16"/>
                <w:szCs w:val="16"/>
                <w:lang w:val="fr-FR"/>
              </w:rPr>
              <w:t>air sur le bruit des pneumatiques (10-40</w:t>
            </w:r>
            <w:r w:rsidR="00436A4F">
              <w:rPr>
                <w:sz w:val="16"/>
                <w:szCs w:val="16"/>
                <w:lang w:val="fr-FR"/>
              </w:rPr>
              <w:t> </w:t>
            </w:r>
            <w:r w:rsidRPr="00E20087">
              <w:rPr>
                <w:sz w:val="16"/>
                <w:szCs w:val="16"/>
                <w:lang w:val="fr-FR"/>
              </w:rPr>
              <w:t>°C)</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4E83EF"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2,20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284AF3"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3,60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6D05864"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2,67</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DBE7F2"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C5DECE1"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0,60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5555E6"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0,772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CD0A15"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21,9 %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308A3F2"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4D8625FF"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2E6C927C"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163C79A3" w14:textId="77777777" w:rsidR="00133378" w:rsidRPr="00E20087" w:rsidRDefault="00133378" w:rsidP="00A738E5">
            <w:pPr>
              <w:ind w:left="-38" w:right="-47"/>
              <w:rPr>
                <w:rFonts w:asciiTheme="majorBidi" w:hAnsiTheme="majorBidi" w:cstheme="majorBidi"/>
                <w:color w:val="C00000"/>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29132CD8" w14:textId="77777777" w:rsidR="00133378" w:rsidRPr="00E20087" w:rsidRDefault="00133378" w:rsidP="00127642">
            <w:pPr>
              <w:jc w:val="center"/>
              <w:rPr>
                <w:rFonts w:asciiTheme="majorBidi" w:hAnsiTheme="majorBidi" w:cstheme="majorBidi"/>
                <w:color w:val="C00000"/>
                <w:sz w:val="16"/>
                <w:szCs w:val="16"/>
                <w:lang w:val="en-GB" w:eastAsia="de-DE"/>
              </w:rPr>
            </w:pPr>
          </w:p>
        </w:tc>
      </w:tr>
      <w:tr w:rsidR="00194F8D" w:rsidRPr="00AE6DBE" w14:paraId="1E98C1B1"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6BE1120F"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EBEB7"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du bruit ambiant pendant le mesurage</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67304B"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B4A7D3"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F975025"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0,00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EA9D71"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 xml:space="preserve">rectangulaire </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5A6D796"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CA95FBF"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0,000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CAFC73"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0,0 %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E43AE5B"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2584A629"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6CE74936"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7FF0800B" w14:textId="77777777" w:rsidR="00133378" w:rsidRPr="00E20087" w:rsidRDefault="00133378" w:rsidP="00A738E5">
            <w:pPr>
              <w:ind w:left="-38" w:right="-47"/>
              <w:rPr>
                <w:rFonts w:asciiTheme="majorBidi" w:hAnsiTheme="majorBidi" w:cstheme="majorBidi"/>
                <w:color w:val="C00000"/>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486D27B2" w14:textId="77777777" w:rsidR="00133378" w:rsidRPr="00E20087" w:rsidRDefault="00133378" w:rsidP="00127642">
            <w:pPr>
              <w:jc w:val="center"/>
              <w:rPr>
                <w:rFonts w:asciiTheme="majorBidi" w:hAnsiTheme="majorBidi" w:cstheme="majorBidi"/>
                <w:color w:val="C00000"/>
                <w:sz w:val="16"/>
                <w:szCs w:val="16"/>
                <w:lang w:val="en-GB" w:eastAsia="de-DE"/>
              </w:rPr>
            </w:pPr>
          </w:p>
        </w:tc>
      </w:tr>
      <w:tr w:rsidR="00194F8D" w:rsidRPr="00AE6DBE" w14:paraId="5788F46D" w14:textId="77777777" w:rsidTr="00436A4F">
        <w:trPr>
          <w:trHeight w:val="107"/>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654B5799"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6C808C"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 la température de l</w:t>
            </w:r>
            <w:r>
              <w:rPr>
                <w:sz w:val="16"/>
                <w:szCs w:val="16"/>
                <w:lang w:val="fr-FR"/>
              </w:rPr>
              <w:t>’</w:t>
            </w:r>
            <w:r w:rsidRPr="00E20087">
              <w:rPr>
                <w:sz w:val="16"/>
                <w:szCs w:val="16"/>
                <w:lang w:val="fr-FR"/>
              </w:rPr>
              <w:t>air d</w:t>
            </w:r>
            <w:r>
              <w:rPr>
                <w:sz w:val="16"/>
                <w:szCs w:val="16"/>
                <w:lang w:val="fr-FR"/>
              </w:rPr>
              <w:t>’</w:t>
            </w:r>
            <w:r w:rsidRPr="00E20087">
              <w:rPr>
                <w:sz w:val="16"/>
                <w:szCs w:val="16"/>
                <w:lang w:val="fr-FR"/>
              </w:rPr>
              <w:t>admission</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C26EA"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1,60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DD7B8"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50097939"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1,06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7C4F35"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 xml:space="preserve">rectangulaire </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39F77361"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0,09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51222E2"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0,305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D11F5B"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3,4 %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8ACA514"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2459A86"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2345F19B"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4D528280" w14:textId="77777777" w:rsidR="00133378" w:rsidRPr="00E20087" w:rsidRDefault="00133378" w:rsidP="00A738E5">
            <w:pPr>
              <w:ind w:left="-38" w:right="-47"/>
              <w:rPr>
                <w:rFonts w:asciiTheme="majorBidi" w:hAnsiTheme="majorBidi" w:cstheme="majorBidi"/>
                <w:color w:val="C00000"/>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7165555E" w14:textId="77777777" w:rsidR="00133378" w:rsidRPr="00E20087" w:rsidRDefault="00133378" w:rsidP="00127642">
            <w:pPr>
              <w:jc w:val="center"/>
              <w:rPr>
                <w:rFonts w:asciiTheme="majorBidi" w:hAnsiTheme="majorBidi" w:cstheme="majorBidi"/>
                <w:color w:val="C00000"/>
                <w:sz w:val="16"/>
                <w:szCs w:val="16"/>
                <w:lang w:val="en-GB" w:eastAsia="de-DE"/>
              </w:rPr>
            </w:pPr>
          </w:p>
        </w:tc>
      </w:tr>
      <w:tr w:rsidR="00194F8D" w:rsidRPr="00AE6DBE" w14:paraId="65604789" w14:textId="77777777" w:rsidTr="00436A4F">
        <w:trPr>
          <w:trHeight w:val="235"/>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3C15EE69"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6812CE"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Humidité résiduelle sur le revêtement de la piste d</w:t>
            </w:r>
            <w:r>
              <w:rPr>
                <w:sz w:val="16"/>
                <w:szCs w:val="16"/>
                <w:lang w:val="fr-FR"/>
              </w:rPr>
              <w:t>’</w:t>
            </w:r>
            <w:r w:rsidRPr="00E20087">
              <w:rPr>
                <w:sz w:val="16"/>
                <w:szCs w:val="16"/>
                <w:lang w:val="fr-FR"/>
              </w:rPr>
              <w:t>essai</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62874"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0,90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6AA5C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2,10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E66D9F9"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1,31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C50A02"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741DE5EF"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0,14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A0B01BA"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0,377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4E18CE"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5,2 %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61A87AD"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2D3E6D0"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464ABA37"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3BD6A52D" w14:textId="77777777" w:rsidR="00133378" w:rsidRPr="00E20087" w:rsidRDefault="00133378" w:rsidP="00A738E5">
            <w:pPr>
              <w:ind w:left="-38" w:right="-47"/>
              <w:rPr>
                <w:rFonts w:asciiTheme="majorBidi" w:hAnsiTheme="majorBidi" w:cstheme="majorBidi"/>
                <w:color w:val="C00000"/>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348B76FB" w14:textId="77777777" w:rsidR="00133378" w:rsidRPr="00E20087" w:rsidRDefault="00133378" w:rsidP="00127642">
            <w:pPr>
              <w:jc w:val="center"/>
              <w:rPr>
                <w:rFonts w:asciiTheme="majorBidi" w:hAnsiTheme="majorBidi" w:cstheme="majorBidi"/>
                <w:color w:val="C00000"/>
                <w:sz w:val="16"/>
                <w:szCs w:val="16"/>
                <w:lang w:val="en-GB" w:eastAsia="de-DE"/>
              </w:rPr>
            </w:pPr>
          </w:p>
        </w:tc>
      </w:tr>
      <w:tr w:rsidR="00194F8D" w:rsidRPr="00AE6DBE" w14:paraId="7840ADC3" w14:textId="77777777" w:rsidTr="00436A4F">
        <w:trPr>
          <w:trHeight w:val="162"/>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A53022" w14:textId="77777777" w:rsidR="00133378" w:rsidRPr="00E20087" w:rsidRDefault="00133378" w:rsidP="00452EC2">
            <w:pPr>
              <w:ind w:left="160" w:right="113" w:hanging="52"/>
              <w:jc w:val="center"/>
              <w:rPr>
                <w:rFonts w:asciiTheme="majorBidi" w:hAnsiTheme="majorBidi" w:cstheme="majorBidi"/>
                <w:b/>
                <w:bCs/>
                <w:sz w:val="16"/>
                <w:szCs w:val="16"/>
              </w:rPr>
            </w:pPr>
            <w:r w:rsidRPr="00E20087">
              <w:rPr>
                <w:b/>
                <w:bCs/>
                <w:sz w:val="16"/>
                <w:szCs w:val="16"/>
                <w:lang w:val="fr-FR"/>
              </w:rPr>
              <w:t>D</w:t>
            </w:r>
            <w:r>
              <w:rPr>
                <w:b/>
                <w:bCs/>
                <w:sz w:val="16"/>
                <w:szCs w:val="16"/>
                <w:lang w:val="fr-FR"/>
              </w:rPr>
              <w:t>’</w:t>
            </w:r>
            <w:r w:rsidRPr="00E20087">
              <w:rPr>
                <w:b/>
                <w:bCs/>
                <w:sz w:val="16"/>
                <w:szCs w:val="16"/>
                <w:lang w:val="fr-FR"/>
              </w:rPr>
              <w:t>un site à l</w:t>
            </w:r>
            <w:r>
              <w:rPr>
                <w:b/>
                <w:bCs/>
                <w:sz w:val="16"/>
                <w:szCs w:val="16"/>
                <w:lang w:val="fr-FR"/>
              </w:rPr>
              <w:t>’</w:t>
            </w:r>
            <w:r w:rsidRPr="00E20087">
              <w:rPr>
                <w:b/>
                <w:bCs/>
                <w:sz w:val="16"/>
                <w:szCs w:val="16"/>
                <w:lang w:val="fr-FR"/>
              </w:rPr>
              <w:t>autre</w:t>
            </w: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44845"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Altitude de la piste -100 hPa/ 1 000 m (de 1 015 à 915 hPa)</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53039"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0,70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D7B42E"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0,70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5E280866"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0,70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D71A08"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70E6ABE"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0,04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F21B997"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0,202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D9A307"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1,5 %</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4732" w14:textId="77777777" w:rsidR="00133378" w:rsidRPr="00E20087" w:rsidRDefault="00133378" w:rsidP="006C5089">
            <w:pPr>
              <w:ind w:left="-69" w:right="3"/>
              <w:jc w:val="center"/>
              <w:rPr>
                <w:rFonts w:asciiTheme="majorBidi" w:hAnsiTheme="majorBidi" w:cstheme="majorBidi"/>
                <w:sz w:val="16"/>
                <w:szCs w:val="16"/>
              </w:rPr>
            </w:pPr>
            <w:r w:rsidRPr="00E20087">
              <w:rPr>
                <w:sz w:val="16"/>
                <w:szCs w:val="16"/>
                <w:lang w:val="fr-FR"/>
              </w:rPr>
              <w:t xml:space="preserve">1,63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022E" w14:textId="77777777" w:rsidR="00133378" w:rsidRPr="00E20087" w:rsidRDefault="00133378" w:rsidP="00127642">
            <w:pPr>
              <w:jc w:val="cente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A7AD"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0,82 </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998C" w14:textId="77777777" w:rsidR="00133378" w:rsidRPr="00E20087" w:rsidRDefault="00133378" w:rsidP="00A738E5">
            <w:pPr>
              <w:ind w:left="-38" w:right="-47"/>
              <w:jc w:val="center"/>
              <w:rPr>
                <w:rFonts w:asciiTheme="majorBidi" w:hAnsiTheme="majorBidi" w:cstheme="majorBidi"/>
                <w:sz w:val="16"/>
                <w:szCs w:val="16"/>
              </w:rPr>
            </w:pPr>
            <w:r w:rsidRPr="00E20087">
              <w:rPr>
                <w:sz w:val="16"/>
                <w:szCs w:val="16"/>
                <w:lang w:val="fr-FR"/>
              </w:rPr>
              <w:t xml:space="preserve">1,63 </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14:paraId="67B079E1"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3,3</w:t>
            </w:r>
          </w:p>
        </w:tc>
      </w:tr>
      <w:tr w:rsidR="00194F8D" w:rsidRPr="00AE6DBE" w14:paraId="6B7CE146"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645709CC" w14:textId="77777777" w:rsidR="00133378" w:rsidRPr="00E20087" w:rsidRDefault="00133378" w:rsidP="00452EC2">
            <w:pPr>
              <w:ind w:left="160" w:right="113"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1FCFF7"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Revêtement de la piste d</w:t>
            </w:r>
            <w:r>
              <w:rPr>
                <w:sz w:val="16"/>
                <w:szCs w:val="16"/>
                <w:lang w:val="fr-FR"/>
              </w:rPr>
              <w:t>’</w:t>
            </w:r>
            <w:r w:rsidRPr="00E20087">
              <w:rPr>
                <w:sz w:val="16"/>
                <w:szCs w:val="16"/>
                <w:lang w:val="fr-FR"/>
              </w:rPr>
              <w:t>essai</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7A3669"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3,40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862167"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5,50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CBC3C4C"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4,11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61D4DA"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02F6D3C"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1,41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67E7FEB"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1,187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FE5480"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51,8 %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0FCB5B3"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09D36FF8"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0F7B2BB4" w14:textId="77777777" w:rsidR="00133378" w:rsidRPr="00E20087" w:rsidRDefault="00133378" w:rsidP="00127642">
            <w:pPr>
              <w:rPr>
                <w:rFonts w:asciiTheme="majorBidi" w:hAnsiTheme="majorBidi" w:cstheme="majorBidi"/>
                <w:color w:val="C00000"/>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03484B1F"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0776969E"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306E7621"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30DB1BE7" w14:textId="77777777" w:rsidR="00133378" w:rsidRPr="00E20087" w:rsidRDefault="00133378" w:rsidP="00452EC2">
            <w:pPr>
              <w:ind w:left="160" w:right="113"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CA439C"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Microphone de classe 1 selon la norme 61672 de la CEI</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9794"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1,00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13F5CA"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1,00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0C904E0"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1,00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CCCB95"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7DAAF488"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0,06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2740AB5"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0,250</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CB7AA0"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2,3 %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12C20CC"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4F2EF53"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56D42C5A" w14:textId="77777777" w:rsidR="00133378" w:rsidRPr="00E20087" w:rsidRDefault="00133378" w:rsidP="00127642">
            <w:pPr>
              <w:rPr>
                <w:rFonts w:asciiTheme="majorBidi" w:hAnsiTheme="majorBidi" w:cstheme="majorBidi"/>
                <w:color w:val="C00000"/>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24B6536F"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01ABA1E5"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15A7CFE8"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18B6A2B7" w14:textId="77777777" w:rsidR="00133378" w:rsidRPr="00E20087" w:rsidRDefault="00133378" w:rsidP="00452EC2">
            <w:pPr>
              <w:ind w:left="160" w:right="113"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8CFEFA" w14:textId="51AAF69E" w:rsidR="00133378" w:rsidRPr="00E20087" w:rsidRDefault="00133378" w:rsidP="00924E41">
            <w:pPr>
              <w:ind w:left="0"/>
              <w:rPr>
                <w:rFonts w:asciiTheme="majorBidi" w:hAnsiTheme="majorBidi" w:cstheme="majorBidi"/>
                <w:sz w:val="16"/>
                <w:szCs w:val="16"/>
              </w:rPr>
            </w:pPr>
            <w:r w:rsidRPr="00E20087">
              <w:rPr>
                <w:sz w:val="16"/>
                <w:szCs w:val="16"/>
                <w:lang w:val="fr-FR"/>
              </w:rPr>
              <w:t xml:space="preserve">Étalonneur acoustique conforme à la norme 60942 </w:t>
            </w:r>
            <w:r w:rsidR="00436A4F">
              <w:rPr>
                <w:sz w:val="16"/>
                <w:szCs w:val="16"/>
                <w:lang w:val="fr-FR"/>
              </w:rPr>
              <w:br/>
            </w:r>
            <w:r w:rsidRPr="00E20087">
              <w:rPr>
                <w:sz w:val="16"/>
                <w:szCs w:val="16"/>
                <w:lang w:val="fr-FR"/>
              </w:rPr>
              <w:t>de la CEI</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E9504"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0,50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4765E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4F1D82F8"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0,50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365084"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 xml:space="preserve">gaussienne </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0BBAB6C"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0,02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AAC3569"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0,125</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89DB8E"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0,6 %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2B8AB55"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0191A011"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4AB66AE5" w14:textId="77777777" w:rsidR="00133378" w:rsidRPr="00E20087" w:rsidRDefault="00133378" w:rsidP="00127642">
            <w:pPr>
              <w:rPr>
                <w:rFonts w:asciiTheme="majorBidi" w:hAnsiTheme="majorBidi" w:cstheme="majorBidi"/>
                <w:color w:val="C00000"/>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532F9EF0"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64F13C6B" w14:textId="77777777" w:rsidR="00133378" w:rsidRPr="00E20087" w:rsidRDefault="00133378" w:rsidP="00127642">
            <w:pPr>
              <w:jc w:val="center"/>
              <w:rPr>
                <w:rFonts w:asciiTheme="majorBidi" w:hAnsiTheme="majorBidi" w:cstheme="majorBidi"/>
                <w:sz w:val="16"/>
                <w:szCs w:val="16"/>
                <w:lang w:val="en-GB" w:eastAsia="de-DE"/>
              </w:rPr>
            </w:pPr>
          </w:p>
        </w:tc>
      </w:tr>
      <w:tr w:rsidR="00194F8D" w:rsidRPr="00AE6DBE" w14:paraId="0F9AF4C7"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61DFB47F" w14:textId="77777777" w:rsidR="00133378" w:rsidRPr="00E20087" w:rsidRDefault="00133378" w:rsidP="00452EC2">
            <w:pPr>
              <w:ind w:left="160" w:right="113"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1C5556"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Dispositif de mesure continue de la vitesse sur la ligne PP</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029EFC"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0,10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99DBBF"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0,10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4C90230D"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0,10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9D8A4E"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6CFB158"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8D36319"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0,029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8D7FA9"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0,0 %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F675E78"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1BA006E6"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65356F35" w14:textId="77777777" w:rsidR="00133378" w:rsidRPr="00E20087" w:rsidRDefault="00133378" w:rsidP="00127642">
            <w:pPr>
              <w:rPr>
                <w:rFonts w:asciiTheme="majorBidi" w:hAnsiTheme="majorBidi" w:cstheme="majorBidi"/>
                <w:color w:val="C00000"/>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4DF8334C"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45D4CBCB" w14:textId="77777777" w:rsidR="00133378" w:rsidRPr="00E20087" w:rsidRDefault="00133378" w:rsidP="00127642">
            <w:pPr>
              <w:jc w:val="center"/>
              <w:rPr>
                <w:rFonts w:asciiTheme="majorBidi" w:hAnsiTheme="majorBidi" w:cstheme="majorBidi"/>
                <w:sz w:val="16"/>
                <w:szCs w:val="16"/>
                <w:lang w:val="en-GB" w:eastAsia="de-DE"/>
              </w:rPr>
            </w:pPr>
          </w:p>
        </w:tc>
      </w:tr>
      <w:tr w:rsidR="00436A4F" w:rsidRPr="00AE6DBE" w14:paraId="3F1C4065"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46AD3B74" w14:textId="77777777" w:rsidR="00133378" w:rsidRPr="00E20087" w:rsidRDefault="00133378" w:rsidP="00452EC2">
            <w:pPr>
              <w:ind w:left="160" w:right="113"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E9DB7"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Calcul de l</w:t>
            </w:r>
            <w:r>
              <w:rPr>
                <w:sz w:val="16"/>
                <w:szCs w:val="16"/>
                <w:lang w:val="fr-FR"/>
              </w:rPr>
              <w:t>’</w:t>
            </w:r>
            <w:r w:rsidRPr="00E20087">
              <w:rPr>
                <w:sz w:val="16"/>
                <w:szCs w:val="16"/>
                <w:lang w:val="fr-FR"/>
              </w:rPr>
              <w:t>accélération par le dispositif de mesure de la vitesse</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8567BF"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0,50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E9E460"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EEB167C"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0,50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A6433"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6E72A123"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0,02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E9CA6CA"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0,144 </w:t>
            </w:r>
          </w:p>
        </w:tc>
        <w:tc>
          <w:tcPr>
            <w:tcW w:w="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AB75C97"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767D218"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4F38FE7"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EE458B2" w14:textId="77777777" w:rsidR="00133378" w:rsidRPr="00E20087" w:rsidRDefault="00133378" w:rsidP="00127642">
            <w:pPr>
              <w:rPr>
                <w:rFonts w:asciiTheme="majorBidi" w:hAnsiTheme="majorBidi" w:cstheme="majorBidi"/>
                <w:color w:val="C00000"/>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192BA552" w14:textId="77777777" w:rsidR="00133378" w:rsidRPr="00E20087" w:rsidRDefault="00133378" w:rsidP="00A738E5">
            <w:pPr>
              <w:ind w:left="-38" w:right="-47"/>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vAlign w:val="center"/>
          </w:tcPr>
          <w:p w14:paraId="3A71E99F" w14:textId="77777777" w:rsidR="00133378" w:rsidRPr="00E20087" w:rsidRDefault="00133378" w:rsidP="00127642">
            <w:pPr>
              <w:jc w:val="center"/>
              <w:rPr>
                <w:rFonts w:asciiTheme="majorBidi" w:hAnsiTheme="majorBidi" w:cstheme="majorBidi"/>
                <w:sz w:val="16"/>
                <w:szCs w:val="16"/>
                <w:lang w:val="en-GB" w:eastAsia="de-DE"/>
              </w:rPr>
            </w:pPr>
          </w:p>
        </w:tc>
      </w:tr>
      <w:tr w:rsidR="00436A4F" w:rsidRPr="00AE6DBE" w14:paraId="45D4C46C" w14:textId="77777777" w:rsidTr="00436A4F">
        <w:trPr>
          <w:trHeight w:val="162"/>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DF2F0B" w14:textId="5DDB1E05" w:rsidR="00133378" w:rsidRPr="00E20087" w:rsidRDefault="004E5254" w:rsidP="00452EC2">
            <w:pPr>
              <w:ind w:left="160" w:right="113" w:hanging="52"/>
              <w:jc w:val="center"/>
              <w:rPr>
                <w:rFonts w:asciiTheme="majorBidi" w:hAnsiTheme="majorBidi" w:cstheme="majorBidi"/>
                <w:b/>
                <w:bCs/>
                <w:sz w:val="16"/>
                <w:szCs w:val="16"/>
              </w:rPr>
            </w:pPr>
            <w:r>
              <w:rPr>
                <w:b/>
                <w:bCs/>
                <w:sz w:val="16"/>
                <w:szCs w:val="16"/>
                <w:lang w:val="fr-FR"/>
              </w:rPr>
              <w:t>D</w:t>
            </w:r>
            <w:r w:rsidRPr="00407ADC">
              <w:rPr>
                <w:spacing w:val="-40"/>
                <w:sz w:val="16"/>
                <w:szCs w:val="16"/>
                <w:lang w:val="fr-FR"/>
              </w:rPr>
              <w:t>’</w:t>
            </w:r>
            <w:r>
              <w:rPr>
                <w:b/>
                <w:bCs/>
                <w:sz w:val="16"/>
                <w:szCs w:val="16"/>
                <w:lang w:val="fr-FR"/>
              </w:rPr>
              <w:t>un véhicule à l</w:t>
            </w:r>
            <w:r w:rsidR="008C429E" w:rsidRPr="00407ADC">
              <w:rPr>
                <w:spacing w:val="-40"/>
                <w:sz w:val="16"/>
                <w:szCs w:val="16"/>
                <w:lang w:val="fr-FR"/>
              </w:rPr>
              <w:t>’</w:t>
            </w:r>
            <w:r>
              <w:rPr>
                <w:b/>
                <w:bCs/>
                <w:sz w:val="16"/>
                <w:szCs w:val="16"/>
                <w:lang w:val="fr-FR"/>
              </w:rPr>
              <w:t>autre</w:t>
            </w: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1C965B"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des pneumatiques au stade de la production ; vieillissement des pneumatiques avant leur livraison au client (1 dB après un an)</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C10756"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0,80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4345C2"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1,50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CD80350"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1,04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03D3C1"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7BDF55B9"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0,07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E88667"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0,259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790259"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2,5 %</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DD83" w14:textId="77777777" w:rsidR="00133378" w:rsidRPr="00E20087" w:rsidRDefault="00133378" w:rsidP="006C5089">
            <w:pPr>
              <w:ind w:left="-69" w:right="3"/>
              <w:jc w:val="center"/>
              <w:rPr>
                <w:rFonts w:asciiTheme="majorBidi" w:hAnsiTheme="majorBidi" w:cstheme="majorBidi"/>
                <w:sz w:val="16"/>
                <w:szCs w:val="16"/>
              </w:rPr>
            </w:pPr>
            <w:r w:rsidRPr="00E20087">
              <w:rPr>
                <w:sz w:val="16"/>
                <w:szCs w:val="16"/>
                <w:lang w:val="fr-FR"/>
              </w:rPr>
              <w:t xml:space="preserve">1,73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A184" w14:textId="77777777" w:rsidR="00133378" w:rsidRPr="00E20087" w:rsidRDefault="00133378" w:rsidP="00127642">
            <w:pPr>
              <w:jc w:val="cente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FDE5"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1,73 </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3C31" w14:textId="77777777" w:rsidR="00133378" w:rsidRPr="00E20087" w:rsidRDefault="00133378" w:rsidP="00A738E5">
            <w:pPr>
              <w:ind w:left="-38" w:right="-47"/>
              <w:jc w:val="center"/>
              <w:rPr>
                <w:rFonts w:asciiTheme="majorBidi" w:hAnsiTheme="majorBidi" w:cstheme="majorBidi"/>
                <w:sz w:val="16"/>
                <w:szCs w:val="16"/>
              </w:rPr>
            </w:pPr>
            <w:r w:rsidRPr="00E20087">
              <w:rPr>
                <w:sz w:val="16"/>
                <w:szCs w:val="16"/>
                <w:lang w:val="fr-FR"/>
              </w:rPr>
              <w:t xml:space="preserve">1,73 </w:t>
            </w:r>
          </w:p>
        </w:tc>
        <w:tc>
          <w:tcPr>
            <w:tcW w:w="751" w:type="dxa"/>
            <w:vMerge w:val="restart"/>
            <w:tcBorders>
              <w:top w:val="single" w:sz="4" w:space="0" w:color="auto"/>
              <w:left w:val="single" w:sz="4" w:space="0" w:color="auto"/>
              <w:bottom w:val="single" w:sz="4" w:space="0" w:color="auto"/>
              <w:right w:val="single" w:sz="4" w:space="0" w:color="auto"/>
            </w:tcBorders>
            <w:vAlign w:val="center"/>
          </w:tcPr>
          <w:p w14:paraId="1EE80356"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3,5</w:t>
            </w:r>
          </w:p>
        </w:tc>
      </w:tr>
      <w:tr w:rsidR="00436A4F" w:rsidRPr="00AE6DBE" w14:paraId="4013E272"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0E803655"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11F36"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Pneumatiques dont la profondeur de sculpture est à son niveau minimum</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074DA3"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0,40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3A12B8"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0,40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EED1900"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0,40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E4EE03"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618BE133"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0,04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4B41E2"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0,209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2B6B92"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1,8 %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74CA8C2A"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19701614"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C0BC99D"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6B428FC2"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7391EBE7" w14:textId="77777777" w:rsidR="00133378" w:rsidRPr="00E20087" w:rsidRDefault="00133378" w:rsidP="00127642">
            <w:pPr>
              <w:rPr>
                <w:rFonts w:asciiTheme="majorBidi" w:hAnsiTheme="majorBidi" w:cstheme="majorBidi"/>
                <w:sz w:val="16"/>
                <w:szCs w:val="16"/>
                <w:lang w:val="en-GB" w:eastAsia="de-DE"/>
              </w:rPr>
            </w:pPr>
          </w:p>
        </w:tc>
      </w:tr>
      <w:tr w:rsidR="00436A4F" w:rsidRPr="00AE6DBE" w14:paraId="04306367"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55E30E0C"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ECC03"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 la taille et de la marque des pneumatiques (non fournies par l</w:t>
            </w:r>
            <w:r>
              <w:rPr>
                <w:sz w:val="16"/>
                <w:szCs w:val="16"/>
                <w:lang w:val="fr-FR"/>
              </w:rPr>
              <w:t>’</w:t>
            </w:r>
            <w:r w:rsidRPr="00E20087">
              <w:rPr>
                <w:sz w:val="16"/>
                <w:szCs w:val="16"/>
                <w:lang w:val="fr-FR"/>
              </w:rPr>
              <w:t>équipementier)</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0546EA"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3ED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03DF263"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0,00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88747E"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4E9C5EA"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75A6811"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0,000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5727A6"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0,0 %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498CC1F"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4DB794E"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22C9A072"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2C1CF9AD"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6EA32787" w14:textId="77777777" w:rsidR="00133378" w:rsidRPr="00E20087" w:rsidRDefault="00133378" w:rsidP="00127642">
            <w:pPr>
              <w:rPr>
                <w:rFonts w:asciiTheme="majorBidi" w:hAnsiTheme="majorBidi" w:cstheme="majorBidi"/>
                <w:sz w:val="16"/>
                <w:szCs w:val="16"/>
                <w:lang w:val="en-GB" w:eastAsia="de-DE"/>
              </w:rPr>
            </w:pPr>
          </w:p>
        </w:tc>
      </w:tr>
      <w:tr w:rsidR="00436A4F" w:rsidRPr="00AE6DBE" w14:paraId="137EBD64"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4F62158C"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E17F5E"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 la puissance au stade de la production (y compris le rodage correct d</w:t>
            </w:r>
            <w:r>
              <w:rPr>
                <w:sz w:val="16"/>
                <w:szCs w:val="16"/>
                <w:lang w:val="fr-FR"/>
              </w:rPr>
              <w:t>’</w:t>
            </w:r>
            <w:r w:rsidRPr="00E20087">
              <w:rPr>
                <w:sz w:val="16"/>
                <w:szCs w:val="16"/>
                <w:lang w:val="fr-FR"/>
              </w:rPr>
              <w:t>un moteur neuf)</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FF504"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0,40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C77950"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0,40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E85D5B8"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0,40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64BDA6"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6CC5FED"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988B9AD"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0,115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47ECA0"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0,5 %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B4D9A9A"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4B30F60A"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305BAD48"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48138038"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2F2AAEC0" w14:textId="77777777" w:rsidR="00133378" w:rsidRPr="00E20087" w:rsidRDefault="00133378" w:rsidP="00127642">
            <w:pPr>
              <w:rPr>
                <w:rFonts w:asciiTheme="majorBidi" w:hAnsiTheme="majorBidi" w:cstheme="majorBidi"/>
                <w:sz w:val="16"/>
                <w:szCs w:val="16"/>
                <w:lang w:val="en-GB" w:eastAsia="de-DE"/>
              </w:rPr>
            </w:pPr>
          </w:p>
        </w:tc>
      </w:tr>
      <w:tr w:rsidR="00436A4F" w:rsidRPr="00AE6DBE" w14:paraId="0C42994D"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00345D4E"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C20BF"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Niveau de charge de la batterie pour les véhicules hybrides électriques (3 dB(A))</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B12E0F"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0,00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40C240"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3B68F20F"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1AF700"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98294C3"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0,00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191EDE9"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0,000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0BACA"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0,0 %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7EACB99"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65918751"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1B012D5B"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1735CA5D"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05A0FE26" w14:textId="77777777" w:rsidR="00133378" w:rsidRPr="00E20087" w:rsidRDefault="00133378" w:rsidP="00127642">
            <w:pPr>
              <w:rPr>
                <w:rFonts w:asciiTheme="majorBidi" w:hAnsiTheme="majorBidi" w:cstheme="majorBidi"/>
                <w:sz w:val="16"/>
                <w:szCs w:val="16"/>
                <w:lang w:val="en-GB" w:eastAsia="de-DE"/>
              </w:rPr>
            </w:pPr>
          </w:p>
        </w:tc>
      </w:tr>
      <w:tr w:rsidR="00436A4F" w:rsidRPr="00AE6DBE" w14:paraId="635AF8A1"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71FFD9DD"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55EAA4" w14:textId="77777777" w:rsidR="00133378" w:rsidRPr="00E20087" w:rsidRDefault="00133378" w:rsidP="00924E41">
            <w:pPr>
              <w:ind w:left="0"/>
              <w:rPr>
                <w:rFonts w:asciiTheme="majorBidi" w:hAnsiTheme="majorBidi" w:cstheme="majorBidi"/>
                <w:sz w:val="16"/>
                <w:szCs w:val="16"/>
              </w:rPr>
            </w:pPr>
            <w:r w:rsidRPr="00E20087">
              <w:rPr>
                <w:sz w:val="16"/>
                <w:szCs w:val="16"/>
                <w:lang w:val="fr-FR"/>
              </w:rPr>
              <w:t>Variations des systèmes de réduction du bruit au stade de la production</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17A36B"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1,10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E513DF"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0,00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E37F6E0"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0,73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06D74C"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gaussienne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457E7C6A"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0,03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077C773"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0,182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B518F"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1,2 %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4EE49910"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2D0EAE8"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13D095EF"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4414A886"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6791E715" w14:textId="77777777" w:rsidR="00133378" w:rsidRPr="00E20087" w:rsidRDefault="00133378" w:rsidP="00127642">
            <w:pPr>
              <w:rPr>
                <w:rFonts w:asciiTheme="majorBidi" w:hAnsiTheme="majorBidi" w:cstheme="majorBidi"/>
                <w:sz w:val="16"/>
                <w:szCs w:val="16"/>
                <w:lang w:val="en-GB" w:eastAsia="de-DE"/>
              </w:rPr>
            </w:pPr>
          </w:p>
        </w:tc>
      </w:tr>
      <w:tr w:rsidR="00436A4F" w:rsidRPr="00AE6DBE" w14:paraId="7BB1C6AA" w14:textId="77777777" w:rsidTr="00436A4F">
        <w:trPr>
          <w:trHeight w:val="162"/>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340116D3" w14:textId="77777777" w:rsidR="00133378" w:rsidRPr="00E20087" w:rsidRDefault="00133378" w:rsidP="00452EC2">
            <w:pPr>
              <w:ind w:left="160" w:hanging="52"/>
              <w:rPr>
                <w:rFonts w:asciiTheme="majorBidi" w:hAnsiTheme="majorBidi" w:cstheme="majorBidi"/>
                <w:b/>
                <w:bCs/>
                <w:sz w:val="16"/>
                <w:szCs w:val="16"/>
                <w:lang w:val="en-GB" w:eastAsia="de-DE"/>
              </w:rPr>
            </w:pPr>
          </w:p>
        </w:tc>
        <w:tc>
          <w:tcPr>
            <w:tcW w:w="22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D56A6E" w14:textId="17512347" w:rsidR="00133378" w:rsidRPr="00E20087" w:rsidRDefault="00133378" w:rsidP="00924E41">
            <w:pPr>
              <w:ind w:left="0"/>
              <w:rPr>
                <w:rFonts w:asciiTheme="majorBidi" w:hAnsiTheme="majorBidi" w:cstheme="majorBidi"/>
                <w:sz w:val="16"/>
                <w:szCs w:val="16"/>
              </w:rPr>
            </w:pPr>
            <w:r w:rsidRPr="00E20087">
              <w:rPr>
                <w:sz w:val="16"/>
                <w:szCs w:val="16"/>
                <w:lang w:val="fr-FR"/>
              </w:rPr>
              <w:t>Effet des variations de la masse du véhicule</w:t>
            </w:r>
            <w:r w:rsidR="004E5254">
              <w:rPr>
                <w:sz w:val="16"/>
                <w:szCs w:val="16"/>
                <w:lang w:val="fr-FR"/>
              </w:rPr>
              <w:t>’</w:t>
            </w:r>
          </w:p>
        </w:tc>
        <w:tc>
          <w:tcPr>
            <w:tcW w:w="4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60C645" w14:textId="77777777" w:rsidR="00133378" w:rsidRPr="00E20087" w:rsidRDefault="00133378" w:rsidP="00924E41">
            <w:pPr>
              <w:ind w:left="-71" w:right="-67"/>
              <w:jc w:val="center"/>
              <w:rPr>
                <w:rFonts w:asciiTheme="majorBidi" w:hAnsiTheme="majorBidi" w:cstheme="majorBidi"/>
                <w:sz w:val="16"/>
                <w:szCs w:val="16"/>
              </w:rPr>
            </w:pPr>
            <w:r w:rsidRPr="00E20087">
              <w:rPr>
                <w:sz w:val="16"/>
                <w:szCs w:val="16"/>
                <w:lang w:val="fr-FR"/>
              </w:rPr>
              <w:t>1,60</w:t>
            </w:r>
          </w:p>
        </w:tc>
        <w:tc>
          <w:tcPr>
            <w:tcW w:w="5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A30369" w14:textId="77777777" w:rsidR="00133378" w:rsidRPr="00E20087" w:rsidRDefault="00133378" w:rsidP="009D0677">
            <w:pPr>
              <w:jc w:val="center"/>
              <w:rPr>
                <w:rFonts w:asciiTheme="majorBidi" w:hAnsiTheme="majorBidi" w:cstheme="majorBidi"/>
                <w:sz w:val="16"/>
                <w:szCs w:val="16"/>
              </w:rPr>
            </w:pPr>
            <w:r w:rsidRPr="00E20087">
              <w:rPr>
                <w:sz w:val="16"/>
                <w:szCs w:val="16"/>
                <w:lang w:val="fr-FR"/>
              </w:rPr>
              <w:t>1,60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5C68B6A" w14:textId="77777777" w:rsidR="00133378" w:rsidRPr="00E20087" w:rsidRDefault="00133378" w:rsidP="00127642">
            <w:pPr>
              <w:jc w:val="center"/>
              <w:rPr>
                <w:rFonts w:asciiTheme="majorBidi" w:hAnsiTheme="majorBidi" w:cstheme="majorBidi"/>
                <w:color w:val="000000"/>
                <w:sz w:val="16"/>
                <w:szCs w:val="16"/>
              </w:rPr>
            </w:pPr>
            <w:r w:rsidRPr="00E20087">
              <w:rPr>
                <w:sz w:val="16"/>
                <w:szCs w:val="16"/>
                <w:lang w:val="fr-FR"/>
              </w:rPr>
              <w:t xml:space="preserve">1,60 </w:t>
            </w:r>
          </w:p>
        </w:tc>
        <w:tc>
          <w:tcPr>
            <w:tcW w:w="10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DF4B29" w14:textId="77777777" w:rsidR="00133378" w:rsidRPr="00E20087" w:rsidRDefault="00133378" w:rsidP="00305868">
            <w:pPr>
              <w:ind w:left="-55" w:right="-73"/>
              <w:jc w:val="center"/>
              <w:rPr>
                <w:rFonts w:asciiTheme="majorBidi" w:hAnsiTheme="majorBidi" w:cstheme="majorBidi"/>
                <w:sz w:val="16"/>
                <w:szCs w:val="16"/>
              </w:rPr>
            </w:pPr>
            <w:r w:rsidRPr="00E20087">
              <w:rPr>
                <w:sz w:val="16"/>
                <w:szCs w:val="16"/>
                <w:lang w:val="fr-FR"/>
              </w:rPr>
              <w:t>rectangulaire</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6D53272D" w14:textId="77777777" w:rsidR="00133378" w:rsidRPr="00E20087" w:rsidRDefault="00133378" w:rsidP="00127642">
            <w:pPr>
              <w:jc w:val="center"/>
              <w:rPr>
                <w:rFonts w:asciiTheme="majorBidi" w:hAnsiTheme="majorBidi" w:cstheme="majorBidi"/>
                <w:sz w:val="16"/>
                <w:szCs w:val="16"/>
              </w:rPr>
            </w:pPr>
            <w:r w:rsidRPr="00E20087">
              <w:rPr>
                <w:sz w:val="16"/>
                <w:szCs w:val="16"/>
                <w:lang w:val="fr-FR"/>
              </w:rPr>
              <w:t xml:space="preserve">0,21 </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A12EDE6" w14:textId="77777777" w:rsidR="00133378" w:rsidRPr="00E20087" w:rsidRDefault="00133378" w:rsidP="00534AD3">
            <w:pPr>
              <w:ind w:left="-70" w:right="-105"/>
              <w:jc w:val="center"/>
              <w:rPr>
                <w:rFonts w:asciiTheme="majorBidi" w:hAnsiTheme="majorBidi" w:cstheme="majorBidi"/>
                <w:sz w:val="16"/>
                <w:szCs w:val="16"/>
              </w:rPr>
            </w:pPr>
            <w:r w:rsidRPr="00E20087">
              <w:rPr>
                <w:sz w:val="16"/>
                <w:szCs w:val="16"/>
                <w:lang w:val="fr-FR"/>
              </w:rPr>
              <w:t xml:space="preserve">0,462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D5078" w14:textId="77777777" w:rsidR="00133378" w:rsidRPr="00E20087" w:rsidRDefault="00133378" w:rsidP="00534AD3">
            <w:pPr>
              <w:ind w:left="-66" w:right="-59"/>
              <w:jc w:val="center"/>
              <w:rPr>
                <w:rFonts w:asciiTheme="majorBidi" w:hAnsiTheme="majorBidi" w:cstheme="majorBidi"/>
                <w:color w:val="000000"/>
                <w:sz w:val="16"/>
                <w:szCs w:val="16"/>
              </w:rPr>
            </w:pPr>
            <w:r w:rsidRPr="00E20087">
              <w:rPr>
                <w:sz w:val="16"/>
                <w:szCs w:val="16"/>
                <w:lang w:val="fr-FR"/>
              </w:rPr>
              <w:t>7,8 %</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244E31C" w14:textId="77777777" w:rsidR="00133378" w:rsidRPr="00E20087" w:rsidRDefault="00133378" w:rsidP="006C5089">
            <w:pPr>
              <w:ind w:left="-69" w:right="3"/>
              <w:rPr>
                <w:rFonts w:asciiTheme="majorBidi" w:hAnsiTheme="majorBidi" w:cstheme="majorBidi"/>
                <w:sz w:val="16"/>
                <w:szCs w:val="16"/>
                <w:lang w:val="en-GB" w:eastAsia="de-DE"/>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37C98902" w14:textId="77777777" w:rsidR="00133378" w:rsidRPr="00E20087" w:rsidRDefault="00133378" w:rsidP="00127642">
            <w:pPr>
              <w:rPr>
                <w:rFonts w:asciiTheme="majorBidi" w:hAnsiTheme="majorBidi" w:cstheme="majorBidi"/>
                <w:sz w:val="16"/>
                <w:szCs w:val="16"/>
                <w:lang w:val="en-GB" w:eastAsia="de-DE"/>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4999D16A" w14:textId="77777777" w:rsidR="00133378" w:rsidRPr="00E20087" w:rsidRDefault="00133378" w:rsidP="00127642">
            <w:pPr>
              <w:rPr>
                <w:rFonts w:asciiTheme="majorBidi" w:hAnsiTheme="majorBidi" w:cstheme="majorBidi"/>
                <w:sz w:val="16"/>
                <w:szCs w:val="16"/>
                <w:lang w:val="en-GB" w:eastAsia="de-DE"/>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14:paraId="2D03B87C" w14:textId="77777777" w:rsidR="00133378" w:rsidRPr="00E20087" w:rsidRDefault="00133378" w:rsidP="00127642">
            <w:pPr>
              <w:rPr>
                <w:rFonts w:asciiTheme="majorBidi" w:hAnsiTheme="majorBidi" w:cstheme="majorBidi"/>
                <w:sz w:val="16"/>
                <w:szCs w:val="16"/>
                <w:lang w:val="en-GB" w:eastAsia="de-DE"/>
              </w:rPr>
            </w:pPr>
          </w:p>
        </w:tc>
        <w:tc>
          <w:tcPr>
            <w:tcW w:w="751" w:type="dxa"/>
            <w:vMerge/>
            <w:tcBorders>
              <w:top w:val="single" w:sz="4" w:space="0" w:color="auto"/>
              <w:left w:val="single" w:sz="4" w:space="0" w:color="auto"/>
              <w:bottom w:val="single" w:sz="4" w:space="0" w:color="auto"/>
              <w:right w:val="single" w:sz="4" w:space="0" w:color="auto"/>
            </w:tcBorders>
          </w:tcPr>
          <w:p w14:paraId="02C932E2" w14:textId="77777777" w:rsidR="00133378" w:rsidRPr="00E20087" w:rsidRDefault="00133378" w:rsidP="00127642">
            <w:pPr>
              <w:rPr>
                <w:rFonts w:asciiTheme="majorBidi" w:hAnsiTheme="majorBidi" w:cstheme="majorBidi"/>
                <w:sz w:val="16"/>
                <w:szCs w:val="16"/>
                <w:lang w:val="en-GB" w:eastAsia="de-DE"/>
              </w:rPr>
            </w:pPr>
          </w:p>
        </w:tc>
      </w:tr>
      <w:tr w:rsidR="00A738E5" w:rsidRPr="00AE6DBE" w14:paraId="59AD844A" w14:textId="77777777" w:rsidTr="00436A4F">
        <w:trPr>
          <w:trHeight w:val="162"/>
        </w:trPr>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F5B4C" w14:textId="77777777" w:rsidR="00133378" w:rsidRPr="00E20087" w:rsidRDefault="00133378" w:rsidP="00452EC2">
            <w:pPr>
              <w:ind w:left="160" w:hanging="52"/>
              <w:jc w:val="center"/>
              <w:rPr>
                <w:rFonts w:asciiTheme="majorBidi" w:hAnsiTheme="majorBidi" w:cstheme="majorBidi"/>
                <w:b/>
                <w:bCs/>
                <w:color w:val="9C6500"/>
                <w:sz w:val="16"/>
                <w:szCs w:val="16"/>
                <w:lang w:val="en-GB" w:eastAsia="de-DE"/>
              </w:rPr>
            </w:pPr>
            <w:r w:rsidRPr="00E20087">
              <w:rPr>
                <w:rFonts w:asciiTheme="majorBidi" w:hAnsiTheme="majorBidi" w:cstheme="majorBidi"/>
                <w:b/>
                <w:bCs/>
                <w:color w:val="9C6500"/>
                <w:sz w:val="16"/>
                <w:szCs w:val="16"/>
                <w:lang w:val="en-GB" w:eastAsia="de-DE"/>
              </w:rPr>
              <w:t> </w:t>
            </w:r>
          </w:p>
        </w:tc>
        <w:tc>
          <w:tcPr>
            <w:tcW w:w="2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E66F9" w14:textId="77777777" w:rsidR="00133378" w:rsidRPr="00E20087" w:rsidRDefault="00133378" w:rsidP="00924E41">
            <w:pPr>
              <w:ind w:left="0"/>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474" w:type="dxa"/>
            <w:tcBorders>
              <w:top w:val="single" w:sz="4" w:space="0" w:color="auto"/>
              <w:left w:val="single" w:sz="4" w:space="0" w:color="auto"/>
              <w:bottom w:val="single" w:sz="4" w:space="0" w:color="auto"/>
              <w:right w:val="single" w:sz="4" w:space="0" w:color="auto"/>
            </w:tcBorders>
            <w:shd w:val="clear" w:color="000000" w:fill="FFFFFF"/>
            <w:hideMark/>
          </w:tcPr>
          <w:p w14:paraId="11C13BBF" w14:textId="77777777" w:rsidR="00133378" w:rsidRPr="00E20087" w:rsidRDefault="00133378" w:rsidP="00924E41">
            <w:pPr>
              <w:ind w:left="-71" w:right="-67"/>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DC755" w14:textId="77777777" w:rsidR="00133378" w:rsidRPr="00E20087" w:rsidRDefault="00133378" w:rsidP="00127642">
            <w:pP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4E384" w14:textId="77777777" w:rsidR="00133378" w:rsidRPr="00E20087" w:rsidRDefault="00133378" w:rsidP="00127642">
            <w:pP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491E6A" w14:textId="77777777" w:rsidR="00133378" w:rsidRPr="00E20087" w:rsidRDefault="00133378" w:rsidP="00305868">
            <w:pPr>
              <w:ind w:left="-55" w:right="-73"/>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08BB8" w14:textId="77777777" w:rsidR="00133378" w:rsidRPr="00E20087" w:rsidRDefault="00133378" w:rsidP="00127642">
            <w:pP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5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CE90F" w14:textId="50DB6BBF" w:rsidR="00133378" w:rsidRPr="00E20087" w:rsidRDefault="001C7626" w:rsidP="001C7626">
            <w:pPr>
              <w:ind w:left="0" w:right="0"/>
              <w:jc w:val="center"/>
              <w:rPr>
                <w:rFonts w:asciiTheme="majorBidi" w:hAnsiTheme="majorBidi" w:cstheme="majorBidi"/>
                <w:color w:val="FFFFFF"/>
                <w:sz w:val="16"/>
                <w:szCs w:val="16"/>
              </w:rPr>
            </w:pPr>
            <w:r w:rsidRPr="00E20087">
              <w:rPr>
                <w:rFonts w:asciiTheme="majorBidi" w:hAnsiTheme="majorBidi" w:cstheme="majorBidi"/>
                <w:sz w:val="16"/>
                <w:szCs w:val="16"/>
                <w:lang w:val="en-GB" w:eastAsia="de-DE"/>
              </w:rPr>
              <w:t> </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A5CEC6" w14:textId="77777777" w:rsidR="00133378" w:rsidRPr="00E20087" w:rsidRDefault="00133378" w:rsidP="00534AD3">
            <w:pPr>
              <w:ind w:left="-66" w:right="-59"/>
              <w:jc w:val="center"/>
              <w:rPr>
                <w:rFonts w:asciiTheme="majorBidi" w:hAnsiTheme="majorBidi" w:cstheme="majorBidi"/>
                <w:sz w:val="16"/>
                <w:szCs w:val="16"/>
              </w:rPr>
            </w:pPr>
            <w:r w:rsidRPr="00E20087">
              <w:rPr>
                <w:sz w:val="16"/>
                <w:szCs w:val="16"/>
                <w:lang w:val="fr-FR"/>
              </w:rPr>
              <w:t>100 %</w:t>
            </w:r>
          </w:p>
        </w:tc>
        <w:tc>
          <w:tcPr>
            <w:tcW w:w="4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A521A" w14:textId="77777777" w:rsidR="00133378" w:rsidRPr="00E20087" w:rsidRDefault="00133378" w:rsidP="006C5089">
            <w:pPr>
              <w:ind w:left="-69" w:right="3"/>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173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2C96EC" w14:textId="77777777" w:rsidR="00133378" w:rsidRPr="00E20087" w:rsidRDefault="00133378" w:rsidP="00127642">
            <w:pPr>
              <w:jc w:val="center"/>
              <w:rPr>
                <w:rFonts w:asciiTheme="majorBidi" w:hAnsiTheme="majorBidi" w:cstheme="majorBidi"/>
                <w:sz w:val="16"/>
                <w:szCs w:val="16"/>
                <w:lang w:val="en-GB" w:eastAsia="de-DE"/>
              </w:rPr>
            </w:pPr>
            <w:r w:rsidRPr="00E20087">
              <w:rPr>
                <w:rFonts w:asciiTheme="majorBidi" w:hAnsiTheme="majorBidi" w:cstheme="majorBidi"/>
                <w:sz w:val="16"/>
                <w:szCs w:val="16"/>
                <w:lang w:val="en-GB" w:eastAsia="de-DE"/>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tcPr>
          <w:p w14:paraId="14A6AFA8" w14:textId="77777777" w:rsidR="00133378" w:rsidRPr="00E20087" w:rsidRDefault="00133378" w:rsidP="00127642">
            <w:pPr>
              <w:jc w:val="center"/>
              <w:rPr>
                <w:rFonts w:asciiTheme="majorBidi" w:hAnsiTheme="majorBidi" w:cstheme="majorBidi"/>
                <w:sz w:val="16"/>
                <w:szCs w:val="16"/>
                <w:lang w:val="en-GB" w:eastAsia="de-DE"/>
              </w:rPr>
            </w:pPr>
          </w:p>
        </w:tc>
      </w:tr>
    </w:tbl>
    <w:p w14:paraId="33D5D694" w14:textId="5CD855FE" w:rsidR="008C429E" w:rsidRPr="00852A52" w:rsidRDefault="008C429E" w:rsidP="00127642">
      <w:pPr>
        <w:tabs>
          <w:tab w:val="left" w:pos="471"/>
          <w:tab w:val="left" w:pos="2655"/>
          <w:tab w:val="left" w:pos="3126"/>
          <w:tab w:val="left" w:pos="3668"/>
          <w:tab w:val="left" w:pos="4239"/>
          <w:tab w:val="left" w:pos="5281"/>
          <w:tab w:val="left" w:pos="5822"/>
          <w:tab w:val="left" w:pos="6320"/>
          <w:tab w:val="left" w:pos="6825"/>
          <w:tab w:val="left" w:pos="7249"/>
          <w:tab w:val="left" w:pos="8969"/>
        </w:tabs>
        <w:ind w:left="75"/>
        <w:rPr>
          <w:rFonts w:asciiTheme="majorBidi" w:hAnsiTheme="majorBidi" w:cstheme="majorBidi"/>
          <w:b/>
          <w:bCs/>
          <w:sz w:val="18"/>
          <w:szCs w:val="18"/>
          <w:lang w:val="en-GB" w:eastAsia="de-DE"/>
        </w:rPr>
      </w:pPr>
    </w:p>
    <w:tbl>
      <w:tblPr>
        <w:tblStyle w:val="Grilledetableau1"/>
        <w:tblW w:w="9267" w:type="dxa"/>
        <w:tblInd w:w="378" w:type="dxa"/>
        <w:tblLayout w:type="fixed"/>
        <w:tblLook w:val="0600" w:firstRow="0" w:lastRow="0" w:firstColumn="0" w:lastColumn="0" w:noHBand="1" w:noVBand="1"/>
      </w:tblPr>
      <w:tblGrid>
        <w:gridCol w:w="2212"/>
        <w:gridCol w:w="378"/>
        <w:gridCol w:w="1624"/>
        <w:gridCol w:w="1724"/>
        <w:gridCol w:w="236"/>
        <w:gridCol w:w="1301"/>
        <w:gridCol w:w="994"/>
        <w:gridCol w:w="798"/>
      </w:tblGrid>
      <w:tr w:rsidR="00452EDD" w14:paraId="6FCE4295" w14:textId="77777777" w:rsidTr="00452EDD">
        <w:trPr>
          <w:trHeight w:val="652"/>
        </w:trPr>
        <w:tc>
          <w:tcPr>
            <w:tcW w:w="2212" w:type="dxa"/>
            <w:tcBorders>
              <w:top w:val="nil"/>
              <w:left w:val="nil"/>
              <w:bottom w:val="single" w:sz="4" w:space="0" w:color="auto"/>
              <w:right w:val="nil"/>
            </w:tcBorders>
            <w:vAlign w:val="bottom"/>
          </w:tcPr>
          <w:p w14:paraId="4F0C282E" w14:textId="77777777" w:rsidR="00133378" w:rsidRDefault="00133378" w:rsidP="00CF3256">
            <w:pPr>
              <w:suppressAutoHyphens w:val="0"/>
              <w:spacing w:line="240" w:lineRule="auto"/>
              <w:jc w:val="center"/>
              <w:rPr>
                <w:bCs/>
                <w:lang w:val="en-GB"/>
              </w:rPr>
            </w:pPr>
          </w:p>
        </w:tc>
        <w:tc>
          <w:tcPr>
            <w:tcW w:w="378" w:type="dxa"/>
            <w:vMerge w:val="restart"/>
            <w:tcBorders>
              <w:top w:val="nil"/>
              <w:left w:val="nil"/>
              <w:bottom w:val="nil"/>
              <w:right w:val="single" w:sz="4" w:space="0" w:color="auto"/>
            </w:tcBorders>
            <w:vAlign w:val="center"/>
          </w:tcPr>
          <w:p w14:paraId="206E3C36" w14:textId="77777777" w:rsidR="00133378" w:rsidRDefault="00133378" w:rsidP="00CF3256">
            <w:pPr>
              <w:suppressAutoHyphens w:val="0"/>
              <w:spacing w:line="240" w:lineRule="auto"/>
              <w:jc w:val="center"/>
              <w:rPr>
                <w:bCs/>
                <w:lang w:val="en-GB"/>
              </w:rPr>
            </w:pPr>
          </w:p>
        </w:tc>
        <w:tc>
          <w:tcPr>
            <w:tcW w:w="1624" w:type="dxa"/>
            <w:vMerge w:val="restart"/>
            <w:tcBorders>
              <w:top w:val="single" w:sz="4" w:space="0" w:color="auto"/>
              <w:left w:val="single" w:sz="4" w:space="0" w:color="auto"/>
            </w:tcBorders>
            <w:vAlign w:val="center"/>
          </w:tcPr>
          <w:p w14:paraId="4008B2BE" w14:textId="77777777" w:rsidR="00133378" w:rsidRPr="006A29D2" w:rsidRDefault="00133378" w:rsidP="00CE55F1">
            <w:pPr>
              <w:suppressAutoHyphens w:val="0"/>
              <w:spacing w:line="240" w:lineRule="auto"/>
              <w:ind w:left="0" w:right="-93"/>
              <w:jc w:val="center"/>
              <w:rPr>
                <w:b/>
                <w:sz w:val="18"/>
                <w:szCs w:val="18"/>
              </w:rPr>
            </w:pPr>
            <w:r w:rsidRPr="006A29D2">
              <w:rPr>
                <w:b/>
                <w:bCs/>
                <w:sz w:val="18"/>
                <w:szCs w:val="18"/>
                <w:lang w:val="fr-FR"/>
              </w:rPr>
              <w:t>Incertitude globale composée +/-</w:t>
            </w:r>
          </w:p>
        </w:tc>
        <w:tc>
          <w:tcPr>
            <w:tcW w:w="1724" w:type="dxa"/>
            <w:vMerge w:val="restart"/>
            <w:tcBorders>
              <w:top w:val="single" w:sz="4" w:space="0" w:color="auto"/>
              <w:right w:val="single" w:sz="4" w:space="0" w:color="auto"/>
            </w:tcBorders>
            <w:shd w:val="clear" w:color="auto" w:fill="EEECE1" w:themeFill="background2"/>
            <w:vAlign w:val="center"/>
          </w:tcPr>
          <w:p w14:paraId="28BDF5AC" w14:textId="77777777" w:rsidR="00133378" w:rsidRPr="006A29D2" w:rsidRDefault="00133378" w:rsidP="00CF3256">
            <w:pPr>
              <w:suppressAutoHyphens w:val="0"/>
              <w:spacing w:line="240" w:lineRule="auto"/>
              <w:jc w:val="center"/>
              <w:rPr>
                <w:b/>
                <w:sz w:val="18"/>
                <w:szCs w:val="18"/>
              </w:rPr>
            </w:pPr>
            <w:r w:rsidRPr="006A29D2">
              <w:rPr>
                <w:b/>
                <w:bCs/>
                <w:sz w:val="18"/>
                <w:szCs w:val="18"/>
                <w:lang w:val="fr-FR"/>
              </w:rPr>
              <w:t>Incertitude élargie (95 %) +/-</w:t>
            </w:r>
          </w:p>
        </w:tc>
        <w:tc>
          <w:tcPr>
            <w:tcW w:w="236" w:type="dxa"/>
            <w:vMerge w:val="restart"/>
            <w:tcBorders>
              <w:top w:val="nil"/>
              <w:left w:val="single" w:sz="4" w:space="0" w:color="auto"/>
              <w:bottom w:val="nil"/>
              <w:right w:val="single" w:sz="4" w:space="0" w:color="auto"/>
            </w:tcBorders>
            <w:vAlign w:val="center"/>
          </w:tcPr>
          <w:p w14:paraId="1A868860" w14:textId="77777777" w:rsidR="00133378" w:rsidRPr="006A29D2" w:rsidRDefault="00133378" w:rsidP="00CF3256">
            <w:pPr>
              <w:suppressAutoHyphens w:val="0"/>
              <w:spacing w:line="240" w:lineRule="auto"/>
              <w:jc w:val="center"/>
              <w:rPr>
                <w:bCs/>
                <w:sz w:val="18"/>
                <w:szCs w:val="18"/>
                <w:lang w:val="en-GB"/>
              </w:rPr>
            </w:pPr>
          </w:p>
        </w:tc>
        <w:tc>
          <w:tcPr>
            <w:tcW w:w="1301" w:type="dxa"/>
            <w:vMerge w:val="restart"/>
            <w:tcBorders>
              <w:top w:val="single" w:sz="4" w:space="0" w:color="auto"/>
              <w:left w:val="single" w:sz="4" w:space="0" w:color="auto"/>
            </w:tcBorders>
            <w:vAlign w:val="center"/>
          </w:tcPr>
          <w:p w14:paraId="362A89E4" w14:textId="16E5F82A" w:rsidR="00133378" w:rsidRPr="00452EDD" w:rsidRDefault="00133378" w:rsidP="00452EDD">
            <w:pPr>
              <w:suppressAutoHyphens w:val="0"/>
              <w:spacing w:before="0" w:line="240" w:lineRule="auto"/>
              <w:ind w:left="-79" w:right="-126" w:firstLine="79"/>
              <w:jc w:val="center"/>
              <w:rPr>
                <w:b/>
                <w:bCs/>
                <w:sz w:val="18"/>
                <w:szCs w:val="18"/>
                <w:lang w:val="fr-FR"/>
              </w:rPr>
            </w:pPr>
            <w:r w:rsidRPr="006A29D2">
              <w:rPr>
                <w:b/>
                <w:bCs/>
                <w:sz w:val="18"/>
                <w:szCs w:val="18"/>
                <w:lang w:val="fr-FR"/>
              </w:rPr>
              <w:t>Homologation</w:t>
            </w:r>
            <w:r w:rsidR="00452EDD">
              <w:rPr>
                <w:b/>
                <w:bCs/>
                <w:sz w:val="18"/>
                <w:szCs w:val="18"/>
                <w:lang w:val="fr-FR"/>
              </w:rPr>
              <w:br/>
            </w:r>
            <w:r w:rsidRPr="006A29D2">
              <w:rPr>
                <w:b/>
                <w:bCs/>
                <w:sz w:val="18"/>
                <w:szCs w:val="18"/>
                <w:lang w:val="fr-FR"/>
              </w:rPr>
              <w:t>de type</w:t>
            </w:r>
          </w:p>
        </w:tc>
        <w:tc>
          <w:tcPr>
            <w:tcW w:w="994" w:type="dxa"/>
            <w:vMerge w:val="restart"/>
            <w:tcBorders>
              <w:top w:val="single" w:sz="4" w:space="0" w:color="auto"/>
            </w:tcBorders>
            <w:vAlign w:val="center"/>
          </w:tcPr>
          <w:p w14:paraId="18F8C074" w14:textId="2E90C009" w:rsidR="00133378" w:rsidRPr="006A29D2" w:rsidRDefault="00133378" w:rsidP="00890FF0">
            <w:pPr>
              <w:suppressAutoHyphens w:val="0"/>
              <w:spacing w:before="0" w:line="240" w:lineRule="auto"/>
              <w:ind w:left="-125" w:right="-64"/>
              <w:jc w:val="center"/>
              <w:rPr>
                <w:b/>
                <w:sz w:val="18"/>
                <w:szCs w:val="18"/>
              </w:rPr>
            </w:pPr>
            <w:r w:rsidRPr="006A29D2">
              <w:rPr>
                <w:b/>
                <w:bCs/>
                <w:sz w:val="18"/>
                <w:szCs w:val="18"/>
                <w:lang w:val="fr-FR"/>
              </w:rPr>
              <w:t xml:space="preserve">Conformité </w:t>
            </w:r>
            <w:r w:rsidR="00452EDD">
              <w:rPr>
                <w:b/>
                <w:bCs/>
                <w:sz w:val="18"/>
                <w:szCs w:val="18"/>
                <w:lang w:val="fr-FR"/>
              </w:rPr>
              <w:br/>
            </w:r>
            <w:r w:rsidRPr="006A29D2">
              <w:rPr>
                <w:b/>
                <w:bCs/>
                <w:sz w:val="18"/>
                <w:szCs w:val="18"/>
                <w:lang w:val="fr-FR"/>
              </w:rPr>
              <w:t>de la production</w:t>
            </w:r>
          </w:p>
        </w:tc>
        <w:tc>
          <w:tcPr>
            <w:tcW w:w="798" w:type="dxa"/>
            <w:vMerge w:val="restart"/>
            <w:tcBorders>
              <w:top w:val="single" w:sz="4" w:space="0" w:color="auto"/>
              <w:right w:val="single" w:sz="4" w:space="0" w:color="auto"/>
            </w:tcBorders>
            <w:vAlign w:val="center"/>
          </w:tcPr>
          <w:p w14:paraId="19FBE6B4" w14:textId="3EE43DD0" w:rsidR="00133378" w:rsidRPr="006A29D2" w:rsidRDefault="00133378" w:rsidP="00452EDD">
            <w:pPr>
              <w:suppressAutoHyphens w:val="0"/>
              <w:spacing w:before="0" w:line="240" w:lineRule="auto"/>
              <w:ind w:left="-94" w:right="-92"/>
              <w:jc w:val="center"/>
              <w:rPr>
                <w:b/>
                <w:sz w:val="18"/>
                <w:szCs w:val="18"/>
              </w:rPr>
            </w:pPr>
            <w:r w:rsidRPr="006A29D2">
              <w:rPr>
                <w:b/>
                <w:bCs/>
                <w:sz w:val="18"/>
                <w:szCs w:val="18"/>
                <w:lang w:val="fr-FR"/>
              </w:rPr>
              <w:t xml:space="preserve">Essais sur </w:t>
            </w:r>
            <w:r w:rsidR="00452EDD">
              <w:rPr>
                <w:b/>
                <w:bCs/>
                <w:sz w:val="18"/>
                <w:szCs w:val="18"/>
                <w:lang w:val="fr-FR"/>
              </w:rPr>
              <w:br/>
            </w:r>
            <w:r w:rsidRPr="006A29D2">
              <w:rPr>
                <w:b/>
                <w:bCs/>
                <w:sz w:val="18"/>
                <w:szCs w:val="18"/>
                <w:lang w:val="fr-FR"/>
              </w:rPr>
              <w:t>le terrain</w:t>
            </w:r>
          </w:p>
        </w:tc>
      </w:tr>
      <w:tr w:rsidR="00CE55F1" w14:paraId="05EF5BD1" w14:textId="77777777" w:rsidTr="00452EDD">
        <w:trPr>
          <w:trHeight w:val="45"/>
        </w:trPr>
        <w:tc>
          <w:tcPr>
            <w:tcW w:w="2212" w:type="dxa"/>
            <w:tcBorders>
              <w:top w:val="single" w:sz="4" w:space="0" w:color="auto"/>
              <w:left w:val="single" w:sz="4" w:space="0" w:color="auto"/>
              <w:right w:val="single" w:sz="4" w:space="0" w:color="auto"/>
            </w:tcBorders>
            <w:shd w:val="clear" w:color="auto" w:fill="EEECE1" w:themeFill="background2"/>
            <w:vAlign w:val="center"/>
          </w:tcPr>
          <w:p w14:paraId="56DD3B00" w14:textId="77777777" w:rsidR="00133378" w:rsidRPr="006A29D2" w:rsidRDefault="00133378" w:rsidP="00CF3256">
            <w:pPr>
              <w:suppressAutoHyphens w:val="0"/>
              <w:spacing w:line="240" w:lineRule="auto"/>
              <w:jc w:val="center"/>
              <w:rPr>
                <w:b/>
                <w:sz w:val="18"/>
                <w:szCs w:val="18"/>
              </w:rPr>
            </w:pPr>
            <w:r w:rsidRPr="006A29D2">
              <w:rPr>
                <w:b/>
                <w:bCs/>
                <w:sz w:val="18"/>
                <w:szCs w:val="18"/>
                <w:lang w:val="fr-FR"/>
              </w:rPr>
              <w:t>Facteur d</w:t>
            </w:r>
            <w:r>
              <w:rPr>
                <w:b/>
                <w:bCs/>
                <w:sz w:val="18"/>
                <w:szCs w:val="18"/>
                <w:lang w:val="fr-FR"/>
              </w:rPr>
              <w:t>’</w:t>
            </w:r>
            <w:r w:rsidRPr="006A29D2">
              <w:rPr>
                <w:b/>
                <w:bCs/>
                <w:sz w:val="18"/>
                <w:szCs w:val="18"/>
                <w:lang w:val="fr-FR"/>
              </w:rPr>
              <w:t>élargissement</w:t>
            </w:r>
          </w:p>
        </w:tc>
        <w:tc>
          <w:tcPr>
            <w:tcW w:w="378" w:type="dxa"/>
            <w:vMerge/>
            <w:tcBorders>
              <w:top w:val="nil"/>
              <w:left w:val="single" w:sz="4" w:space="0" w:color="auto"/>
              <w:bottom w:val="nil"/>
              <w:right w:val="single" w:sz="4" w:space="0" w:color="auto"/>
            </w:tcBorders>
            <w:vAlign w:val="center"/>
          </w:tcPr>
          <w:p w14:paraId="002D45FF" w14:textId="77777777" w:rsidR="00133378" w:rsidRDefault="00133378" w:rsidP="00CF3256">
            <w:pPr>
              <w:suppressAutoHyphens w:val="0"/>
              <w:spacing w:line="240" w:lineRule="auto"/>
              <w:jc w:val="center"/>
              <w:rPr>
                <w:bCs/>
                <w:lang w:val="en-GB"/>
              </w:rPr>
            </w:pPr>
          </w:p>
        </w:tc>
        <w:tc>
          <w:tcPr>
            <w:tcW w:w="1624" w:type="dxa"/>
            <w:vMerge/>
            <w:tcBorders>
              <w:left w:val="single" w:sz="4" w:space="0" w:color="auto"/>
            </w:tcBorders>
            <w:vAlign w:val="center"/>
          </w:tcPr>
          <w:p w14:paraId="63E2F6B1" w14:textId="77777777" w:rsidR="00133378" w:rsidRPr="000878B8" w:rsidRDefault="00133378" w:rsidP="00CF3256">
            <w:pPr>
              <w:suppressAutoHyphens w:val="0"/>
              <w:spacing w:line="240" w:lineRule="auto"/>
              <w:jc w:val="center"/>
              <w:rPr>
                <w:b/>
                <w:lang w:val="en-GB"/>
              </w:rPr>
            </w:pPr>
          </w:p>
        </w:tc>
        <w:tc>
          <w:tcPr>
            <w:tcW w:w="1724" w:type="dxa"/>
            <w:vMerge/>
            <w:tcBorders>
              <w:right w:val="single" w:sz="4" w:space="0" w:color="auto"/>
            </w:tcBorders>
            <w:shd w:val="clear" w:color="auto" w:fill="EEECE1" w:themeFill="background2"/>
            <w:vAlign w:val="center"/>
          </w:tcPr>
          <w:p w14:paraId="151EC0D7" w14:textId="77777777" w:rsidR="00133378" w:rsidRPr="000878B8" w:rsidRDefault="00133378" w:rsidP="00CF3256">
            <w:pPr>
              <w:suppressAutoHyphens w:val="0"/>
              <w:spacing w:line="240" w:lineRule="auto"/>
              <w:jc w:val="center"/>
              <w:rPr>
                <w:b/>
                <w:lang w:val="en-GB"/>
              </w:rPr>
            </w:pPr>
          </w:p>
        </w:tc>
        <w:tc>
          <w:tcPr>
            <w:tcW w:w="236" w:type="dxa"/>
            <w:vMerge/>
            <w:tcBorders>
              <w:top w:val="nil"/>
              <w:left w:val="single" w:sz="4" w:space="0" w:color="auto"/>
              <w:bottom w:val="nil"/>
              <w:right w:val="single" w:sz="4" w:space="0" w:color="auto"/>
            </w:tcBorders>
            <w:vAlign w:val="center"/>
          </w:tcPr>
          <w:p w14:paraId="57D8C67B" w14:textId="77777777" w:rsidR="00133378" w:rsidRDefault="00133378" w:rsidP="00CF3256">
            <w:pPr>
              <w:suppressAutoHyphens w:val="0"/>
              <w:spacing w:line="240" w:lineRule="auto"/>
              <w:jc w:val="center"/>
              <w:rPr>
                <w:bCs/>
                <w:lang w:val="en-GB"/>
              </w:rPr>
            </w:pPr>
          </w:p>
        </w:tc>
        <w:tc>
          <w:tcPr>
            <w:tcW w:w="1301" w:type="dxa"/>
            <w:vMerge/>
            <w:tcBorders>
              <w:left w:val="single" w:sz="4" w:space="0" w:color="auto"/>
            </w:tcBorders>
            <w:vAlign w:val="center"/>
          </w:tcPr>
          <w:p w14:paraId="32433660" w14:textId="77777777" w:rsidR="00133378" w:rsidRDefault="00133378" w:rsidP="00890FF0">
            <w:pPr>
              <w:suppressAutoHyphens w:val="0"/>
              <w:spacing w:before="0" w:line="240" w:lineRule="auto"/>
              <w:ind w:left="0" w:right="0"/>
              <w:jc w:val="center"/>
              <w:rPr>
                <w:bCs/>
                <w:lang w:val="en-GB"/>
              </w:rPr>
            </w:pPr>
          </w:p>
        </w:tc>
        <w:tc>
          <w:tcPr>
            <w:tcW w:w="994" w:type="dxa"/>
            <w:vMerge/>
            <w:vAlign w:val="center"/>
          </w:tcPr>
          <w:p w14:paraId="5789C49C" w14:textId="77777777" w:rsidR="00133378" w:rsidRDefault="00133378" w:rsidP="00890FF0">
            <w:pPr>
              <w:suppressAutoHyphens w:val="0"/>
              <w:spacing w:before="0" w:line="240" w:lineRule="auto"/>
              <w:ind w:left="-125" w:right="-64"/>
              <w:jc w:val="center"/>
              <w:rPr>
                <w:bCs/>
                <w:lang w:val="en-GB"/>
              </w:rPr>
            </w:pPr>
          </w:p>
        </w:tc>
        <w:tc>
          <w:tcPr>
            <w:tcW w:w="798" w:type="dxa"/>
            <w:vMerge/>
            <w:tcBorders>
              <w:right w:val="single" w:sz="4" w:space="0" w:color="auto"/>
            </w:tcBorders>
            <w:vAlign w:val="center"/>
          </w:tcPr>
          <w:p w14:paraId="5B48764D" w14:textId="77777777" w:rsidR="00133378" w:rsidRDefault="00133378" w:rsidP="00890FF0">
            <w:pPr>
              <w:suppressAutoHyphens w:val="0"/>
              <w:spacing w:before="0" w:line="240" w:lineRule="auto"/>
              <w:ind w:left="0" w:right="0"/>
              <w:jc w:val="center"/>
              <w:rPr>
                <w:bCs/>
                <w:lang w:val="en-GB"/>
              </w:rPr>
            </w:pPr>
          </w:p>
        </w:tc>
      </w:tr>
      <w:tr w:rsidR="00452EDD" w14:paraId="3DE60014" w14:textId="77777777" w:rsidTr="00452EDD">
        <w:trPr>
          <w:trHeight w:val="140"/>
        </w:trPr>
        <w:tc>
          <w:tcPr>
            <w:tcW w:w="2212" w:type="dxa"/>
            <w:tcBorders>
              <w:left w:val="single" w:sz="4" w:space="0" w:color="auto"/>
              <w:bottom w:val="single" w:sz="4" w:space="0" w:color="auto"/>
              <w:right w:val="single" w:sz="4" w:space="0" w:color="auto"/>
            </w:tcBorders>
            <w:shd w:val="clear" w:color="auto" w:fill="EEECE1" w:themeFill="background2"/>
            <w:vAlign w:val="center"/>
          </w:tcPr>
          <w:p w14:paraId="4AA20D5C" w14:textId="00342BB7" w:rsidR="00133378" w:rsidRPr="00AB62DE" w:rsidRDefault="00133378" w:rsidP="00CF3256">
            <w:pPr>
              <w:suppressAutoHyphens w:val="0"/>
              <w:spacing w:line="240" w:lineRule="auto"/>
              <w:jc w:val="center"/>
              <w:rPr>
                <w:b/>
              </w:rPr>
            </w:pPr>
            <w:r>
              <w:rPr>
                <w:b/>
                <w:bCs/>
                <w:lang w:val="fr-FR"/>
              </w:rPr>
              <w:t>k=2</w:t>
            </w:r>
            <w:r w:rsidR="008C429E">
              <w:rPr>
                <w:rFonts w:ascii="MS Gothic" w:eastAsia="MS Gothic" w:hAnsi="MS Gothic" w:cs="MS Gothic" w:hint="eastAsia"/>
                <w:b/>
                <w:bCs/>
                <w:lang w:val="fr-FR"/>
              </w:rPr>
              <w:t xml:space="preserve"> </w:t>
            </w:r>
            <w:r>
              <w:rPr>
                <w:b/>
                <w:bCs/>
                <w:lang w:val="fr-FR"/>
              </w:rPr>
              <w:t>(95 %)</w:t>
            </w:r>
          </w:p>
        </w:tc>
        <w:tc>
          <w:tcPr>
            <w:tcW w:w="378" w:type="dxa"/>
            <w:vMerge/>
            <w:tcBorders>
              <w:top w:val="nil"/>
              <w:left w:val="single" w:sz="4" w:space="0" w:color="auto"/>
              <w:bottom w:val="nil"/>
              <w:right w:val="single" w:sz="4" w:space="0" w:color="auto"/>
            </w:tcBorders>
            <w:vAlign w:val="center"/>
          </w:tcPr>
          <w:p w14:paraId="45E7513F" w14:textId="77777777" w:rsidR="00133378" w:rsidRPr="000878B8" w:rsidRDefault="00133378" w:rsidP="00CF3256">
            <w:pPr>
              <w:suppressAutoHyphens w:val="0"/>
              <w:spacing w:line="240" w:lineRule="auto"/>
              <w:jc w:val="center"/>
              <w:rPr>
                <w:b/>
                <w:sz w:val="24"/>
                <w:szCs w:val="24"/>
                <w:lang w:val="en-GB"/>
              </w:rPr>
            </w:pPr>
          </w:p>
        </w:tc>
        <w:tc>
          <w:tcPr>
            <w:tcW w:w="1624" w:type="dxa"/>
            <w:tcBorders>
              <w:left w:val="single" w:sz="4" w:space="0" w:color="auto"/>
              <w:bottom w:val="single" w:sz="4" w:space="0" w:color="auto"/>
            </w:tcBorders>
            <w:shd w:val="clear" w:color="auto" w:fill="000000" w:themeFill="text1"/>
            <w:vAlign w:val="center"/>
          </w:tcPr>
          <w:p w14:paraId="5624BB06" w14:textId="77777777" w:rsidR="00133378" w:rsidRPr="006A29D2" w:rsidRDefault="00133378" w:rsidP="00CF3256">
            <w:pPr>
              <w:suppressAutoHyphens w:val="0"/>
              <w:spacing w:line="240" w:lineRule="auto"/>
              <w:jc w:val="center"/>
              <w:rPr>
                <w:b/>
                <w:bCs/>
                <w:sz w:val="24"/>
                <w:szCs w:val="24"/>
              </w:rPr>
            </w:pPr>
            <w:r w:rsidRPr="006A29D2">
              <w:rPr>
                <w:b/>
                <w:bCs/>
                <w:lang w:val="fr-FR"/>
              </w:rPr>
              <w:t>1,73</w:t>
            </w:r>
          </w:p>
        </w:tc>
        <w:tc>
          <w:tcPr>
            <w:tcW w:w="1724" w:type="dxa"/>
            <w:tcBorders>
              <w:bottom w:val="single" w:sz="4" w:space="0" w:color="auto"/>
              <w:right w:val="single" w:sz="4" w:space="0" w:color="auto"/>
            </w:tcBorders>
            <w:shd w:val="clear" w:color="auto" w:fill="000000" w:themeFill="text1"/>
            <w:vAlign w:val="center"/>
          </w:tcPr>
          <w:p w14:paraId="5A27A68D" w14:textId="77777777" w:rsidR="00133378" w:rsidRPr="000878B8" w:rsidRDefault="00133378" w:rsidP="00CF3256">
            <w:pPr>
              <w:suppressAutoHyphens w:val="0"/>
              <w:spacing w:line="240" w:lineRule="auto"/>
              <w:jc w:val="center"/>
              <w:rPr>
                <w:b/>
                <w:sz w:val="24"/>
                <w:szCs w:val="24"/>
              </w:rPr>
            </w:pPr>
            <w:r>
              <w:rPr>
                <w:b/>
                <w:bCs/>
                <w:lang w:val="fr-FR"/>
              </w:rPr>
              <w:t>3,46</w:t>
            </w:r>
          </w:p>
        </w:tc>
        <w:tc>
          <w:tcPr>
            <w:tcW w:w="236" w:type="dxa"/>
            <w:vMerge/>
            <w:tcBorders>
              <w:top w:val="nil"/>
              <w:left w:val="single" w:sz="4" w:space="0" w:color="auto"/>
              <w:bottom w:val="nil"/>
              <w:right w:val="single" w:sz="4" w:space="0" w:color="auto"/>
            </w:tcBorders>
            <w:vAlign w:val="center"/>
          </w:tcPr>
          <w:p w14:paraId="3E2D531A" w14:textId="77777777" w:rsidR="00133378" w:rsidRPr="000878B8" w:rsidRDefault="00133378" w:rsidP="00CF3256">
            <w:pPr>
              <w:suppressAutoHyphens w:val="0"/>
              <w:spacing w:line="240" w:lineRule="auto"/>
              <w:jc w:val="center"/>
              <w:rPr>
                <w:b/>
                <w:sz w:val="24"/>
                <w:szCs w:val="24"/>
                <w:lang w:val="en-GB"/>
              </w:rPr>
            </w:pPr>
          </w:p>
        </w:tc>
        <w:tc>
          <w:tcPr>
            <w:tcW w:w="1301" w:type="dxa"/>
            <w:tcBorders>
              <w:left w:val="single" w:sz="4" w:space="0" w:color="auto"/>
              <w:bottom w:val="single" w:sz="4" w:space="0" w:color="auto"/>
            </w:tcBorders>
            <w:shd w:val="clear" w:color="auto" w:fill="000000" w:themeFill="text1"/>
            <w:vAlign w:val="center"/>
          </w:tcPr>
          <w:p w14:paraId="6BD9EB27" w14:textId="77777777" w:rsidR="00133378" w:rsidRPr="000878B8" w:rsidRDefault="00133378" w:rsidP="00890FF0">
            <w:pPr>
              <w:suppressAutoHyphens w:val="0"/>
              <w:spacing w:before="0" w:line="240" w:lineRule="auto"/>
              <w:ind w:left="0" w:right="0"/>
              <w:jc w:val="center"/>
              <w:rPr>
                <w:b/>
                <w:sz w:val="24"/>
                <w:szCs w:val="24"/>
              </w:rPr>
            </w:pPr>
            <w:r>
              <w:rPr>
                <w:b/>
                <w:bCs/>
                <w:lang w:val="fr-FR"/>
              </w:rPr>
              <w:t>1,5</w:t>
            </w:r>
          </w:p>
        </w:tc>
        <w:tc>
          <w:tcPr>
            <w:tcW w:w="994" w:type="dxa"/>
            <w:tcBorders>
              <w:bottom w:val="single" w:sz="4" w:space="0" w:color="auto"/>
            </w:tcBorders>
            <w:shd w:val="clear" w:color="auto" w:fill="000000" w:themeFill="text1"/>
            <w:vAlign w:val="center"/>
          </w:tcPr>
          <w:p w14:paraId="221F27CA" w14:textId="77777777" w:rsidR="00133378" w:rsidRPr="000878B8" w:rsidRDefault="00133378" w:rsidP="00890FF0">
            <w:pPr>
              <w:suppressAutoHyphens w:val="0"/>
              <w:spacing w:before="0" w:line="240" w:lineRule="auto"/>
              <w:ind w:left="-125" w:right="-64"/>
              <w:jc w:val="center"/>
              <w:rPr>
                <w:b/>
                <w:sz w:val="24"/>
                <w:szCs w:val="24"/>
              </w:rPr>
            </w:pPr>
            <w:r>
              <w:rPr>
                <w:b/>
                <w:bCs/>
                <w:lang w:val="fr-FR"/>
              </w:rPr>
              <w:t>4,5</w:t>
            </w:r>
          </w:p>
        </w:tc>
        <w:tc>
          <w:tcPr>
            <w:tcW w:w="798" w:type="dxa"/>
            <w:tcBorders>
              <w:bottom w:val="single" w:sz="4" w:space="0" w:color="auto"/>
              <w:right w:val="single" w:sz="4" w:space="0" w:color="auto"/>
            </w:tcBorders>
            <w:shd w:val="clear" w:color="auto" w:fill="000000" w:themeFill="text1"/>
            <w:vAlign w:val="center"/>
          </w:tcPr>
          <w:p w14:paraId="20462429" w14:textId="77777777" w:rsidR="00133378" w:rsidRPr="000878B8" w:rsidRDefault="00133378" w:rsidP="00890FF0">
            <w:pPr>
              <w:suppressAutoHyphens w:val="0"/>
              <w:spacing w:before="0" w:line="240" w:lineRule="auto"/>
              <w:ind w:left="0" w:right="0"/>
              <w:jc w:val="center"/>
              <w:rPr>
                <w:b/>
                <w:sz w:val="24"/>
                <w:szCs w:val="24"/>
              </w:rPr>
            </w:pPr>
            <w:r>
              <w:rPr>
                <w:b/>
                <w:bCs/>
                <w:lang w:val="fr-FR"/>
              </w:rPr>
              <w:t>5,3</w:t>
            </w:r>
          </w:p>
        </w:tc>
      </w:tr>
    </w:tbl>
    <w:p w14:paraId="3B9DC82C" w14:textId="77777777" w:rsidR="00133378" w:rsidRPr="00E35A50" w:rsidRDefault="00133378" w:rsidP="007E2054">
      <w:pPr>
        <w:pStyle w:val="SingleTxtG"/>
        <w:spacing w:before="240" w:line="240" w:lineRule="atLeast"/>
        <w:ind w:firstLine="567"/>
        <w:rPr>
          <w:b/>
          <w:bCs/>
        </w:rPr>
      </w:pPr>
      <w:r w:rsidRPr="00E35A50">
        <w:rPr>
          <w:b/>
          <w:bCs/>
          <w:lang w:val="fr-FR"/>
        </w:rPr>
        <w:t>La norme ISO 362-1 est actuellement en cours de révision. L’appendice relatif à l’incertitude de mesure a récemment été actualisé et cadre désormais avec le budget d’incertitude donné par le tableau 7.1.</w:t>
      </w:r>
    </w:p>
    <w:p w14:paraId="2F150FB6" w14:textId="77777777" w:rsidR="00133378" w:rsidRPr="00590B7E" w:rsidRDefault="00133378" w:rsidP="008A78CB">
      <w:pPr>
        <w:pStyle w:val="SingleTxtG"/>
        <w:spacing w:before="0" w:line="240" w:lineRule="atLeast"/>
        <w:rPr>
          <w:bCs/>
          <w:lang w:val="fr-FR"/>
        </w:rPr>
      </w:pPr>
      <w:r w:rsidRPr="00590B7E">
        <w:rPr>
          <w:bCs/>
          <w:lang w:val="fr-FR"/>
        </w:rPr>
        <w:br w:type="page"/>
      </w:r>
    </w:p>
    <w:p w14:paraId="560876C8" w14:textId="77777777" w:rsidR="00133378" w:rsidRPr="00FF2CAE" w:rsidRDefault="00133378" w:rsidP="00133378">
      <w:pPr>
        <w:pStyle w:val="HChG"/>
      </w:pPr>
      <w:bookmarkStart w:id="21" w:name="_Toc87431066"/>
      <w:r>
        <w:lastRenderedPageBreak/>
        <w:tab/>
      </w:r>
      <w:r w:rsidRPr="00FF2CAE">
        <w:t>8.</w:t>
      </w:r>
      <w:r w:rsidRPr="00FF2CAE">
        <w:tab/>
      </w:r>
      <w:bookmarkStart w:id="22" w:name="_Hlk90452623"/>
      <w:r>
        <w:rPr>
          <w:lang w:val="fr-FR"/>
        </w:rPr>
        <w:t>Références</w:t>
      </w:r>
      <w:bookmarkEnd w:id="21"/>
      <w:bookmarkEnd w:id="22"/>
    </w:p>
    <w:p w14:paraId="1DC1C34E" w14:textId="77777777" w:rsidR="00133378" w:rsidRPr="00E158BD" w:rsidRDefault="00133378" w:rsidP="008A78CB">
      <w:pPr>
        <w:pStyle w:val="SingleTxtG"/>
        <w:spacing w:before="0" w:line="240" w:lineRule="atLeast"/>
        <w:ind w:left="1701" w:hanging="567"/>
        <w:rPr>
          <w:bCs/>
        </w:rPr>
      </w:pPr>
      <w:r w:rsidRPr="00882152">
        <w:rPr>
          <w:bCs/>
          <w:sz w:val="18"/>
          <w:szCs w:val="18"/>
          <w:vertAlign w:val="superscript"/>
        </w:rPr>
        <w:t>1</w:t>
      </w:r>
      <w:r w:rsidRPr="00E158BD">
        <w:rPr>
          <w:bCs/>
          <w:vertAlign w:val="superscript"/>
        </w:rPr>
        <w:tab/>
      </w:r>
      <w:r>
        <w:rPr>
          <w:lang w:val="fr-FR"/>
        </w:rPr>
        <w:t xml:space="preserve">Règlement (UE) 2018/858 relatif à la réception et à la surveillance du marché des véhicules à moteur et de leurs remorques, ainsi que des systèmes, composants et entités techniques distinctes destinés à ces véhicules. </w:t>
      </w:r>
    </w:p>
    <w:p w14:paraId="2D6E4959" w14:textId="77777777" w:rsidR="00133378" w:rsidRPr="00E158BD" w:rsidRDefault="00133378" w:rsidP="008A78CB">
      <w:pPr>
        <w:pStyle w:val="SingleTxtG"/>
        <w:spacing w:before="0" w:line="240" w:lineRule="atLeast"/>
        <w:ind w:left="1701" w:hanging="567"/>
        <w:rPr>
          <w:bCs/>
        </w:rPr>
      </w:pPr>
      <w:r w:rsidRPr="00882152">
        <w:rPr>
          <w:bCs/>
          <w:sz w:val="18"/>
          <w:szCs w:val="18"/>
          <w:vertAlign w:val="superscript"/>
        </w:rPr>
        <w:t>2</w:t>
      </w:r>
      <w:r w:rsidRPr="00E158BD">
        <w:rPr>
          <w:bCs/>
          <w:vertAlign w:val="superscript"/>
        </w:rPr>
        <w:tab/>
      </w:r>
      <w:r>
        <w:rPr>
          <w:lang w:val="fr-FR"/>
        </w:rPr>
        <w:t>ISO 5725:1994 (Exactitude (justesse et fidélité) des résultats et méthodes de mesure − Parties 1 à 6).</w:t>
      </w:r>
    </w:p>
    <w:p w14:paraId="7B00B624" w14:textId="77777777" w:rsidR="00133378" w:rsidRPr="00E158BD" w:rsidRDefault="00133378" w:rsidP="008A78CB">
      <w:pPr>
        <w:pStyle w:val="SingleTxtG"/>
        <w:spacing w:before="0" w:line="240" w:lineRule="atLeast"/>
        <w:ind w:left="1701" w:hanging="567"/>
        <w:rPr>
          <w:bCs/>
        </w:rPr>
      </w:pPr>
      <w:r w:rsidRPr="00882152">
        <w:rPr>
          <w:bCs/>
          <w:sz w:val="18"/>
          <w:szCs w:val="18"/>
          <w:vertAlign w:val="superscript"/>
        </w:rPr>
        <w:t>3</w:t>
      </w:r>
      <w:r w:rsidRPr="00E158BD">
        <w:rPr>
          <w:bCs/>
          <w:vertAlign w:val="superscript"/>
        </w:rPr>
        <w:tab/>
      </w:r>
      <w:r>
        <w:rPr>
          <w:lang w:val="fr-FR"/>
        </w:rPr>
        <w:t xml:space="preserve">Guide 98-3:2008 de l’ISO et de la CEI (Incertitude de mesure − Partie 3 : Guide pour l’expression de l’incertitude de mesure (GUM:1995)). </w:t>
      </w:r>
    </w:p>
    <w:p w14:paraId="655888F9" w14:textId="77777777" w:rsidR="00133378" w:rsidRPr="00590B7E" w:rsidRDefault="00133378" w:rsidP="008A78CB">
      <w:pPr>
        <w:pStyle w:val="SingleTxtG"/>
        <w:spacing w:before="0" w:line="240" w:lineRule="atLeast"/>
        <w:ind w:left="1701" w:hanging="567"/>
        <w:rPr>
          <w:bCs/>
          <w:lang w:val="en-US"/>
        </w:rPr>
      </w:pPr>
      <w:r w:rsidRPr="00882152">
        <w:rPr>
          <w:bCs/>
          <w:sz w:val="18"/>
          <w:szCs w:val="18"/>
          <w:vertAlign w:val="superscript"/>
          <w:lang w:val="en-US"/>
        </w:rPr>
        <w:t>4</w:t>
      </w:r>
      <w:r w:rsidRPr="00590B7E">
        <w:rPr>
          <w:bCs/>
          <w:vertAlign w:val="superscript"/>
          <w:lang w:val="en-US"/>
        </w:rPr>
        <w:tab/>
      </w:r>
      <w:r w:rsidRPr="00590B7E">
        <w:rPr>
          <w:lang w:val="en-US"/>
        </w:rPr>
        <w:t xml:space="preserve">Document </w:t>
      </w:r>
      <w:proofErr w:type="spellStart"/>
      <w:r w:rsidRPr="00590B7E">
        <w:rPr>
          <w:lang w:val="en-US"/>
        </w:rPr>
        <w:t>informel</w:t>
      </w:r>
      <w:proofErr w:type="spellEnd"/>
      <w:r w:rsidRPr="00590B7E">
        <w:rPr>
          <w:lang w:val="en-US"/>
        </w:rPr>
        <w:t xml:space="preserve"> TFMU-02-04 (</w:t>
      </w:r>
      <w:r w:rsidRPr="008A349E">
        <w:rPr>
          <w:lang w:val="en-US"/>
        </w:rPr>
        <w:t>«</w:t>
      </w:r>
      <w:r>
        <w:rPr>
          <w:lang w:val="en-US"/>
        </w:rPr>
        <w:t> </w:t>
      </w:r>
      <w:r w:rsidRPr="00590B7E">
        <w:rPr>
          <w:lang w:val="en-US"/>
        </w:rPr>
        <w:t>How to handle measurement uncertainties</w:t>
      </w:r>
      <w:r>
        <w:rPr>
          <w:lang w:val="en-US"/>
        </w:rPr>
        <w:t> </w:t>
      </w:r>
      <w:r w:rsidRPr="008A349E">
        <w:rPr>
          <w:lang w:val="en-US"/>
        </w:rPr>
        <w:t>»</w:t>
      </w:r>
      <w:r w:rsidRPr="00590B7E">
        <w:rPr>
          <w:lang w:val="en-US"/>
        </w:rPr>
        <w:t xml:space="preserve">), </w:t>
      </w:r>
      <w:proofErr w:type="spellStart"/>
      <w:r w:rsidRPr="00590B7E">
        <w:rPr>
          <w:lang w:val="en-US"/>
        </w:rPr>
        <w:t>novembre</w:t>
      </w:r>
      <w:proofErr w:type="spellEnd"/>
      <w:r w:rsidRPr="00590B7E">
        <w:rPr>
          <w:lang w:val="en-US"/>
        </w:rPr>
        <w:t xml:space="preserve"> 2019.  </w:t>
      </w:r>
    </w:p>
    <w:p w14:paraId="108BA914" w14:textId="77777777" w:rsidR="00133378" w:rsidRPr="00E158BD" w:rsidRDefault="00133378" w:rsidP="008A78CB">
      <w:pPr>
        <w:pStyle w:val="SingleTxtG"/>
        <w:spacing w:before="0" w:line="240" w:lineRule="atLeast"/>
        <w:ind w:left="1701" w:hanging="567"/>
        <w:rPr>
          <w:bCs/>
        </w:rPr>
      </w:pPr>
      <w:r w:rsidRPr="00882152">
        <w:rPr>
          <w:bCs/>
          <w:sz w:val="18"/>
          <w:szCs w:val="18"/>
          <w:vertAlign w:val="superscript"/>
        </w:rPr>
        <w:t>5</w:t>
      </w:r>
      <w:r w:rsidRPr="00E158BD">
        <w:rPr>
          <w:bCs/>
          <w:vertAlign w:val="superscript"/>
        </w:rPr>
        <w:tab/>
      </w:r>
      <w:r>
        <w:rPr>
          <w:lang w:val="fr-FR"/>
        </w:rPr>
        <w:t xml:space="preserve">ISO 5130:2019 (Acoustique − Mesurage de la pression acoustique émise par les véhicules à l’arrêt). </w:t>
      </w:r>
    </w:p>
    <w:p w14:paraId="58E217F7" w14:textId="77777777" w:rsidR="00133378" w:rsidRPr="00590B7E" w:rsidRDefault="00133378" w:rsidP="008A78CB">
      <w:pPr>
        <w:pStyle w:val="SingleTxtG"/>
        <w:spacing w:before="0" w:line="240" w:lineRule="atLeast"/>
        <w:ind w:left="1701" w:hanging="567"/>
        <w:rPr>
          <w:bCs/>
          <w:lang w:val="en-US"/>
        </w:rPr>
      </w:pPr>
      <w:r w:rsidRPr="00882152">
        <w:rPr>
          <w:bCs/>
          <w:sz w:val="18"/>
          <w:szCs w:val="18"/>
          <w:vertAlign w:val="superscript"/>
          <w:lang w:val="en-US"/>
        </w:rPr>
        <w:t>6</w:t>
      </w:r>
      <w:r w:rsidRPr="00590B7E">
        <w:rPr>
          <w:bCs/>
          <w:vertAlign w:val="superscript"/>
          <w:lang w:val="en-US"/>
        </w:rPr>
        <w:tab/>
      </w:r>
      <w:r w:rsidRPr="00590B7E">
        <w:rPr>
          <w:lang w:val="en-US"/>
        </w:rPr>
        <w:t xml:space="preserve">Document </w:t>
      </w:r>
      <w:proofErr w:type="spellStart"/>
      <w:r w:rsidRPr="00590B7E">
        <w:rPr>
          <w:lang w:val="en-US"/>
        </w:rPr>
        <w:t>informel</w:t>
      </w:r>
      <w:proofErr w:type="spellEnd"/>
      <w:r w:rsidRPr="00590B7E">
        <w:rPr>
          <w:lang w:val="en-US"/>
        </w:rPr>
        <w:t xml:space="preserve"> TFMU-01-05 (</w:t>
      </w:r>
      <w:r w:rsidRPr="008A349E">
        <w:rPr>
          <w:lang w:val="en-US"/>
        </w:rPr>
        <w:t>«</w:t>
      </w:r>
      <w:r>
        <w:rPr>
          <w:lang w:val="en-US"/>
        </w:rPr>
        <w:t> </w:t>
      </w:r>
      <w:r w:rsidRPr="00590B7E">
        <w:rPr>
          <w:lang w:val="en-US"/>
        </w:rPr>
        <w:t>Experimental approach for evaluating uncertainties associated to stationary vehicle noise according to ISO 5725</w:t>
      </w:r>
      <w:r>
        <w:rPr>
          <w:lang w:val="en-US"/>
        </w:rPr>
        <w:t> </w:t>
      </w:r>
      <w:r w:rsidRPr="008A349E">
        <w:rPr>
          <w:lang w:val="en-US"/>
        </w:rPr>
        <w:t>»</w:t>
      </w:r>
      <w:r w:rsidRPr="00590B7E">
        <w:rPr>
          <w:lang w:val="en-US"/>
        </w:rPr>
        <w:t xml:space="preserve">), </w:t>
      </w:r>
      <w:proofErr w:type="spellStart"/>
      <w:r w:rsidRPr="00590B7E">
        <w:rPr>
          <w:lang w:val="en-US"/>
        </w:rPr>
        <w:t>mai</w:t>
      </w:r>
      <w:proofErr w:type="spellEnd"/>
      <w:r w:rsidRPr="00590B7E">
        <w:rPr>
          <w:lang w:val="en-US"/>
        </w:rPr>
        <w:t xml:space="preserve"> 2019. </w:t>
      </w:r>
    </w:p>
    <w:p w14:paraId="0CF03C1A" w14:textId="5749D930" w:rsidR="00F9573C" w:rsidRDefault="00133378" w:rsidP="008A78CB">
      <w:pPr>
        <w:pStyle w:val="SingleTxtG"/>
        <w:spacing w:before="0" w:line="240" w:lineRule="atLeast"/>
        <w:ind w:left="1701" w:hanging="567"/>
        <w:rPr>
          <w:lang w:val="fr-FR"/>
        </w:rPr>
      </w:pPr>
      <w:r w:rsidRPr="00882152">
        <w:rPr>
          <w:bCs/>
          <w:sz w:val="18"/>
          <w:szCs w:val="18"/>
          <w:vertAlign w:val="superscript"/>
        </w:rPr>
        <w:t>7</w:t>
      </w:r>
      <w:r w:rsidRPr="0002123E">
        <w:rPr>
          <w:bCs/>
          <w:vertAlign w:val="superscript"/>
        </w:rPr>
        <w:tab/>
      </w:r>
      <w:r>
        <w:rPr>
          <w:lang w:val="fr-FR"/>
        </w:rPr>
        <w:t>Document informel IWGMU-17.02 (</w:t>
      </w:r>
      <w:r>
        <w:t>« </w:t>
      </w:r>
      <w:r w:rsidRPr="00C739DA">
        <w:rPr>
          <w:bCs/>
          <w:lang w:val="en-GB"/>
        </w:rPr>
        <w:t>MU table according to IWGMU-06-02. ISO</w:t>
      </w:r>
      <w:r>
        <w:rPr>
          <w:lang w:val="fr-FR"/>
        </w:rPr>
        <w:t> </w:t>
      </w:r>
      <w:r>
        <w:t>»</w:t>
      </w:r>
      <w:r>
        <w:rPr>
          <w:lang w:val="fr-FR"/>
        </w:rPr>
        <w:t>), mars 2022.</w:t>
      </w:r>
    </w:p>
    <w:p w14:paraId="471DF28F" w14:textId="0DF3FCF2" w:rsidR="00133378" w:rsidRPr="00133378" w:rsidRDefault="00133378" w:rsidP="008A78CB">
      <w:pPr>
        <w:pStyle w:val="SingleTxtG"/>
        <w:suppressAutoHyphens/>
        <w:spacing w:before="0" w:after="0" w:line="240" w:lineRule="atLeast"/>
        <w:jc w:val="center"/>
        <w:rPr>
          <w:u w:val="single"/>
        </w:rPr>
      </w:pPr>
      <w:r>
        <w:rPr>
          <w:u w:val="single"/>
        </w:rPr>
        <w:tab/>
      </w:r>
      <w:r>
        <w:rPr>
          <w:u w:val="single"/>
        </w:rPr>
        <w:tab/>
      </w:r>
      <w:r>
        <w:rPr>
          <w:u w:val="single"/>
        </w:rPr>
        <w:tab/>
      </w:r>
      <w:r>
        <w:rPr>
          <w:u w:val="single"/>
        </w:rPr>
        <w:tab/>
      </w:r>
    </w:p>
    <w:sectPr w:rsidR="00133378" w:rsidRPr="00133378" w:rsidSect="00CC4783">
      <w:headerReference w:type="even" r:id="rId14"/>
      <w:headerReference w:type="default" r:id="rId15"/>
      <w:footerReference w:type="even" r:id="rId16"/>
      <w:footerReference w:type="default" r:id="rId17"/>
      <w:footerReference w:type="first" r:id="rId1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9E7F" w14:textId="77777777" w:rsidR="00781F1E" w:rsidRDefault="00781F1E" w:rsidP="00F95C08"/>
  </w:endnote>
  <w:endnote w:type="continuationSeparator" w:id="0">
    <w:p w14:paraId="26E53F0F" w14:textId="77777777" w:rsidR="00781F1E" w:rsidRPr="00AC3823" w:rsidRDefault="00781F1E" w:rsidP="00AC3823">
      <w:pPr>
        <w:pStyle w:val="Pieddepage"/>
      </w:pPr>
    </w:p>
  </w:endnote>
  <w:endnote w:type="continuationNotice" w:id="1">
    <w:p w14:paraId="77E27384" w14:textId="77777777" w:rsidR="00781F1E" w:rsidRDefault="0078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7EAB" w14:textId="27AEF6D8" w:rsidR="00CC4783" w:rsidRPr="00CC4783" w:rsidRDefault="00CC4783" w:rsidP="00CC4783">
    <w:pPr>
      <w:pStyle w:val="Pieddepage"/>
      <w:tabs>
        <w:tab w:val="right" w:pos="9638"/>
      </w:tabs>
    </w:pPr>
    <w:r w:rsidRPr="00CC4783">
      <w:rPr>
        <w:b/>
        <w:sz w:val="18"/>
      </w:rPr>
      <w:fldChar w:fldCharType="begin"/>
    </w:r>
    <w:r w:rsidRPr="00CC4783">
      <w:rPr>
        <w:b/>
        <w:sz w:val="18"/>
      </w:rPr>
      <w:instrText xml:space="preserve"> PAGE  \* MERGEFORMAT </w:instrText>
    </w:r>
    <w:r w:rsidRPr="00CC4783">
      <w:rPr>
        <w:b/>
        <w:sz w:val="18"/>
      </w:rPr>
      <w:fldChar w:fldCharType="separate"/>
    </w:r>
    <w:r w:rsidRPr="00CC4783">
      <w:rPr>
        <w:b/>
        <w:noProof/>
        <w:sz w:val="18"/>
      </w:rPr>
      <w:t>2</w:t>
    </w:r>
    <w:r w:rsidRPr="00CC4783">
      <w:rPr>
        <w:b/>
        <w:sz w:val="18"/>
      </w:rPr>
      <w:fldChar w:fldCharType="end"/>
    </w:r>
    <w:r>
      <w:rPr>
        <w:b/>
        <w:sz w:val="18"/>
      </w:rPr>
      <w:tab/>
    </w:r>
    <w:r>
      <w:t>GE.22-09938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FFE" w14:textId="493009F9" w:rsidR="00CC4783" w:rsidRPr="00CC4783" w:rsidRDefault="00CC4783" w:rsidP="00CC4783">
    <w:pPr>
      <w:pStyle w:val="Pieddepage"/>
      <w:tabs>
        <w:tab w:val="right" w:pos="9638"/>
      </w:tabs>
      <w:rPr>
        <w:b/>
        <w:sz w:val="18"/>
      </w:rPr>
    </w:pPr>
    <w:r>
      <w:t>GE.22-09938</w:t>
    </w:r>
    <w:r>
      <w:tab/>
    </w:r>
    <w:r w:rsidRPr="00CC4783">
      <w:rPr>
        <w:b/>
        <w:sz w:val="18"/>
      </w:rPr>
      <w:fldChar w:fldCharType="begin"/>
    </w:r>
    <w:r w:rsidRPr="00CC4783">
      <w:rPr>
        <w:b/>
        <w:sz w:val="18"/>
      </w:rPr>
      <w:instrText xml:space="preserve"> PAGE  \* MERGEFORMAT </w:instrText>
    </w:r>
    <w:r w:rsidRPr="00CC4783">
      <w:rPr>
        <w:b/>
        <w:sz w:val="18"/>
      </w:rPr>
      <w:fldChar w:fldCharType="separate"/>
    </w:r>
    <w:r w:rsidRPr="00CC4783">
      <w:rPr>
        <w:b/>
        <w:noProof/>
        <w:sz w:val="18"/>
      </w:rPr>
      <w:t>3</w:t>
    </w:r>
    <w:r w:rsidRPr="00CC47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7ABD" w14:textId="5D244461" w:rsidR="007F20FA" w:rsidRPr="00CC4783" w:rsidRDefault="00CC4783" w:rsidP="00CC4783">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B7C1CFB" wp14:editId="7553C69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22-09938  (F)</w:t>
    </w:r>
    <w:r>
      <w:rPr>
        <w:noProof/>
        <w:sz w:val="20"/>
      </w:rPr>
      <w:drawing>
        <wp:anchor distT="0" distB="0" distL="114300" distR="114300" simplePos="0" relativeHeight="251660288" behindDoc="0" locked="0" layoutInCell="1" allowOverlap="1" wp14:anchorId="472F4E05" wp14:editId="762F2CE9">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211022    211022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FB7A" w14:textId="77777777" w:rsidR="00781F1E" w:rsidRPr="00AC3823" w:rsidRDefault="00781F1E" w:rsidP="00AC3823">
      <w:pPr>
        <w:pStyle w:val="Pieddepage"/>
        <w:tabs>
          <w:tab w:val="right" w:pos="2155"/>
        </w:tabs>
        <w:spacing w:after="80" w:line="240" w:lineRule="atLeast"/>
        <w:ind w:left="680"/>
        <w:rPr>
          <w:u w:val="single"/>
        </w:rPr>
      </w:pPr>
      <w:r>
        <w:rPr>
          <w:u w:val="single"/>
        </w:rPr>
        <w:tab/>
      </w:r>
    </w:p>
  </w:footnote>
  <w:footnote w:type="continuationSeparator" w:id="0">
    <w:p w14:paraId="4E1C8AF0" w14:textId="77777777" w:rsidR="00781F1E" w:rsidRPr="00AC3823" w:rsidRDefault="00781F1E" w:rsidP="00AC3823">
      <w:pPr>
        <w:pStyle w:val="Pieddepage"/>
        <w:tabs>
          <w:tab w:val="right" w:pos="2155"/>
        </w:tabs>
        <w:spacing w:after="80" w:line="240" w:lineRule="atLeast"/>
        <w:ind w:left="680"/>
        <w:rPr>
          <w:u w:val="single"/>
        </w:rPr>
      </w:pPr>
      <w:r>
        <w:rPr>
          <w:u w:val="single"/>
        </w:rPr>
        <w:tab/>
      </w:r>
    </w:p>
  </w:footnote>
  <w:footnote w:type="continuationNotice" w:id="1">
    <w:p w14:paraId="17C0DDB7" w14:textId="77777777" w:rsidR="00781F1E" w:rsidRPr="00AC3823" w:rsidRDefault="00781F1E">
      <w:pPr>
        <w:rPr>
          <w:sz w:val="2"/>
          <w:szCs w:val="2"/>
        </w:rPr>
      </w:pPr>
    </w:p>
  </w:footnote>
  <w:footnote w:id="2">
    <w:p w14:paraId="183CD61D" w14:textId="77777777" w:rsidR="00133378" w:rsidRPr="00590B7E" w:rsidRDefault="00133378" w:rsidP="00133378">
      <w:pPr>
        <w:pStyle w:val="Notedebasdepage"/>
        <w:rPr>
          <w:lang w:val="fr-FR"/>
        </w:rPr>
      </w:pPr>
      <w:r>
        <w:rPr>
          <w:lang w:val="fr-FR"/>
        </w:rPr>
        <w:tab/>
      </w:r>
      <w:r w:rsidRPr="005F50BD">
        <w:rPr>
          <w:sz w:val="20"/>
          <w:lang w:val="fr-FR"/>
        </w:rPr>
        <w:t>*</w:t>
      </w:r>
      <w:r>
        <w:rPr>
          <w:lang w:val="fr-FR"/>
        </w:rPr>
        <w:tab/>
        <w:t xml:space="preserve">Conformément au programme de travail du Comité des transports intérieurs pour 2022 tel qu’il figure dans le projet de budget-programme pour 2022 (A/76/6 (Sect. 20), par. 20.76), le Forum mondial a pour mission d’élaborer, d’harmoniser et de mettre à jour les Règlements ONU en vue d’améliorer les caractéristiques fonctionnelles des véhicules. Le présent document est soumis en vertu de ce mandat. </w:t>
      </w:r>
    </w:p>
  </w:footnote>
  <w:footnote w:id="3">
    <w:p w14:paraId="70EEC537" w14:textId="7E3CD5B3" w:rsidR="00133378" w:rsidRPr="00030A4D" w:rsidRDefault="00133378" w:rsidP="00133378">
      <w:pPr>
        <w:pStyle w:val="Notedebasdepage"/>
      </w:pPr>
      <w:r>
        <w:rPr>
          <w:lang w:val="fr-FR"/>
        </w:rPr>
        <w:tab/>
      </w:r>
      <w:r w:rsidRPr="00E35A50">
        <w:rPr>
          <w:sz w:val="20"/>
          <w:lang w:val="fr-FR"/>
        </w:rPr>
        <w:t>**</w:t>
      </w:r>
      <w:r>
        <w:rPr>
          <w:lang w:val="fr-FR"/>
        </w:rPr>
        <w:t xml:space="preserve"> </w:t>
      </w:r>
      <w:r>
        <w:rPr>
          <w:lang w:val="fr-FR"/>
        </w:rPr>
        <w:tab/>
        <w:t xml:space="preserve">On retrouve dans le tableau 7.1 les mêmes désignations et acronymes que dans la série 03 d’amendements au Règlement ONU </w:t>
      </w:r>
      <w:r w:rsidR="00D05B9D" w:rsidRPr="00D05B9D">
        <w:rPr>
          <w:rFonts w:eastAsia="MS Mincho"/>
          <w:lang w:val="fr-FR"/>
        </w:rPr>
        <w:t>n</w:t>
      </w:r>
      <w:r w:rsidR="00D05B9D" w:rsidRPr="00D05B9D">
        <w:rPr>
          <w:rFonts w:eastAsia="MS Mincho"/>
          <w:vertAlign w:val="superscript"/>
          <w:lang w:val="fr-FR"/>
        </w:rPr>
        <w:t>o</w:t>
      </w:r>
      <w:r w:rsidR="00D05B9D">
        <w:rPr>
          <w:lang w:val="fr-FR"/>
        </w:rPr>
        <w:t> </w:t>
      </w:r>
      <w:r>
        <w:rPr>
          <w:lang w:val="fr-FR"/>
        </w:rPr>
        <w:t xml:space="preserve">51.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C9B0" w14:textId="1C82D83A" w:rsidR="00CC4783" w:rsidRPr="00CC4783" w:rsidRDefault="00CC4783">
    <w:pPr>
      <w:pStyle w:val="En-tte"/>
    </w:pPr>
    <w:fldSimple w:instr=" TITLE  \* MERGEFORMAT ">
      <w:r>
        <w:t>ECE/TRANS/WP.29/GRBP/2022/9/Rev.1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00D2" w14:textId="5F6E7CE1" w:rsidR="00CC4783" w:rsidRPr="00CC4783" w:rsidRDefault="00CC4783" w:rsidP="00CC4783">
    <w:pPr>
      <w:pStyle w:val="En-tte"/>
      <w:jc w:val="right"/>
    </w:pPr>
    <w:fldSimple w:instr=" TITLE  \* MERGEFORMAT ">
      <w:r>
        <w:t>ECE/TRANS/WP.29/GRBP/2022/9/Rev.1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53599"/>
    <w:multiLevelType w:val="hybridMultilevel"/>
    <w:tmpl w:val="AF643DEE"/>
    <w:lvl w:ilvl="0" w:tplc="5C76A4C6">
      <w:start w:val="1"/>
      <w:numFmt w:val="decimal"/>
      <w:lvlText w:val="%1"/>
      <w:lvlJc w:val="left"/>
      <w:pPr>
        <w:ind w:left="5256"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7E1FD4"/>
    <w:multiLevelType w:val="multilevel"/>
    <w:tmpl w:val="23827BC8"/>
    <w:lvl w:ilvl="0">
      <w:start w:val="1"/>
      <w:numFmt w:val="lowerLetter"/>
      <w:lvlText w:val="(%1)"/>
      <w:lvlJc w:val="left"/>
      <w:pPr>
        <w:ind w:left="2988" w:hanging="360"/>
      </w:pPr>
    </w:lvl>
    <w:lvl w:ilvl="1">
      <w:start w:val="1"/>
      <w:numFmt w:val="lowerLetter"/>
      <w:lvlText w:val="(%2)"/>
      <w:lvlJc w:val="left"/>
      <w:pPr>
        <w:ind w:left="3708" w:hanging="360"/>
      </w:p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3" w15:restartNumberingAfterBreak="0">
    <w:nsid w:val="1D0F75FF"/>
    <w:multiLevelType w:val="multilevel"/>
    <w:tmpl w:val="23827BC8"/>
    <w:lvl w:ilvl="0">
      <w:start w:val="1"/>
      <w:numFmt w:val="lowerLetter"/>
      <w:lvlText w:val="(%1)"/>
      <w:lvlJc w:val="left"/>
      <w:pPr>
        <w:ind w:left="2988" w:hanging="360"/>
      </w:pPr>
    </w:lvl>
    <w:lvl w:ilvl="1">
      <w:start w:val="1"/>
      <w:numFmt w:val="lowerLetter"/>
      <w:lvlText w:val="(%2)"/>
      <w:lvlJc w:val="left"/>
      <w:pPr>
        <w:ind w:left="3708" w:hanging="360"/>
      </w:p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4" w15:restartNumberingAfterBreak="0">
    <w:nsid w:val="1F360510"/>
    <w:multiLevelType w:val="multilevel"/>
    <w:tmpl w:val="CF10238A"/>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15" w15:restartNumberingAfterBreak="0">
    <w:nsid w:val="2952630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1AD2"/>
    <w:multiLevelType w:val="multilevel"/>
    <w:tmpl w:val="399EF1A0"/>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1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4DD06DF0"/>
    <w:multiLevelType w:val="multilevel"/>
    <w:tmpl w:val="3B0828B0"/>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19" w15:restartNumberingAfterBreak="0">
    <w:nsid w:val="53256BA0"/>
    <w:multiLevelType w:val="multilevel"/>
    <w:tmpl w:val="D8223A7A"/>
    <w:lvl w:ilvl="0">
      <w:start w:val="1"/>
      <w:numFmt w:val="lowerLetter"/>
      <w:lvlText w:val="(%1)"/>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20" w15:restartNumberingAfterBreak="0">
    <w:nsid w:val="5A675A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854E22"/>
    <w:multiLevelType w:val="multilevel"/>
    <w:tmpl w:val="CF625A18"/>
    <w:lvl w:ilvl="0">
      <w:start w:val="1"/>
      <w:numFmt w:val="decimal"/>
      <w:lvlText w:val="Partie %1 :"/>
      <w:lvlJc w:val="left"/>
      <w:pPr>
        <w:ind w:left="2988" w:hanging="360"/>
      </w:pPr>
      <w:rPr>
        <w:rFonts w:hint="default"/>
      </w:rPr>
    </w:lvl>
    <w:lvl w:ilvl="1">
      <w:start w:val="1"/>
      <w:numFmt w:val="lowerLetter"/>
      <w:lvlText w:val="(%2)"/>
      <w:lvlJc w:val="left"/>
      <w:pPr>
        <w:ind w:left="3708" w:hanging="360"/>
      </w:pPr>
      <w:rPr>
        <w:rFonts w:hint="default"/>
      </w:r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22" w15:restartNumberingAfterBreak="0">
    <w:nsid w:val="6457296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6A742CC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8224EC"/>
    <w:multiLevelType w:val="hybridMultilevel"/>
    <w:tmpl w:val="78F4AA7C"/>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abstractNumId w:val="23"/>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7"/>
  </w:num>
  <w:num w:numId="16">
    <w:abstractNumId w:val="11"/>
  </w:num>
  <w:num w:numId="17">
    <w:abstractNumId w:val="12"/>
  </w:num>
  <w:num w:numId="18">
    <w:abstractNumId w:val="24"/>
  </w:num>
  <w:num w:numId="19">
    <w:abstractNumId w:val="20"/>
  </w:num>
  <w:num w:numId="20">
    <w:abstractNumId w:val="22"/>
  </w:num>
  <w:num w:numId="21">
    <w:abstractNumId w:val="19"/>
  </w:num>
  <w:num w:numId="22">
    <w:abstractNumId w:val="15"/>
  </w:num>
  <w:num w:numId="23">
    <w:abstractNumId w:val="13"/>
  </w:num>
  <w:num w:numId="24">
    <w:abstractNumId w:val="14"/>
  </w:num>
  <w:num w:numId="25">
    <w:abstractNumId w:val="16"/>
  </w:num>
  <w:num w:numId="26">
    <w:abstractNumId w:val="18"/>
  </w:num>
  <w:num w:numId="27">
    <w:abstractNumId w:val="2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1E"/>
    <w:rsid w:val="00017F94"/>
    <w:rsid w:val="00023842"/>
    <w:rsid w:val="000334F9"/>
    <w:rsid w:val="00045FEB"/>
    <w:rsid w:val="00075724"/>
    <w:rsid w:val="0007796D"/>
    <w:rsid w:val="000B7790"/>
    <w:rsid w:val="000E3EA7"/>
    <w:rsid w:val="00111F2F"/>
    <w:rsid w:val="00127642"/>
    <w:rsid w:val="00133378"/>
    <w:rsid w:val="0014365E"/>
    <w:rsid w:val="00143C66"/>
    <w:rsid w:val="0017146C"/>
    <w:rsid w:val="00176178"/>
    <w:rsid w:val="00194F8D"/>
    <w:rsid w:val="001B3174"/>
    <w:rsid w:val="001C7626"/>
    <w:rsid w:val="001E543D"/>
    <w:rsid w:val="001F525A"/>
    <w:rsid w:val="001F716D"/>
    <w:rsid w:val="00201148"/>
    <w:rsid w:val="00223272"/>
    <w:rsid w:val="0024779E"/>
    <w:rsid w:val="00257168"/>
    <w:rsid w:val="00267764"/>
    <w:rsid w:val="002744B8"/>
    <w:rsid w:val="002832AC"/>
    <w:rsid w:val="002D7C93"/>
    <w:rsid w:val="00305801"/>
    <w:rsid w:val="00305868"/>
    <w:rsid w:val="003916DE"/>
    <w:rsid w:val="003D6013"/>
    <w:rsid w:val="00407ADC"/>
    <w:rsid w:val="00421996"/>
    <w:rsid w:val="00436A4F"/>
    <w:rsid w:val="00441C3B"/>
    <w:rsid w:val="00446FE5"/>
    <w:rsid w:val="00452396"/>
    <w:rsid w:val="00452EC2"/>
    <w:rsid w:val="00452EDD"/>
    <w:rsid w:val="00477EB2"/>
    <w:rsid w:val="004837D8"/>
    <w:rsid w:val="004E2EED"/>
    <w:rsid w:val="004E468C"/>
    <w:rsid w:val="004E5254"/>
    <w:rsid w:val="00514956"/>
    <w:rsid w:val="00534AD3"/>
    <w:rsid w:val="005505B7"/>
    <w:rsid w:val="0055631C"/>
    <w:rsid w:val="00573BE5"/>
    <w:rsid w:val="00586ED3"/>
    <w:rsid w:val="00596AA9"/>
    <w:rsid w:val="006A75F5"/>
    <w:rsid w:val="006C5089"/>
    <w:rsid w:val="006E6AAA"/>
    <w:rsid w:val="0071601D"/>
    <w:rsid w:val="007735D8"/>
    <w:rsid w:val="00781F1E"/>
    <w:rsid w:val="0079181A"/>
    <w:rsid w:val="007A62E6"/>
    <w:rsid w:val="007E2054"/>
    <w:rsid w:val="007F20FA"/>
    <w:rsid w:val="0080684C"/>
    <w:rsid w:val="00871C75"/>
    <w:rsid w:val="008776DC"/>
    <w:rsid w:val="00890FF0"/>
    <w:rsid w:val="008A78CB"/>
    <w:rsid w:val="008C31B6"/>
    <w:rsid w:val="008C429E"/>
    <w:rsid w:val="008D5EF9"/>
    <w:rsid w:val="009030B3"/>
    <w:rsid w:val="00924E41"/>
    <w:rsid w:val="009446C0"/>
    <w:rsid w:val="009705C8"/>
    <w:rsid w:val="009C1CF4"/>
    <w:rsid w:val="009D0677"/>
    <w:rsid w:val="009F6B74"/>
    <w:rsid w:val="00A07456"/>
    <w:rsid w:val="00A3029F"/>
    <w:rsid w:val="00A30353"/>
    <w:rsid w:val="00A738E5"/>
    <w:rsid w:val="00AC3823"/>
    <w:rsid w:val="00AE323C"/>
    <w:rsid w:val="00AF0CB5"/>
    <w:rsid w:val="00B00181"/>
    <w:rsid w:val="00B00B0D"/>
    <w:rsid w:val="00B04C36"/>
    <w:rsid w:val="00B056B8"/>
    <w:rsid w:val="00B275EF"/>
    <w:rsid w:val="00B45AB8"/>
    <w:rsid w:val="00B45F2E"/>
    <w:rsid w:val="00B765F7"/>
    <w:rsid w:val="00B77993"/>
    <w:rsid w:val="00BA0CA9"/>
    <w:rsid w:val="00C02897"/>
    <w:rsid w:val="00C3706A"/>
    <w:rsid w:val="00C97039"/>
    <w:rsid w:val="00C97A7B"/>
    <w:rsid w:val="00CC4783"/>
    <w:rsid w:val="00CE1B9A"/>
    <w:rsid w:val="00CE33CD"/>
    <w:rsid w:val="00CE55F1"/>
    <w:rsid w:val="00CF299A"/>
    <w:rsid w:val="00D05B9D"/>
    <w:rsid w:val="00D3439C"/>
    <w:rsid w:val="00D47163"/>
    <w:rsid w:val="00D5465B"/>
    <w:rsid w:val="00D57EEC"/>
    <w:rsid w:val="00D7622E"/>
    <w:rsid w:val="00DB1831"/>
    <w:rsid w:val="00DD3BFD"/>
    <w:rsid w:val="00DF6678"/>
    <w:rsid w:val="00E0299A"/>
    <w:rsid w:val="00E35A50"/>
    <w:rsid w:val="00E85C74"/>
    <w:rsid w:val="00EA6547"/>
    <w:rsid w:val="00ED7237"/>
    <w:rsid w:val="00EF2E22"/>
    <w:rsid w:val="00F14182"/>
    <w:rsid w:val="00F35BAF"/>
    <w:rsid w:val="00F40B78"/>
    <w:rsid w:val="00F660DF"/>
    <w:rsid w:val="00F94664"/>
    <w:rsid w:val="00F9573C"/>
    <w:rsid w:val="00F95C08"/>
    <w:rsid w:val="00FF03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32BA"/>
  <w15:docId w15:val="{54CE4FD1-CBC6-4D0E-8DA4-5C5432F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before="60" w:after="60"/>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1F716D"/>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133378"/>
    <w:rPr>
      <w:rFonts w:ascii="Times New Roman" w:eastAsiaTheme="minorHAnsi" w:hAnsi="Times New Roman" w:cs="Times New Roman"/>
      <w:sz w:val="20"/>
      <w:szCs w:val="20"/>
      <w:lang w:eastAsia="en-US"/>
    </w:rPr>
  </w:style>
  <w:style w:type="character" w:customStyle="1" w:styleId="HChGChar">
    <w:name w:val="_ H _Ch_G Char"/>
    <w:link w:val="HChG"/>
    <w:rsid w:val="00133378"/>
    <w:rPr>
      <w:rFonts w:ascii="Times New Roman" w:eastAsiaTheme="minorHAnsi" w:hAnsi="Times New Roman" w:cs="Times New Roman"/>
      <w:b/>
      <w:sz w:val="28"/>
      <w:szCs w:val="20"/>
      <w:lang w:eastAsia="en-US"/>
    </w:rPr>
  </w:style>
  <w:style w:type="character" w:customStyle="1" w:styleId="H1GChar">
    <w:name w:val="_ H_1_G Char"/>
    <w:link w:val="H1G"/>
    <w:rsid w:val="00133378"/>
    <w:rPr>
      <w:rFonts w:ascii="Times New Roman" w:eastAsiaTheme="minorHAnsi" w:hAnsi="Times New Roman" w:cs="Times New Roman"/>
      <w:b/>
      <w:sz w:val="24"/>
      <w:szCs w:val="20"/>
      <w:lang w:eastAsia="en-US"/>
    </w:rPr>
  </w:style>
  <w:style w:type="table" w:styleId="Effetsdetableau3D1">
    <w:name w:val="Table 3D effects 1"/>
    <w:basedOn w:val="TableauNormal"/>
    <w:rsid w:val="00133378"/>
    <w:pPr>
      <w:suppressAutoHyphens/>
      <w:spacing w:after="0" w:line="240" w:lineRule="atLeast"/>
    </w:pPr>
    <w:rPr>
      <w:rFonts w:ascii="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133378"/>
    <w:pPr>
      <w:suppressAutoHyphens/>
      <w:spacing w:after="0" w:line="240" w:lineRule="atLeast"/>
    </w:pPr>
    <w:rPr>
      <w:rFonts w:ascii="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133378"/>
    <w:pPr>
      <w:suppressAutoHyphens/>
      <w:spacing w:after="0" w:line="240" w:lineRule="atLeast"/>
    </w:pPr>
    <w:rPr>
      <w:rFonts w:ascii="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133378"/>
    <w:pPr>
      <w:suppressAutoHyphens/>
      <w:spacing w:after="0" w:line="240" w:lineRule="atLeast"/>
    </w:pPr>
    <w:rPr>
      <w:rFonts w:ascii="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133378"/>
    <w:pPr>
      <w:suppressAutoHyphens/>
      <w:spacing w:after="0" w:line="240" w:lineRule="atLeast"/>
    </w:pPr>
    <w:rPr>
      <w:rFonts w:ascii="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133378"/>
    <w:pPr>
      <w:suppressAutoHyphens/>
      <w:spacing w:after="0" w:line="240" w:lineRule="atLeast"/>
    </w:pPr>
    <w:rPr>
      <w:rFonts w:ascii="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133378"/>
    <w:pPr>
      <w:suppressAutoHyphens/>
      <w:spacing w:after="0" w:line="240" w:lineRule="atLeast"/>
    </w:pPr>
    <w:rPr>
      <w:rFonts w:ascii="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133378"/>
    <w:pPr>
      <w:suppressAutoHyphens/>
      <w:spacing w:after="0" w:line="240" w:lineRule="atLeast"/>
    </w:pPr>
    <w:rPr>
      <w:rFonts w:ascii="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133378"/>
    <w:pPr>
      <w:suppressAutoHyphens/>
      <w:spacing w:after="0" w:line="240" w:lineRule="atLeast"/>
    </w:pPr>
    <w:rPr>
      <w:rFonts w:ascii="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133378"/>
    <w:pPr>
      <w:suppressAutoHyphens/>
      <w:spacing w:after="0" w:line="240" w:lineRule="atLeast"/>
    </w:pPr>
    <w:rPr>
      <w:rFonts w:ascii="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133378"/>
    <w:pPr>
      <w:suppressAutoHyphens/>
      <w:spacing w:after="0" w:line="240" w:lineRule="atLeast"/>
    </w:pPr>
    <w:rPr>
      <w:rFonts w:ascii="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133378"/>
    <w:pPr>
      <w:suppressAutoHyphens/>
      <w:spacing w:after="0" w:line="240" w:lineRule="atLeast"/>
    </w:pPr>
    <w:rPr>
      <w:rFonts w:ascii="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133378"/>
    <w:pPr>
      <w:suppressAutoHyphens/>
      <w:spacing w:after="0" w:line="240" w:lineRule="atLeast"/>
    </w:pPr>
    <w:rPr>
      <w:rFonts w:ascii="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auNormal"/>
    <w:next w:val="Grilledutableau"/>
    <w:semiHidden/>
    <w:rsid w:val="00133378"/>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133378"/>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133378"/>
    <w:pPr>
      <w:suppressAutoHyphens/>
      <w:spacing w:after="0" w:line="240" w:lineRule="atLeast"/>
    </w:pPr>
    <w:rPr>
      <w:rFonts w:ascii="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133378"/>
    <w:pPr>
      <w:suppressAutoHyphens/>
      <w:spacing w:after="0" w:line="240" w:lineRule="atLeast"/>
    </w:pPr>
    <w:rPr>
      <w:rFonts w:ascii="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133378"/>
    <w:pPr>
      <w:suppressAutoHyphens/>
      <w:spacing w:after="0" w:line="240" w:lineRule="atLeast"/>
    </w:pPr>
    <w:rPr>
      <w:rFonts w:ascii="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133378"/>
    <w:pPr>
      <w:suppressAutoHyphens/>
      <w:spacing w:after="0" w:line="240" w:lineRule="atLeast"/>
    </w:pPr>
    <w:rPr>
      <w:rFonts w:ascii="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133378"/>
    <w:pPr>
      <w:suppressAutoHyphens/>
      <w:spacing w:after="0" w:line="240" w:lineRule="atLeast"/>
    </w:pPr>
    <w:rPr>
      <w:rFonts w:ascii="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133378"/>
    <w:pPr>
      <w:suppressAutoHyphens/>
      <w:spacing w:after="0" w:line="240" w:lineRule="atLeast"/>
    </w:pPr>
    <w:rPr>
      <w:rFonts w:ascii="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133378"/>
    <w:pPr>
      <w:suppressAutoHyphens/>
      <w:spacing w:after="0" w:line="240" w:lineRule="atLeast"/>
    </w:pPr>
    <w:rPr>
      <w:rFonts w:ascii="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133378"/>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133378"/>
    <w:pPr>
      <w:suppressAutoHyphens/>
      <w:spacing w:after="0" w:line="240" w:lineRule="atLeast"/>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133378"/>
    <w:pPr>
      <w:suppressAutoHyphens/>
      <w:spacing w:after="0" w:line="240" w:lineRule="atLeast"/>
    </w:pPr>
    <w:rPr>
      <w:rFonts w:ascii="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133378"/>
    <w:pPr>
      <w:suppressAutoHyphens/>
      <w:spacing w:after="0" w:line="240" w:lineRule="atLeast"/>
    </w:pPr>
    <w:rPr>
      <w:rFonts w:ascii="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133378"/>
    <w:pPr>
      <w:suppressAutoHyphens/>
      <w:spacing w:after="0" w:line="240" w:lineRule="atLeast"/>
    </w:pPr>
    <w:rPr>
      <w:rFonts w:ascii="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133378"/>
    <w:pPr>
      <w:suppressAutoHyphens/>
      <w:spacing w:after="0" w:line="240" w:lineRule="atLeast"/>
    </w:pPr>
    <w:rPr>
      <w:rFonts w:ascii="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133378"/>
    <w:pPr>
      <w:suppressAutoHyphens/>
      <w:spacing w:after="0" w:line="240" w:lineRule="atLeast"/>
    </w:pPr>
    <w:rPr>
      <w:rFonts w:ascii="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133378"/>
    <w:pPr>
      <w:suppressAutoHyphens/>
      <w:spacing w:after="0" w:line="240" w:lineRule="atLeast"/>
    </w:pPr>
    <w:rPr>
      <w:rFonts w:ascii="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133378"/>
    <w:pPr>
      <w:suppressAutoHyphens/>
      <w:spacing w:after="0" w:line="240" w:lineRule="atLeast"/>
    </w:pPr>
    <w:rPr>
      <w:rFonts w:ascii="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133378"/>
    <w:pPr>
      <w:suppressAutoHyphens/>
      <w:spacing w:after="0" w:line="240" w:lineRule="atLeast"/>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133378"/>
    <w:pPr>
      <w:suppressAutoHyphens/>
      <w:spacing w:after="0" w:line="240" w:lineRule="atLeast"/>
    </w:pPr>
    <w:rPr>
      <w:rFonts w:ascii="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133378"/>
    <w:pPr>
      <w:suppressAutoHyphens/>
      <w:spacing w:after="0" w:line="240" w:lineRule="atLeast"/>
    </w:pPr>
    <w:rPr>
      <w:rFonts w:ascii="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133378"/>
    <w:pPr>
      <w:suppressAutoHyphens/>
      <w:spacing w:after="0" w:line="240" w:lineRule="atLeast"/>
    </w:pPr>
    <w:rPr>
      <w:rFonts w:ascii="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23GChar">
    <w:name w:val="_ H_2/3_G Char"/>
    <w:link w:val="H23G"/>
    <w:rsid w:val="00133378"/>
    <w:rPr>
      <w:rFonts w:ascii="Times New Roman" w:eastAsiaTheme="minorHAnsi" w:hAnsi="Times New Roman" w:cs="Times New Roman"/>
      <w:b/>
      <w:sz w:val="20"/>
      <w:szCs w:val="20"/>
      <w:lang w:eastAsia="en-US"/>
    </w:rPr>
  </w:style>
  <w:style w:type="table" w:customStyle="1" w:styleId="Tabellenraster1">
    <w:name w:val="Tabellenraster1"/>
    <w:basedOn w:val="TableauNormal"/>
    <w:next w:val="Grilledutableau"/>
    <w:uiPriority w:val="39"/>
    <w:rsid w:val="00133378"/>
    <w:pPr>
      <w:spacing w:after="0"/>
    </w:pPr>
    <w:rPr>
      <w:rFonts w:eastAsiaTheme="minorHAnsi"/>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3378"/>
    <w:pPr>
      <w:spacing w:after="0"/>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15</Pages>
  <Words>3651</Words>
  <Characters>25564</Characters>
  <Application>Microsoft Office Word</Application>
  <DocSecurity>0</DocSecurity>
  <Lines>2130</Lines>
  <Paragraphs>1168</Paragraphs>
  <ScaleCrop>false</ScaleCrop>
  <HeadingPairs>
    <vt:vector size="2" baseType="variant">
      <vt:variant>
        <vt:lpstr>Titre</vt:lpstr>
      </vt:variant>
      <vt:variant>
        <vt:i4>1</vt:i4>
      </vt:variant>
    </vt:vector>
  </HeadingPairs>
  <TitlesOfParts>
    <vt:vector size="1" baseType="lpstr">
      <vt:lpstr>ECE/TRANS/WP.29/GRBP/2022/9/Rev.1</vt:lpstr>
    </vt:vector>
  </TitlesOfParts>
  <Company>DCM</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ECE/TRANS/WP.29/GRBP/2022/9/Rev.1</dc:title>
  <dc:subject/>
  <dc:creator>Nathalie VITTOZ</dc:creator>
  <cp:keywords/>
  <cp:lastModifiedBy>Nathalie Vittoz</cp:lastModifiedBy>
  <cp:revision>2</cp:revision>
  <cp:lastPrinted>2014-05-14T10:59:00Z</cp:lastPrinted>
  <dcterms:created xsi:type="dcterms:W3CDTF">2022-10-21T12:35:00Z</dcterms:created>
  <dcterms:modified xsi:type="dcterms:W3CDTF">2022-10-21T12:35:00Z</dcterms:modified>
</cp:coreProperties>
</file>