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974DF4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92E8DAB" w14:textId="77777777" w:rsidR="00F35BAF" w:rsidRPr="00DB58B5" w:rsidRDefault="00F35BAF" w:rsidP="00C970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9FDBFB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6B00320" w14:textId="1E7BE40E" w:rsidR="00F35BAF" w:rsidRPr="00DB58B5" w:rsidRDefault="002F3AF3" w:rsidP="002F3AF3">
            <w:pPr>
              <w:jc w:val="right"/>
            </w:pPr>
            <w:r w:rsidRPr="002F3AF3">
              <w:rPr>
                <w:sz w:val="40"/>
              </w:rPr>
              <w:t>ECE</w:t>
            </w:r>
            <w:r>
              <w:t>/TRANS/WP.29/GRSP/2022/23</w:t>
            </w:r>
          </w:p>
        </w:tc>
      </w:tr>
      <w:tr w:rsidR="00F35BAF" w:rsidRPr="00DB58B5" w14:paraId="4CFD3F6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3A796C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E961B42" wp14:editId="2FA06BD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4FB87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AE67E11" w14:textId="77777777" w:rsidR="00F35BAF" w:rsidRDefault="002F3AF3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3228480" w14:textId="77777777" w:rsidR="002F3AF3" w:rsidRDefault="002F3AF3" w:rsidP="002F3AF3">
            <w:pPr>
              <w:spacing w:line="240" w:lineRule="exact"/>
            </w:pPr>
            <w:r>
              <w:t>20 septembre 2022</w:t>
            </w:r>
          </w:p>
          <w:p w14:paraId="0FABB283" w14:textId="77777777" w:rsidR="002F3AF3" w:rsidRDefault="002F3AF3" w:rsidP="002F3AF3">
            <w:pPr>
              <w:spacing w:line="240" w:lineRule="exact"/>
            </w:pPr>
            <w:r>
              <w:t>Français</w:t>
            </w:r>
          </w:p>
          <w:p w14:paraId="20649037" w14:textId="23A19E73" w:rsidR="002F3AF3" w:rsidRPr="00DB58B5" w:rsidRDefault="002F3AF3" w:rsidP="002F3AF3">
            <w:pPr>
              <w:spacing w:line="240" w:lineRule="exact"/>
            </w:pPr>
            <w:r>
              <w:t>Original : anglais</w:t>
            </w:r>
          </w:p>
        </w:tc>
      </w:tr>
    </w:tbl>
    <w:p w14:paraId="2A775AA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FDE27B1" w14:textId="5C988399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BE9BD89" w14:textId="36409109" w:rsidR="002F3AF3" w:rsidRPr="00CE276E" w:rsidRDefault="002F3AF3" w:rsidP="002F3AF3">
      <w:pPr>
        <w:spacing w:before="120"/>
        <w:rPr>
          <w:rFonts w:asciiTheme="majorBidi" w:hAnsiTheme="majorBidi" w:cstheme="majorBidi"/>
          <w:b/>
          <w:sz w:val="32"/>
          <w:szCs w:val="32"/>
          <w:lang w:val="fr-FR"/>
        </w:rPr>
      </w:pPr>
      <w:r w:rsidRPr="00467A49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467A49">
        <w:rPr>
          <w:b/>
          <w:bCs/>
          <w:sz w:val="24"/>
          <w:szCs w:val="24"/>
          <w:lang w:val="fr-FR"/>
        </w:rPr>
        <w:t xml:space="preserve">harmonisation </w:t>
      </w:r>
      <w:r>
        <w:rPr>
          <w:b/>
          <w:bCs/>
          <w:sz w:val="24"/>
          <w:szCs w:val="24"/>
          <w:lang w:val="fr-FR"/>
        </w:rPr>
        <w:br/>
      </w:r>
      <w:r w:rsidRPr="00467A49">
        <w:rPr>
          <w:b/>
          <w:bCs/>
          <w:sz w:val="24"/>
          <w:szCs w:val="24"/>
          <w:lang w:val="fr-FR"/>
        </w:rPr>
        <w:t>des Règlements concernant les véhicules</w:t>
      </w:r>
    </w:p>
    <w:p w14:paraId="71190104" w14:textId="77777777" w:rsidR="002F3AF3" w:rsidRPr="00CE276E" w:rsidRDefault="002F3AF3" w:rsidP="002F3AF3">
      <w:pPr>
        <w:spacing w:before="120"/>
        <w:rPr>
          <w:rFonts w:asciiTheme="majorBidi" w:hAnsiTheme="majorBidi" w:cstheme="majorBidi"/>
          <w:b/>
          <w:lang w:val="fr-FR"/>
        </w:rPr>
      </w:pPr>
      <w:r>
        <w:rPr>
          <w:b/>
          <w:bCs/>
          <w:lang w:val="fr-FR"/>
        </w:rPr>
        <w:t>Groupe de travail de la sécurité passive</w:t>
      </w:r>
    </w:p>
    <w:p w14:paraId="6748E4E5" w14:textId="77777777" w:rsidR="002F3AF3" w:rsidRPr="00CE276E" w:rsidRDefault="002F3AF3" w:rsidP="002F3AF3">
      <w:pPr>
        <w:spacing w:before="120"/>
        <w:rPr>
          <w:rFonts w:asciiTheme="majorBidi" w:hAnsiTheme="majorBidi" w:cstheme="majorBidi"/>
          <w:b/>
          <w:lang w:val="fr-FR"/>
        </w:rPr>
      </w:pPr>
      <w:r>
        <w:rPr>
          <w:b/>
          <w:bCs/>
          <w:lang w:val="fr-FR"/>
        </w:rPr>
        <w:t>Soixante-douzième session</w:t>
      </w:r>
    </w:p>
    <w:p w14:paraId="72821B80" w14:textId="77777777" w:rsidR="002F3AF3" w:rsidRPr="00CE276E" w:rsidRDefault="002F3AF3" w:rsidP="002F3AF3">
      <w:pPr>
        <w:rPr>
          <w:rFonts w:asciiTheme="majorBidi" w:hAnsiTheme="majorBidi" w:cstheme="majorBidi"/>
          <w:lang w:val="fr-FR"/>
        </w:rPr>
      </w:pPr>
      <w:r>
        <w:rPr>
          <w:lang w:val="fr-FR"/>
        </w:rPr>
        <w:t>Genève, 5-9 décembre 2022</w:t>
      </w:r>
    </w:p>
    <w:p w14:paraId="0465F670" w14:textId="77777777" w:rsidR="002F3AF3" w:rsidRPr="00CE276E" w:rsidRDefault="002F3AF3" w:rsidP="002F3AF3">
      <w:pPr>
        <w:rPr>
          <w:rFonts w:asciiTheme="majorBidi" w:hAnsiTheme="majorBidi" w:cstheme="majorBidi"/>
          <w:lang w:val="fr-FR"/>
        </w:rPr>
      </w:pPr>
      <w:r>
        <w:rPr>
          <w:lang w:val="fr-FR"/>
        </w:rPr>
        <w:t>Point 17 de l’ordre du jour provisoire</w:t>
      </w:r>
    </w:p>
    <w:p w14:paraId="56ABE0C2" w14:textId="6CBF0E10" w:rsidR="002F3AF3" w:rsidRPr="00CE276E" w:rsidRDefault="002F3AF3" w:rsidP="002F3AF3">
      <w:pPr>
        <w:rPr>
          <w:lang w:val="fr-FR"/>
        </w:rPr>
      </w:pPr>
      <w:r>
        <w:rPr>
          <w:b/>
          <w:bCs/>
          <w:lang w:val="fr-FR"/>
        </w:rPr>
        <w:t xml:space="preserve">Amendements communs aux Règlements </w:t>
      </w:r>
      <w:r>
        <w:rPr>
          <w:b/>
          <w:bCs/>
          <w:lang w:val="fr-FR"/>
        </w:rPr>
        <w:t xml:space="preserve">ONU </w:t>
      </w:r>
      <w:r>
        <w:rPr>
          <w:b/>
          <w:bCs/>
          <w:lang w:val="fr-FR"/>
        </w:rPr>
        <w:t>n</w:t>
      </w:r>
      <w:r>
        <w:rPr>
          <w:b/>
          <w:bCs/>
          <w:vertAlign w:val="superscript"/>
          <w:lang w:val="fr-FR"/>
        </w:rPr>
        <w:t>os</w:t>
      </w:r>
      <w:r>
        <w:rPr>
          <w:b/>
          <w:bCs/>
          <w:lang w:val="fr-FR"/>
        </w:rPr>
        <w:t xml:space="preserve"> 94, 95, 135 et 137</w:t>
      </w:r>
    </w:p>
    <w:p w14:paraId="1ADA438D" w14:textId="7BF31DDD" w:rsidR="002F3AF3" w:rsidRPr="00CE276E" w:rsidRDefault="002F3AF3" w:rsidP="002F3AF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3 à la série 05 d’amendements </w:t>
      </w:r>
      <w:r>
        <w:rPr>
          <w:lang w:val="fr-FR"/>
        </w:rPr>
        <w:br/>
      </w:r>
      <w:r>
        <w:rPr>
          <w:lang w:val="fr-FR"/>
        </w:rPr>
        <w:t>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95 (Choc latéral)</w:t>
      </w:r>
    </w:p>
    <w:p w14:paraId="425E403B" w14:textId="77777777" w:rsidR="002F3AF3" w:rsidRPr="00CE276E" w:rsidRDefault="002F3AF3" w:rsidP="002F3AF3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l’expert de l’Allemagne</w:t>
      </w:r>
      <w:r w:rsidRPr="002F3AF3">
        <w:rPr>
          <w:b w:val="0"/>
          <w:bCs/>
          <w:sz w:val="20"/>
          <w:lang w:val="fr-FR"/>
        </w:rPr>
        <w:footnoteReference w:customMarkFollows="1" w:id="2"/>
        <w:t>*</w:t>
      </w:r>
    </w:p>
    <w:p w14:paraId="34D2E044" w14:textId="0755D6BD" w:rsidR="002F3AF3" w:rsidRPr="00CE276E" w:rsidRDefault="002F3AF3" w:rsidP="002F3AF3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 texte ci-après, établi par l’expert de l’Allemagne, est une proposition d’amendement visant à réintroduire un texte (autorisant des tolérances sur la masse du véhicule et des essais simplifiés) qui a été supprimé par la série 05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95 (ainsi que dans les Règlements ONU n</w:t>
      </w:r>
      <w:r>
        <w:rPr>
          <w:vertAlign w:val="superscript"/>
          <w:lang w:val="fr-FR"/>
        </w:rPr>
        <w:t>os</w:t>
      </w:r>
      <w:r>
        <w:rPr>
          <w:lang w:val="fr-FR"/>
        </w:rPr>
        <w:t xml:space="preserve"> 94 et 137), comme indiqué dans le document informel GRSP-71-25 distribué à la soixante et onzième session du Groupe de travail de la sécurité passive (GRSP) (ECE/TRANS/WP.29/GRSP/71, par.</w:t>
      </w:r>
      <w:r>
        <w:rPr>
          <w:lang w:val="fr-FR"/>
        </w:rPr>
        <w:t> </w:t>
      </w:r>
      <w:r>
        <w:rPr>
          <w:lang w:val="fr-FR"/>
        </w:rPr>
        <w:t>47). Les modifications qu’il est proposé d’apporter au texte actuel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94 figurent en caractères gras pour les ajouts et biffés pour les suppressions.</w:t>
      </w:r>
    </w:p>
    <w:p w14:paraId="245EC5A8" w14:textId="77777777" w:rsidR="002F3AF3" w:rsidRPr="00CE276E" w:rsidRDefault="002F3AF3" w:rsidP="002F3AF3">
      <w:pPr>
        <w:suppressAutoHyphens w:val="0"/>
        <w:spacing w:line="240" w:lineRule="auto"/>
        <w:rPr>
          <w:lang w:val="fr-FR"/>
        </w:rPr>
      </w:pPr>
      <w:r w:rsidRPr="00CE276E">
        <w:rPr>
          <w:lang w:val="fr-FR"/>
        </w:rPr>
        <w:br w:type="page"/>
      </w:r>
    </w:p>
    <w:p w14:paraId="62D183F0" w14:textId="77777777" w:rsidR="002F3AF3" w:rsidRPr="00CE276E" w:rsidRDefault="002F3AF3" w:rsidP="002F3AF3">
      <w:pPr>
        <w:pStyle w:val="HChG"/>
        <w:rPr>
          <w:sz w:val="40"/>
          <w:lang w:val="fr-FR"/>
        </w:rPr>
      </w:pPr>
      <w:r>
        <w:rPr>
          <w:lang w:val="fr-FR"/>
        </w:rPr>
        <w:lastRenderedPageBreak/>
        <w:tab/>
      </w:r>
      <w:r w:rsidRPr="00107850">
        <w:rPr>
          <w:lang w:val="fr-FR"/>
        </w:rPr>
        <w:t>I.</w:t>
      </w:r>
      <w:r w:rsidRPr="00107850">
        <w:rPr>
          <w:lang w:val="fr-FR"/>
        </w:rPr>
        <w:tab/>
        <w:t>Proposition</w:t>
      </w:r>
    </w:p>
    <w:p w14:paraId="1ABF7A16" w14:textId="77777777" w:rsidR="002F3AF3" w:rsidRPr="00F2777B" w:rsidRDefault="002F3AF3" w:rsidP="002F3AF3">
      <w:pPr>
        <w:pStyle w:val="Default"/>
        <w:spacing w:afterLines="50" w:after="120"/>
        <w:ind w:leftChars="401" w:left="802" w:firstLine="331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lang w:val="fr-FR"/>
        </w:rPr>
        <w:t>Paragraphes 6.1.2 à 6.2</w:t>
      </w:r>
      <w:r>
        <w:rPr>
          <w:lang w:val="fr-FR"/>
        </w:rPr>
        <w:t>, lire :</w:t>
      </w:r>
    </w:p>
    <w:p w14:paraId="3EBB670C" w14:textId="77777777" w:rsidR="002F3AF3" w:rsidRPr="00CE276E" w:rsidRDefault="002F3AF3" w:rsidP="002F3AF3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6.1.2</w:t>
      </w:r>
      <w:r>
        <w:rPr>
          <w:lang w:val="fr-FR"/>
        </w:rPr>
        <w:tab/>
        <w:t xml:space="preserve">Extension </w:t>
      </w:r>
    </w:p>
    <w:p w14:paraId="366D1505" w14:textId="77777777" w:rsidR="002F3AF3" w:rsidRPr="00CE276E" w:rsidRDefault="002F3AF3" w:rsidP="002F3AF3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ab/>
        <w:t xml:space="preserve">La modification doit être considérée comme une “extension” si, outre les modifications apportées aux renseignements consignés dans le dossier d’information : </w:t>
      </w:r>
    </w:p>
    <w:p w14:paraId="11CC3C9B" w14:textId="77777777" w:rsidR="002F3AF3" w:rsidRPr="00CE276E" w:rsidRDefault="002F3AF3" w:rsidP="002F3AF3">
      <w:pPr>
        <w:widowControl w:val="0"/>
        <w:tabs>
          <w:tab w:val="left" w:pos="2835"/>
        </w:tabs>
        <w:spacing w:after="120"/>
        <w:ind w:left="2835" w:right="1134" w:hanging="567"/>
        <w:jc w:val="both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 xml:space="preserve">D’autres contrôles ou essais sont nécessaires ; ou </w:t>
      </w:r>
    </w:p>
    <w:p w14:paraId="633DCD57" w14:textId="77777777" w:rsidR="002F3AF3" w:rsidRPr="00CE276E" w:rsidRDefault="002F3AF3" w:rsidP="002F3AF3">
      <w:pPr>
        <w:widowControl w:val="0"/>
        <w:tabs>
          <w:tab w:val="left" w:pos="2835"/>
        </w:tabs>
        <w:spacing w:after="120"/>
        <w:ind w:left="2835" w:right="1134" w:hanging="567"/>
        <w:jc w:val="both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 xml:space="preserve">Une information figurant sur la fiche de communication (à l’exception des pièces jointes) a été modifiée ; ou </w:t>
      </w:r>
    </w:p>
    <w:p w14:paraId="54FB63F0" w14:textId="77777777" w:rsidR="002F3AF3" w:rsidRPr="00CE276E" w:rsidRDefault="002F3AF3" w:rsidP="002F3AF3">
      <w:pPr>
        <w:widowControl w:val="0"/>
        <w:tabs>
          <w:tab w:val="left" w:pos="2835"/>
        </w:tabs>
        <w:spacing w:after="120"/>
        <w:ind w:left="2835" w:right="1134" w:hanging="567"/>
        <w:jc w:val="both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L’homologation est demandée après l’entrée en vigueur d’une série ultérieure d’amendements.</w:t>
      </w:r>
    </w:p>
    <w:p w14:paraId="4B35C627" w14:textId="2DF8131D" w:rsidR="002F3AF3" w:rsidRPr="00CE276E" w:rsidRDefault="002F3AF3" w:rsidP="002F3AF3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  <w:lang w:val="fr-FR"/>
        </w:rPr>
      </w:pPr>
      <w:r>
        <w:rPr>
          <w:b/>
          <w:bCs/>
          <w:lang w:val="fr-FR"/>
        </w:rPr>
        <w:t>6.1.2.1</w:t>
      </w:r>
      <w:r>
        <w:rPr>
          <w:lang w:val="fr-FR"/>
        </w:rPr>
        <w:tab/>
      </w:r>
      <w:r>
        <w:rPr>
          <w:b/>
          <w:bCs/>
          <w:lang w:val="fr-FR"/>
        </w:rPr>
        <w:t>Toute modification du véhicule portant sur la constitution générale de sa structure ou une variation de la masse de référence supérieure à 8 % qui, de l’avis des autorités, aurait une influence marquée sur les résultats de l’essai, doit donner lieu à la répétition de l’essai décrit à l’annexe 4.</w:t>
      </w:r>
    </w:p>
    <w:p w14:paraId="68FFA972" w14:textId="67EAB12D" w:rsidR="002F3AF3" w:rsidRPr="00CE276E" w:rsidRDefault="002F3AF3" w:rsidP="002F3AF3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  <w:lang w:val="fr-FR"/>
        </w:rPr>
      </w:pPr>
      <w:r>
        <w:rPr>
          <w:b/>
          <w:bCs/>
          <w:lang w:val="fr-FR"/>
        </w:rPr>
        <w:t>6.1.2.2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b/>
          <w:bCs/>
          <w:lang w:val="fr-FR"/>
        </w:rPr>
        <w:t>Si le service technique, après consultation du constructeur, considère que les modifications du type de véhicule ne sont pas suffisantes pour justifier un nouvel essai complet, un essai partiel peut être utilisé.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Ce peut être le cas si la masse de référence ne diffère pas de plus de 8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% de celle du véhicule d’origine ou si le nombre de sièges à l’avant n’a pas changé.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Une modification du type de siège ou de l’aménagement intérieur n’implique pas automatiquement un nouvel essai complet.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Un exemple de la manière de résoudre ce problème figure à l’annexe 8.</w:t>
      </w:r>
    </w:p>
    <w:p w14:paraId="33146E1B" w14:textId="46943E83" w:rsidR="002F3AF3" w:rsidRPr="00CE276E" w:rsidRDefault="002F3AF3" w:rsidP="002F3AF3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6.2.</w:t>
      </w:r>
      <w:r>
        <w:rPr>
          <w:lang w:val="fr-FR"/>
        </w:rPr>
        <w:tab/>
        <w:t>La confirmation, l’extension ou le refus de l’homologation doivent être communiqués aux Parties contractantes à l’Accord appliquant le présent Règlement conformément à la procédure décrite au paragraphe 4.3 ci-dessus. En outre, la liste des pièces constituant le dossier d’information et des procès</w:t>
      </w:r>
      <w:r>
        <w:rPr>
          <w:lang w:val="fr-FR"/>
        </w:rPr>
        <w:noBreakHyphen/>
      </w:r>
      <w:r>
        <w:rPr>
          <w:lang w:val="fr-FR"/>
        </w:rPr>
        <w:t>verbaux d’essai, annexée à la fiche de communication de l’annexe 1, doit être modifiée en conséquence de manière que soit indiquée la date de la révision ou de l’extension la plus récente. ».</w:t>
      </w:r>
    </w:p>
    <w:p w14:paraId="31D0C6AB" w14:textId="77777777" w:rsidR="002F3AF3" w:rsidRPr="00CE276E" w:rsidRDefault="002F3AF3" w:rsidP="002F3AF3">
      <w:pPr>
        <w:pStyle w:val="HChG"/>
        <w:rPr>
          <w:sz w:val="40"/>
          <w:lang w:val="fr-FR"/>
        </w:rPr>
      </w:pPr>
      <w:r>
        <w:rPr>
          <w:lang w:val="fr-FR"/>
        </w:rPr>
        <w:tab/>
      </w:r>
      <w:r w:rsidRPr="00FD75FF">
        <w:rPr>
          <w:lang w:val="fr-FR"/>
        </w:rPr>
        <w:t>II.</w:t>
      </w:r>
      <w:r w:rsidRPr="00FD75FF">
        <w:rPr>
          <w:lang w:val="fr-FR"/>
        </w:rPr>
        <w:tab/>
        <w:t>Justification</w:t>
      </w:r>
    </w:p>
    <w:p w14:paraId="31626530" w14:textId="02A205B6" w:rsidR="002F3AF3" w:rsidRPr="00CE276E" w:rsidRDefault="002F3AF3" w:rsidP="002F3AF3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La présente proposition est fondée sur le document informel GRSP-71-25, distribué et examiné à la soixante-onzième session du GRSP (ECE/TRANS/WP.29/GRSP/71, par. 47). Elle vise à réintroduire les paragraphes 6.1.2.1 et 6.1.2.2, supprimés par le document informel GRSP-66-33, qui avait été présenté et examiné à la soixante-sixième session du GRSP (ECE/TRANS/WP.29/GRSP/66, par. 35). La proposition permettrait au GRSP de déterminer si l’intention était bien de les supprimer. Si le GRSP arrive à la conclusion que cette suppression était intentionnelle, il conviendra d’examiner la question de savoir si l’essai simplifié décrit à l’annexe 8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95 est toujours nécessaire.</w:t>
      </w:r>
    </w:p>
    <w:p w14:paraId="61FD6D68" w14:textId="65DA60B6" w:rsidR="002F3AF3" w:rsidRDefault="002F3AF3" w:rsidP="002F3AF3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Une question analogue doit être examinée concernant le document informel GRSP</w:t>
      </w:r>
      <w:r>
        <w:rPr>
          <w:lang w:val="fr-FR"/>
        </w:rPr>
        <w:noBreakHyphen/>
      </w:r>
      <w:r>
        <w:rPr>
          <w:lang w:val="fr-FR"/>
        </w:rPr>
        <w:t>66-32 (Proposition de série 04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94, par</w:t>
      </w:r>
      <w:r>
        <w:rPr>
          <w:lang w:val="fr-FR"/>
        </w:rPr>
        <w:t>. </w:t>
      </w:r>
      <w:r>
        <w:rPr>
          <w:lang w:val="fr-FR"/>
        </w:rPr>
        <w:t>7.1.2.1 à 7.1.2.2.2, annexe</w:t>
      </w:r>
      <w:r>
        <w:rPr>
          <w:lang w:val="fr-FR"/>
        </w:rPr>
        <w:t> </w:t>
      </w:r>
      <w:r>
        <w:rPr>
          <w:lang w:val="fr-FR"/>
        </w:rPr>
        <w:t>7) et le document informel GRSP-66-36 (Proposition de série</w:t>
      </w:r>
      <w:r>
        <w:rPr>
          <w:lang w:val="fr-FR"/>
        </w:rPr>
        <w:t> </w:t>
      </w:r>
      <w:r>
        <w:rPr>
          <w:lang w:val="fr-FR"/>
        </w:rPr>
        <w:t>02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137, par</w:t>
      </w:r>
      <w:r>
        <w:rPr>
          <w:lang w:val="fr-FR"/>
        </w:rPr>
        <w:t>. </w:t>
      </w:r>
      <w:r>
        <w:rPr>
          <w:lang w:val="fr-FR"/>
        </w:rPr>
        <w:t>7.1.2.1 à 7.1.2.2.2, annexe 7).</w:t>
      </w:r>
    </w:p>
    <w:p w14:paraId="1537A4EB" w14:textId="21D4FAB0" w:rsidR="002F3AF3" w:rsidRPr="002F3AF3" w:rsidRDefault="002F3AF3" w:rsidP="002F3AF3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F3AF3" w:rsidRPr="002F3AF3" w:rsidSect="002F3AF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0363" w14:textId="77777777" w:rsidR="00D825DF" w:rsidRDefault="00D825DF" w:rsidP="00F95C08">
      <w:pPr>
        <w:spacing w:line="240" w:lineRule="auto"/>
      </w:pPr>
    </w:p>
  </w:endnote>
  <w:endnote w:type="continuationSeparator" w:id="0">
    <w:p w14:paraId="5412BD8C" w14:textId="77777777" w:rsidR="00D825DF" w:rsidRPr="00AC3823" w:rsidRDefault="00D825DF" w:rsidP="00AC3823">
      <w:pPr>
        <w:pStyle w:val="Pieddepage"/>
      </w:pPr>
    </w:p>
  </w:endnote>
  <w:endnote w:type="continuationNotice" w:id="1">
    <w:p w14:paraId="55D5DCF5" w14:textId="77777777" w:rsidR="00D825DF" w:rsidRDefault="00D825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EAE7" w14:textId="69D45EA5" w:rsidR="002F3AF3" w:rsidRPr="002F3AF3" w:rsidRDefault="002F3AF3" w:rsidP="002F3AF3">
    <w:pPr>
      <w:pStyle w:val="Pieddepage"/>
      <w:tabs>
        <w:tab w:val="right" w:pos="9638"/>
      </w:tabs>
    </w:pPr>
    <w:r w:rsidRPr="002F3AF3">
      <w:rPr>
        <w:b/>
        <w:sz w:val="18"/>
      </w:rPr>
      <w:fldChar w:fldCharType="begin"/>
    </w:r>
    <w:r w:rsidRPr="002F3AF3">
      <w:rPr>
        <w:b/>
        <w:sz w:val="18"/>
      </w:rPr>
      <w:instrText xml:space="preserve"> PAGE  \* MERGEFORMAT </w:instrText>
    </w:r>
    <w:r w:rsidRPr="002F3AF3">
      <w:rPr>
        <w:b/>
        <w:sz w:val="18"/>
      </w:rPr>
      <w:fldChar w:fldCharType="separate"/>
    </w:r>
    <w:r w:rsidRPr="002F3AF3">
      <w:rPr>
        <w:b/>
        <w:noProof/>
        <w:sz w:val="18"/>
      </w:rPr>
      <w:t>2</w:t>
    </w:r>
    <w:r w:rsidRPr="002F3AF3">
      <w:rPr>
        <w:b/>
        <w:sz w:val="18"/>
      </w:rPr>
      <w:fldChar w:fldCharType="end"/>
    </w:r>
    <w:r>
      <w:rPr>
        <w:b/>
        <w:sz w:val="18"/>
      </w:rPr>
      <w:tab/>
    </w:r>
    <w:r>
      <w:t>GE.22-14930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A8B4" w14:textId="270CD805" w:rsidR="002F3AF3" w:rsidRPr="002F3AF3" w:rsidRDefault="002F3AF3" w:rsidP="002F3AF3">
    <w:pPr>
      <w:pStyle w:val="Pieddepage"/>
      <w:tabs>
        <w:tab w:val="right" w:pos="9638"/>
      </w:tabs>
      <w:rPr>
        <w:b/>
        <w:sz w:val="18"/>
      </w:rPr>
    </w:pPr>
    <w:r>
      <w:t>GE.22-14930</w:t>
    </w:r>
    <w:r>
      <w:tab/>
    </w:r>
    <w:r w:rsidRPr="002F3AF3">
      <w:rPr>
        <w:b/>
        <w:sz w:val="18"/>
      </w:rPr>
      <w:fldChar w:fldCharType="begin"/>
    </w:r>
    <w:r w:rsidRPr="002F3AF3">
      <w:rPr>
        <w:b/>
        <w:sz w:val="18"/>
      </w:rPr>
      <w:instrText xml:space="preserve"> PAGE  \* MERGEFORMAT </w:instrText>
    </w:r>
    <w:r w:rsidRPr="002F3AF3">
      <w:rPr>
        <w:b/>
        <w:sz w:val="18"/>
      </w:rPr>
      <w:fldChar w:fldCharType="separate"/>
    </w:r>
    <w:r w:rsidRPr="002F3AF3">
      <w:rPr>
        <w:b/>
        <w:noProof/>
        <w:sz w:val="18"/>
      </w:rPr>
      <w:t>3</w:t>
    </w:r>
    <w:r w:rsidRPr="002F3A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902B" w14:textId="7740065D" w:rsidR="007F20FA" w:rsidRPr="002F3AF3" w:rsidRDefault="002F3AF3" w:rsidP="002F3AF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63D2C80" wp14:editId="3D7D4AC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22-14930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636AD22" wp14:editId="149F804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191022    191022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63880" w14:textId="77777777" w:rsidR="00D825DF" w:rsidRPr="00AC3823" w:rsidRDefault="00D825D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6C6A77" w14:textId="77777777" w:rsidR="00D825DF" w:rsidRPr="00AC3823" w:rsidRDefault="00D825D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3B2CFA9" w14:textId="77777777" w:rsidR="00D825DF" w:rsidRPr="00AC3823" w:rsidRDefault="00D825DF">
      <w:pPr>
        <w:spacing w:line="240" w:lineRule="auto"/>
        <w:rPr>
          <w:sz w:val="2"/>
          <w:szCs w:val="2"/>
        </w:rPr>
      </w:pPr>
    </w:p>
  </w:footnote>
  <w:footnote w:id="2">
    <w:p w14:paraId="31357D12" w14:textId="17533F9E" w:rsidR="002F3AF3" w:rsidRDefault="002F3AF3" w:rsidP="002F3AF3">
      <w:pPr>
        <w:pStyle w:val="Notedebasdepage"/>
        <w:rPr>
          <w:lang w:val="fr-FR"/>
        </w:rPr>
      </w:pPr>
      <w:r w:rsidRPr="002F3AF3">
        <w:rPr>
          <w:sz w:val="20"/>
          <w:lang w:val="fr-FR"/>
        </w:rPr>
        <w:tab/>
        <w:t>*</w:t>
      </w:r>
      <w:r w:rsidRPr="002F3AF3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6FBC44B2" w14:textId="77777777" w:rsidR="002F3AF3" w:rsidRPr="00CE276E" w:rsidRDefault="002F3AF3" w:rsidP="002F3AF3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8B8F" w14:textId="3846707A" w:rsidR="002F3AF3" w:rsidRPr="002F3AF3" w:rsidRDefault="002F3AF3">
    <w:pPr>
      <w:pStyle w:val="En-tte"/>
    </w:pPr>
    <w:fldSimple w:instr=" TITLE  \* MERGEFORMAT ">
      <w:r w:rsidR="00DF339F">
        <w:t>ECE/TRANS/WP.29/GRSP/2022/23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AE5A" w14:textId="51220675" w:rsidR="002F3AF3" w:rsidRPr="002F3AF3" w:rsidRDefault="002F3AF3" w:rsidP="002F3AF3">
    <w:pPr>
      <w:pStyle w:val="En-tte"/>
      <w:jc w:val="right"/>
    </w:pPr>
    <w:fldSimple w:instr=" TITLE  \* MERGEFORMAT ">
      <w:r w:rsidR="00DF339F">
        <w:t>ECE/TRANS/WP.29/GRSP/2022/23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D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2F3AF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825DF"/>
    <w:rsid w:val="00DB1831"/>
    <w:rsid w:val="00DD3BFD"/>
    <w:rsid w:val="00DF339F"/>
    <w:rsid w:val="00DF6678"/>
    <w:rsid w:val="00E0299A"/>
    <w:rsid w:val="00E72BBC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4BCFA"/>
  <w15:docId w15:val="{4045E8EF-733E-4EC7-8DD5-6016A145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Fußnotentext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2F3AF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2F3AF3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2F3AF3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2F3A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523</Words>
  <Characters>3663</Characters>
  <Application>Microsoft Office Word</Application>
  <DocSecurity>0</DocSecurity>
  <Lines>305</Lines>
  <Paragraphs>167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ECE/TRANS/WP.29/GRSP/2022/23</dc:title>
  <dc:subject/>
  <dc:creator>Maud DARICHE</dc:creator>
  <cp:keywords/>
  <cp:lastModifiedBy>Maud Dariche</cp:lastModifiedBy>
  <cp:revision>3</cp:revision>
  <cp:lastPrinted>2022-10-19T09:03:00Z</cp:lastPrinted>
  <dcterms:created xsi:type="dcterms:W3CDTF">2022-10-19T09:03:00Z</dcterms:created>
  <dcterms:modified xsi:type="dcterms:W3CDTF">2022-10-19T09:04:00Z</dcterms:modified>
</cp:coreProperties>
</file>