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4BC3A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133423" w14:textId="77777777" w:rsidR="002D5AAC" w:rsidRDefault="002D5AAC" w:rsidP="003534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C41C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0852E3E" w14:textId="578BDB7F" w:rsidR="002D5AAC" w:rsidRDefault="0035343C" w:rsidP="0035343C">
            <w:pPr>
              <w:jc w:val="right"/>
            </w:pPr>
            <w:r w:rsidRPr="0035343C">
              <w:rPr>
                <w:sz w:val="40"/>
              </w:rPr>
              <w:t>ECE</w:t>
            </w:r>
            <w:r>
              <w:t>/TRANS/WP.29/GRSP/2022/15</w:t>
            </w:r>
          </w:p>
        </w:tc>
      </w:tr>
      <w:tr w:rsidR="002D5AAC" w:rsidRPr="00115DFB" w14:paraId="3F05FDF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9DFAA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1FA52E" wp14:editId="4210C23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A554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0EF938" w14:textId="77777777" w:rsidR="002D5AAC" w:rsidRDefault="0035343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761A35F" w14:textId="77777777" w:rsidR="0035343C" w:rsidRDefault="0035343C" w:rsidP="003534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2022</w:t>
            </w:r>
          </w:p>
          <w:p w14:paraId="04B8381E" w14:textId="77777777" w:rsidR="0035343C" w:rsidRDefault="0035343C" w:rsidP="003534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95485E" w14:textId="7E8E1657" w:rsidR="0035343C" w:rsidRPr="008D53B6" w:rsidRDefault="0035343C" w:rsidP="003534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EDA37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0CC68C" w14:textId="77777777" w:rsidR="0035343C" w:rsidRPr="0003643C" w:rsidRDefault="0035343C" w:rsidP="0035343C">
      <w:pPr>
        <w:spacing w:before="120"/>
        <w:rPr>
          <w:sz w:val="28"/>
          <w:szCs w:val="28"/>
        </w:rPr>
      </w:pPr>
      <w:r w:rsidRPr="0003643C">
        <w:rPr>
          <w:sz w:val="28"/>
          <w:szCs w:val="28"/>
        </w:rPr>
        <w:t>Комитет по внутреннему транспорту</w:t>
      </w:r>
    </w:p>
    <w:p w14:paraId="3C29B7D6" w14:textId="77777777" w:rsidR="0035343C" w:rsidRPr="0003643C" w:rsidRDefault="0035343C" w:rsidP="0035343C">
      <w:pPr>
        <w:spacing w:before="120"/>
        <w:rPr>
          <w:b/>
          <w:sz w:val="24"/>
          <w:szCs w:val="24"/>
        </w:rPr>
      </w:pPr>
      <w:r w:rsidRPr="0003643C">
        <w:rPr>
          <w:b/>
          <w:bCs/>
          <w:sz w:val="24"/>
          <w:szCs w:val="24"/>
        </w:rPr>
        <w:t>Всемирный форум для согласования правил</w:t>
      </w:r>
      <w:r w:rsidRPr="0003643C">
        <w:rPr>
          <w:b/>
          <w:bCs/>
          <w:sz w:val="24"/>
          <w:szCs w:val="24"/>
        </w:rPr>
        <w:br/>
        <w:t>в области транспортных средств</w:t>
      </w:r>
    </w:p>
    <w:p w14:paraId="277E5174" w14:textId="77777777" w:rsidR="0035343C" w:rsidRPr="0003643C" w:rsidRDefault="0035343C" w:rsidP="0035343C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34079846" w14:textId="77777777" w:rsidR="0035343C" w:rsidRPr="0003643C" w:rsidRDefault="0035343C" w:rsidP="0035343C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вторая сессия</w:t>
      </w:r>
    </w:p>
    <w:p w14:paraId="226973B2" w14:textId="77777777" w:rsidR="0035343C" w:rsidRPr="0003643C" w:rsidRDefault="0035343C" w:rsidP="0035343C">
      <w:pPr>
        <w:rPr>
          <w:rFonts w:asciiTheme="majorBidi" w:hAnsiTheme="majorBidi" w:cstheme="majorBidi"/>
        </w:rPr>
      </w:pPr>
      <w:r>
        <w:t>Женева, 5–9 декабря 2022 года</w:t>
      </w:r>
    </w:p>
    <w:p w14:paraId="42884B55" w14:textId="77777777" w:rsidR="0035343C" w:rsidRPr="0003643C" w:rsidRDefault="0035343C" w:rsidP="0035343C">
      <w:pPr>
        <w:rPr>
          <w:rFonts w:asciiTheme="majorBidi" w:hAnsiTheme="majorBidi" w:cstheme="majorBidi"/>
        </w:rPr>
      </w:pPr>
      <w:r>
        <w:t>Пункт 11 предварительной повестки дня</w:t>
      </w:r>
    </w:p>
    <w:p w14:paraId="01BEC34A" w14:textId="77777777" w:rsidR="0035343C" w:rsidRDefault="0035343C" w:rsidP="0035343C">
      <w:pPr>
        <w:rPr>
          <w:b/>
          <w:bCs/>
        </w:rPr>
      </w:pPr>
      <w:r>
        <w:rPr>
          <w:b/>
          <w:bCs/>
        </w:rPr>
        <w:t xml:space="preserve">Правила № 134 ООН (транспортные средства, </w:t>
      </w:r>
    </w:p>
    <w:p w14:paraId="0E56A555" w14:textId="77777777" w:rsidR="0035343C" w:rsidRPr="0003643C" w:rsidRDefault="0035343C" w:rsidP="0035343C">
      <w:r>
        <w:rPr>
          <w:b/>
          <w:bCs/>
        </w:rPr>
        <w:t>работающие на водороде и топливных элементах)</w:t>
      </w:r>
    </w:p>
    <w:p w14:paraId="2D11713E" w14:textId="67A52B2B" w:rsidR="0035343C" w:rsidRPr="00B808F7" w:rsidRDefault="0035343C" w:rsidP="0035343C">
      <w:pPr>
        <w:pStyle w:val="HChG"/>
      </w:pPr>
      <w:r>
        <w:tab/>
      </w:r>
      <w:r>
        <w:tab/>
      </w:r>
      <w:r>
        <w:tab/>
        <w:t xml:space="preserve">Предложение по дополнению 5 к первоначальному варианту и дополнению 2 к поправкам серии 01 </w:t>
      </w:r>
      <w:r>
        <w:br/>
        <w:t>Правил № 134 ООН (транспортные средства, работающие на водороде и топливных элементах)</w:t>
      </w:r>
    </w:p>
    <w:p w14:paraId="11322D52" w14:textId="77777777" w:rsidR="0035343C" w:rsidRPr="0003643C" w:rsidRDefault="0035343C" w:rsidP="0035343C">
      <w:pPr>
        <w:pStyle w:val="H1G"/>
      </w:pPr>
      <w:r>
        <w:tab/>
      </w:r>
      <w:r>
        <w:tab/>
      </w:r>
      <w:r>
        <w:rPr>
          <w:bCs/>
        </w:rPr>
        <w:t>Представлено экспертом от Франции</w:t>
      </w:r>
      <w:r w:rsidRPr="0035343C">
        <w:rPr>
          <w:b w:val="0"/>
          <w:sz w:val="20"/>
          <w:szCs w:val="16"/>
        </w:rPr>
        <w:footnoteReference w:customMarkFollows="1" w:id="1"/>
        <w:t>*</w:t>
      </w:r>
    </w:p>
    <w:p w14:paraId="4D015571" w14:textId="77777777" w:rsidR="0035343C" w:rsidRPr="0003643C" w:rsidRDefault="0035343C" w:rsidP="0035343C">
      <w:pPr>
        <w:spacing w:after="120"/>
        <w:ind w:left="1134" w:right="1134" w:firstLine="567"/>
        <w:jc w:val="both"/>
      </w:pPr>
      <w:bookmarkStart w:id="0" w:name="_Hlk31700179"/>
      <w:r>
        <w:t xml:space="preserve">Воспроизведенный ниже текст был подготовлен экспертом от Франции в целях уточнения процедуры использования и характеристик измерительного устройства, применяемого при испытании системы выпуска транспортного средства на соответствие установленным требованиям. Изменения к существующему тексту Правил ООН выделены жирным шрифтом в случае новых положений или зачеркиванием в случае исключенных элементов. </w:t>
      </w:r>
      <w:bookmarkStart w:id="1" w:name="_Hlk32495709"/>
      <w:bookmarkEnd w:id="1"/>
    </w:p>
    <w:bookmarkEnd w:id="0"/>
    <w:p w14:paraId="4737A1CC" w14:textId="77777777" w:rsidR="0035343C" w:rsidRPr="0003643C" w:rsidRDefault="0035343C" w:rsidP="0035343C">
      <w:pPr>
        <w:suppressAutoHyphens w:val="0"/>
        <w:spacing w:line="240" w:lineRule="auto"/>
      </w:pPr>
      <w:r w:rsidRPr="0003643C">
        <w:br w:type="page"/>
      </w:r>
    </w:p>
    <w:p w14:paraId="3C46EF78" w14:textId="77777777" w:rsidR="0035343C" w:rsidRPr="0003643C" w:rsidRDefault="0035343C" w:rsidP="0035343C">
      <w:pPr>
        <w:pStyle w:val="HChG"/>
      </w:pPr>
      <w:bookmarkStart w:id="2" w:name="_Hlk534364985"/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85D98B4" w14:textId="77777777" w:rsidR="0035343C" w:rsidRPr="0003643C" w:rsidRDefault="0035343C" w:rsidP="0035343C">
      <w:pPr>
        <w:pStyle w:val="SingleTxtG"/>
        <w:spacing w:after="100"/>
        <w:ind w:left="2268" w:hanging="1134"/>
        <w:rPr>
          <w:i/>
          <w:color w:val="000000" w:themeColor="text1"/>
        </w:rPr>
      </w:pPr>
      <w:r>
        <w:rPr>
          <w:i/>
          <w:iCs/>
        </w:rPr>
        <w:t>Приложение 5</w:t>
      </w:r>
      <w:r w:rsidRPr="0035343C">
        <w:t>,</w:t>
      </w:r>
    </w:p>
    <w:p w14:paraId="09B7D728" w14:textId="77777777" w:rsidR="0035343C" w:rsidRPr="0003643C" w:rsidRDefault="0035343C" w:rsidP="0035343C">
      <w:pPr>
        <w:pStyle w:val="SingleTxtG"/>
        <w:spacing w:after="100"/>
        <w:ind w:left="2268" w:hanging="1134"/>
        <w:rPr>
          <w:i/>
          <w:color w:val="000000" w:themeColor="text1"/>
        </w:rPr>
      </w:pPr>
      <w:r>
        <w:rPr>
          <w:i/>
          <w:iCs/>
        </w:rPr>
        <w:t>пункты 4.4 и 4.5</w:t>
      </w:r>
      <w:r>
        <w:t xml:space="preserve"> изменить следующим образом:</w:t>
      </w:r>
    </w:p>
    <w:p w14:paraId="6CC5E1FC" w14:textId="77777777" w:rsidR="0035343C" w:rsidRPr="0003643C" w:rsidRDefault="0035343C" w:rsidP="0035343C">
      <w:pPr>
        <w:keepNext/>
        <w:keepLines/>
        <w:tabs>
          <w:tab w:val="right" w:pos="851"/>
        </w:tabs>
        <w:spacing w:before="240" w:after="100" w:line="240" w:lineRule="exact"/>
        <w:ind w:left="2268" w:right="1134" w:hanging="1134"/>
      </w:pPr>
      <w:r>
        <w:t>«4.4</w:t>
      </w:r>
      <w:r>
        <w:tab/>
        <w:t>Концентрацию водорода в отработавших газах измеряют непрерывно с соблюдением следующей последовательности действий:</w:t>
      </w:r>
    </w:p>
    <w:p w14:paraId="7E7B732F" w14:textId="77777777" w:rsidR="0035343C" w:rsidRPr="0003643C" w:rsidRDefault="0035343C" w:rsidP="0035343C">
      <w:pPr>
        <w:spacing w:after="100"/>
        <w:ind w:left="2835" w:right="1134" w:hanging="567"/>
        <w:jc w:val="both"/>
      </w:pPr>
      <w:r>
        <w:t>a)</w:t>
      </w:r>
      <w:r>
        <w:tab/>
        <w:t>силовую установку заглушают;</w:t>
      </w:r>
    </w:p>
    <w:p w14:paraId="60FECEFA" w14:textId="77777777" w:rsidR="0035343C" w:rsidRPr="0003643C" w:rsidRDefault="0035343C" w:rsidP="0035343C">
      <w:pPr>
        <w:spacing w:after="100"/>
        <w:ind w:left="2835" w:right="1134" w:hanging="567"/>
        <w:jc w:val="both"/>
      </w:pPr>
      <w:r>
        <w:t>b)</w:t>
      </w:r>
      <w:r>
        <w:tab/>
        <w:t xml:space="preserve">по завершении этапа </w:t>
      </w:r>
      <w:proofErr w:type="spellStart"/>
      <w:r>
        <w:t>заглушения</w:t>
      </w:r>
      <w:proofErr w:type="spellEnd"/>
      <w:r>
        <w:t xml:space="preserve"> силовую установку сразу же запускают;</w:t>
      </w:r>
    </w:p>
    <w:p w14:paraId="2A57453B" w14:textId="29E7FB66" w:rsidR="0035343C" w:rsidRPr="0003643C" w:rsidRDefault="0035343C" w:rsidP="0035343C">
      <w:pPr>
        <w:spacing w:after="100"/>
        <w:ind w:left="2835" w:right="1134" w:hanging="567"/>
        <w:jc w:val="both"/>
      </w:pPr>
      <w:r>
        <w:t>c)</w:t>
      </w:r>
      <w:r>
        <w:tab/>
        <w:t xml:space="preserve">по </w:t>
      </w:r>
      <w:r>
        <w:rPr>
          <w:b/>
          <w:bCs/>
        </w:rPr>
        <w:t>завершении этапа запуска в соответствии с тем, как это определено изготовителем,</w:t>
      </w:r>
      <w:r>
        <w:t xml:space="preserve"> </w:t>
      </w:r>
      <w:r>
        <w:rPr>
          <w:strike/>
        </w:rPr>
        <w:t>истечении одной минуты</w:t>
      </w:r>
      <w:r>
        <w:t xml:space="preserve"> силовую установку выключают и измерения продолжают до полной остановки силового агрегата.</w:t>
      </w:r>
    </w:p>
    <w:p w14:paraId="7107BE4C" w14:textId="77777777" w:rsidR="0035343C" w:rsidRPr="0003643C" w:rsidRDefault="0035343C" w:rsidP="0035343C">
      <w:pPr>
        <w:spacing w:after="100"/>
        <w:ind w:left="2268" w:right="1134" w:hanging="1134"/>
        <w:jc w:val="both"/>
        <w:rPr>
          <w:strike/>
        </w:rPr>
      </w:pPr>
      <w:r>
        <w:t>4.5</w:t>
      </w:r>
      <w:r>
        <w:tab/>
      </w:r>
      <w:r>
        <w:rPr>
          <w:b/>
          <w:bCs/>
        </w:rPr>
        <w:t>Измерительное устройство должно иметь следующие характеристики:</w:t>
      </w:r>
      <w:r>
        <w:t xml:space="preserve"> </w:t>
      </w:r>
      <w:r>
        <w:rPr>
          <w:strike/>
        </w:rPr>
        <w:t>Время срабатывания измерительного устройства должно составлять менее 300 миллисекунд.</w:t>
      </w:r>
      <w:r>
        <w:t xml:space="preserve"> </w:t>
      </w:r>
    </w:p>
    <w:p w14:paraId="511C6FF5" w14:textId="1DA310A9" w:rsidR="0035343C" w:rsidRPr="0003643C" w:rsidRDefault="0035343C" w:rsidP="0035343C">
      <w:pPr>
        <w:spacing w:after="100"/>
        <w:ind w:left="2835" w:right="1134" w:hanging="567"/>
        <w:jc w:val="both"/>
      </w:pPr>
      <w:r>
        <w:rPr>
          <w:b/>
          <w:bCs/>
        </w:rPr>
        <w:t>a)</w:t>
      </w:r>
      <w:r>
        <w:tab/>
      </w:r>
      <w:r>
        <w:rPr>
          <w:b/>
          <w:bCs/>
        </w:rPr>
        <w:t>время срабатывания измерительного устройства (t</w:t>
      </w:r>
      <w:r w:rsidRPr="00ED1772">
        <w:rPr>
          <w:b/>
          <w:bCs/>
          <w:vertAlign w:val="subscript"/>
        </w:rPr>
        <w:t>0</w:t>
      </w:r>
      <w:r w:rsidR="000F1548">
        <w:rPr>
          <w:b/>
          <w:bCs/>
          <w:lang w:val="en-US"/>
        </w:rPr>
        <w:t> </w:t>
      </w:r>
      <w:r w:rsidRPr="0035343C">
        <w:rPr>
          <w:b/>
          <w:bCs/>
        </w:rPr>
        <w:t>–</w:t>
      </w:r>
      <w:r w:rsidR="000F1548">
        <w:rPr>
          <w:b/>
          <w:bCs/>
          <w:lang w:val="en-US"/>
        </w:rPr>
        <w:t> </w:t>
      </w:r>
      <w:r>
        <w:rPr>
          <w:b/>
          <w:bCs/>
        </w:rPr>
        <w:t>t</w:t>
      </w:r>
      <w:r w:rsidRPr="00ED1772">
        <w:rPr>
          <w:b/>
          <w:bCs/>
          <w:vertAlign w:val="subscript"/>
        </w:rPr>
        <w:t>90</w:t>
      </w:r>
      <w:r>
        <w:rPr>
          <w:b/>
          <w:bCs/>
        </w:rPr>
        <w:t>) должно составлять менее двух секунд, при этом t</w:t>
      </w:r>
      <w:r w:rsidRPr="00ED1772">
        <w:rPr>
          <w:b/>
          <w:bCs/>
          <w:vertAlign w:val="subscript"/>
        </w:rPr>
        <w:t>0</w:t>
      </w:r>
      <w:r>
        <w:rPr>
          <w:b/>
          <w:bCs/>
        </w:rPr>
        <w:t xml:space="preserve"> соответствует моменту начала изменения концентрации водорода, а t</w:t>
      </w:r>
      <w:r w:rsidRPr="00ED1772">
        <w:rPr>
          <w:b/>
          <w:bCs/>
          <w:vertAlign w:val="subscript"/>
        </w:rPr>
        <w:t>90</w:t>
      </w:r>
      <w:r>
        <w:rPr>
          <w:b/>
          <w:bCs/>
        </w:rPr>
        <w:t xml:space="preserve"> соответствует моменту, когда она достигает значения в 90</w:t>
      </w:r>
      <w:r>
        <w:rPr>
          <w:b/>
          <w:bCs/>
          <w:lang w:val="en-US"/>
        </w:rPr>
        <w:t> </w:t>
      </w:r>
      <w:r>
        <w:rPr>
          <w:b/>
          <w:bCs/>
        </w:rPr>
        <w:t>% от итогового показателя;</w:t>
      </w:r>
    </w:p>
    <w:p w14:paraId="4AFFD7B4" w14:textId="209FA3EE" w:rsidR="0035343C" w:rsidRPr="0003643C" w:rsidRDefault="0035343C" w:rsidP="0035343C">
      <w:pPr>
        <w:spacing w:after="100"/>
        <w:ind w:left="2835" w:right="1134" w:hanging="567"/>
        <w:jc w:val="both"/>
        <w:rPr>
          <w:b/>
          <w:bCs/>
        </w:rPr>
      </w:pPr>
      <w:r>
        <w:rPr>
          <w:b/>
          <w:bCs/>
        </w:rPr>
        <w:t>b)</w:t>
      </w:r>
      <w:r>
        <w:tab/>
      </w:r>
      <w:proofErr w:type="spellStart"/>
      <w:r>
        <w:rPr>
          <w:b/>
          <w:bCs/>
        </w:rPr>
        <w:t>временнóе</w:t>
      </w:r>
      <w:proofErr w:type="spellEnd"/>
      <w:r>
        <w:rPr>
          <w:b/>
          <w:bCs/>
        </w:rPr>
        <w:t xml:space="preserve"> разрешение должно составлять менее </w:t>
      </w:r>
      <w:r>
        <w:rPr>
          <w:b/>
          <w:bCs/>
        </w:rPr>
        <w:br/>
        <w:t>300 миллисекунд (частота дискретизации &gt;3,33 Гц)</w:t>
      </w:r>
      <w:r w:rsidRPr="0035343C">
        <w:t>».</w:t>
      </w:r>
    </w:p>
    <w:p w14:paraId="5402FC17" w14:textId="77777777" w:rsidR="0035343C" w:rsidRPr="0003643C" w:rsidRDefault="0035343C" w:rsidP="0035343C">
      <w:pPr>
        <w:pStyle w:val="HChG"/>
        <w:spacing w:before="240" w:after="100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18DE72F" w14:textId="77777777" w:rsidR="0035343C" w:rsidRPr="0003643C" w:rsidRDefault="0035343C" w:rsidP="0035343C">
      <w:pPr>
        <w:pStyle w:val="af3"/>
        <w:suppressAutoHyphens/>
        <w:spacing w:after="100" w:line="240" w:lineRule="atLeast"/>
        <w:ind w:left="1134" w:right="1134" w:hanging="5"/>
        <w:contextualSpacing w:val="0"/>
        <w:jc w:val="both"/>
        <w:rPr>
          <w:rStyle w:val="markedcontent"/>
          <w:lang w:val="ru-RU"/>
        </w:rPr>
      </w:pP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1.</w:t>
      </w: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ab/>
      </w:r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Настоящее предложение нацелено на уточнение процедуры использования и характеристик измерительного устройства, применяемого при испытании системы выпуска транспортного средства на соответствие установленным требованиям. </w:t>
      </w: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Предложение</w:t>
      </w:r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 основано на </w:t>
      </w: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результатах </w:t>
      </w:r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текущей </w:t>
      </w: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работы</w:t>
      </w:r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, осуществляемой в рамках этапа 2 разработки ГТП № 13 ООН.</w:t>
      </w:r>
    </w:p>
    <w:p w14:paraId="0BEAADF9" w14:textId="77777777" w:rsidR="0035343C" w:rsidRPr="0003643C" w:rsidRDefault="0035343C" w:rsidP="0035343C">
      <w:pPr>
        <w:pStyle w:val="af3"/>
        <w:suppressAutoHyphens/>
        <w:spacing w:after="100" w:line="240" w:lineRule="atLeast"/>
        <w:ind w:left="1134" w:right="1134" w:hanging="5"/>
        <w:contextualSpacing w:val="0"/>
        <w:jc w:val="both"/>
        <w:rPr>
          <w:rStyle w:val="markedcontent"/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2.</w:t>
      </w: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ab/>
      </w:r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Пункт 4.4</w:t>
      </w:r>
      <w:proofErr w:type="gramStart"/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: В ходе</w:t>
      </w:r>
      <w:proofErr w:type="gramEnd"/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 проверок соответствия, проводимых в отношении системы выпуска транспортного средства, на нескольких этапах осуществляется непрерывное измерение концентрации водорода в отработавших газах. При этом силовая установка заглушается. По завершении этапа </w:t>
      </w:r>
      <w:proofErr w:type="spellStart"/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заглушения</w:t>
      </w:r>
      <w:proofErr w:type="spellEnd"/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 силовую установку сразу же запускают. </w:t>
      </w: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Через одну минуту после запуска</w:t>
      </w:r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 силовую установку выключают и продолжают проводить измерения до полного отключения силового агрегата. Однако продолжительность процесса запуска может превышать одну минуту, из-за чего «нормальное выключение» может оказаться возможным не ранее чем через одну минуту. Поэтому выключение системы целесообразнее проводить после завершения процесса запуска. </w:t>
      </w: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С</w:t>
      </w:r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оответствующие уточнения </w:t>
      </w:r>
      <w:r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>были включены в</w:t>
      </w:r>
      <w:r w:rsidRPr="0003643C">
        <w:rPr>
          <w:rStyle w:val="markedcontent"/>
          <w:rFonts w:ascii="Times New Roman" w:hAnsi="Times New Roman" w:cs="Times New Roman"/>
          <w:sz w:val="20"/>
          <w:szCs w:val="20"/>
          <w:lang w:val="ru-RU"/>
        </w:rPr>
        <w:t xml:space="preserve"> текст. </w:t>
      </w:r>
    </w:p>
    <w:p w14:paraId="4520F044" w14:textId="07726656" w:rsidR="0035343C" w:rsidRPr="00D37805" w:rsidRDefault="0035343C" w:rsidP="0035343C">
      <w:pPr>
        <w:spacing w:after="100"/>
        <w:ind w:left="1129" w:right="1134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</w:rPr>
        <w:t>3.</w:t>
      </w:r>
      <w:r>
        <w:rPr>
          <w:rStyle w:val="markedcontent"/>
        </w:rPr>
        <w:tab/>
      </w:r>
      <w:r w:rsidRPr="0003643C">
        <w:rPr>
          <w:rStyle w:val="markedcontent"/>
        </w:rPr>
        <w:t>Пункт 4.5</w:t>
      </w:r>
      <w:proofErr w:type="gramStart"/>
      <w:r w:rsidRPr="0003643C">
        <w:rPr>
          <w:rStyle w:val="markedcontent"/>
        </w:rPr>
        <w:t>: В рамках</w:t>
      </w:r>
      <w:proofErr w:type="gramEnd"/>
      <w:r w:rsidRPr="0003643C">
        <w:rPr>
          <w:rStyle w:val="markedcontent"/>
        </w:rPr>
        <w:t xml:space="preserve"> проверок соответствия, проводимых в отношении системы выпуска транспортного средства, время срабатывания измерительного устройства должно составлять менее 300 миллисекунд. Однако на рынке нет ни одного водородного анализатора, врем</w:t>
      </w:r>
      <w:r>
        <w:rPr>
          <w:rStyle w:val="markedcontent"/>
        </w:rPr>
        <w:t>я</w:t>
      </w:r>
      <w:r w:rsidRPr="0003643C">
        <w:rPr>
          <w:rStyle w:val="markedcontent"/>
        </w:rPr>
        <w:t xml:space="preserve"> срабатывания </w:t>
      </w:r>
      <w:r>
        <w:rPr>
          <w:rStyle w:val="markedcontent"/>
        </w:rPr>
        <w:t>которого составляло бы</w:t>
      </w:r>
      <w:r w:rsidRPr="0003643C">
        <w:rPr>
          <w:rStyle w:val="markedcontent"/>
        </w:rPr>
        <w:t xml:space="preserve"> менее </w:t>
      </w:r>
      <w:r>
        <w:rPr>
          <w:rStyle w:val="markedcontent"/>
        </w:rPr>
        <w:br/>
      </w:r>
      <w:r w:rsidRPr="0003643C">
        <w:rPr>
          <w:rStyle w:val="markedcontent"/>
        </w:rPr>
        <w:t xml:space="preserve">300 миллисекунд. </w:t>
      </w:r>
      <w:r>
        <w:rPr>
          <w:rStyle w:val="markedcontent"/>
        </w:rPr>
        <w:t>Д</w:t>
      </w:r>
      <w:r w:rsidRPr="0003643C">
        <w:rPr>
          <w:rStyle w:val="markedcontent"/>
        </w:rPr>
        <w:t xml:space="preserve">ля отслеживания выбросов водорода с соответствующим </w:t>
      </w:r>
      <w:proofErr w:type="spellStart"/>
      <w:r w:rsidRPr="0003643C">
        <w:rPr>
          <w:rStyle w:val="markedcontent"/>
        </w:rPr>
        <w:t>временны́м</w:t>
      </w:r>
      <w:proofErr w:type="spellEnd"/>
      <w:r w:rsidRPr="0003643C">
        <w:rPr>
          <w:rStyle w:val="markedcontent"/>
        </w:rPr>
        <w:t xml:space="preserve"> разрешением можно использовать </w:t>
      </w:r>
      <w:r>
        <w:rPr>
          <w:rStyle w:val="markedcontent"/>
        </w:rPr>
        <w:t>в</w:t>
      </w:r>
      <w:r w:rsidRPr="0003643C">
        <w:rPr>
          <w:rStyle w:val="markedcontent"/>
        </w:rPr>
        <w:t xml:space="preserve">акуумный масс-спектрометр. </w:t>
      </w:r>
      <w:r w:rsidR="00115DFB">
        <w:rPr>
          <w:rStyle w:val="markedcontent"/>
        </w:rPr>
        <w:br/>
      </w:r>
      <w:r w:rsidRPr="0003643C">
        <w:rPr>
          <w:rStyle w:val="markedcontent"/>
        </w:rPr>
        <w:t>Для снижения давления с уровня атмосферного до необходимого уровня вакуума требуется тонкий капилляр соответствующей длин</w:t>
      </w:r>
      <w:r>
        <w:rPr>
          <w:rStyle w:val="markedcontent"/>
        </w:rPr>
        <w:t>ы</w:t>
      </w:r>
      <w:r w:rsidRPr="0003643C">
        <w:rPr>
          <w:rStyle w:val="markedcontent"/>
        </w:rPr>
        <w:t xml:space="preserve">, </w:t>
      </w:r>
      <w:r>
        <w:rPr>
          <w:rStyle w:val="markedcontent"/>
        </w:rPr>
        <w:t xml:space="preserve">из-за </w:t>
      </w:r>
      <w:r w:rsidRPr="0003643C">
        <w:rPr>
          <w:rStyle w:val="markedcontent"/>
        </w:rPr>
        <w:t xml:space="preserve">чего время перемещения оказывается выше 300 миллисекунд. Поэтому максимальное время срабатывания измерительного устройства было увеличено до двух секунд. </w:t>
      </w:r>
      <w:r w:rsidRPr="00D37805">
        <w:rPr>
          <w:rStyle w:val="markedcontent"/>
        </w:rPr>
        <w:t xml:space="preserve">Также были добавлены требования, касающиеся </w:t>
      </w:r>
      <w:proofErr w:type="spellStart"/>
      <w:r w:rsidRPr="00D37805">
        <w:rPr>
          <w:rStyle w:val="markedcontent"/>
        </w:rPr>
        <w:t>временнóго</w:t>
      </w:r>
      <w:proofErr w:type="spellEnd"/>
      <w:r w:rsidRPr="00D37805">
        <w:rPr>
          <w:rStyle w:val="markedcontent"/>
        </w:rPr>
        <w:t xml:space="preserve"> разрешения измерительного устройства.</w:t>
      </w:r>
    </w:p>
    <w:p w14:paraId="7177191E" w14:textId="61954892" w:rsidR="00E12C5F" w:rsidRPr="008D53B6" w:rsidRDefault="0035343C" w:rsidP="0035343C">
      <w:pPr>
        <w:spacing w:before="240"/>
        <w:jc w:val="center"/>
      </w:pPr>
      <w:r w:rsidRPr="00AB5247">
        <w:rPr>
          <w:rStyle w:val="markedcontent"/>
          <w:rFonts w:asciiTheme="majorBidi" w:eastAsia="SimSun" w:hAnsiTheme="majorBidi" w:cstheme="majorBidi"/>
          <w:u w:val="single"/>
        </w:rPr>
        <w:tab/>
      </w:r>
      <w:r w:rsidRPr="00AB5247">
        <w:rPr>
          <w:rStyle w:val="markedcontent"/>
          <w:rFonts w:asciiTheme="majorBidi" w:eastAsia="SimSun" w:hAnsiTheme="majorBidi" w:cstheme="majorBidi"/>
          <w:u w:val="single"/>
        </w:rPr>
        <w:tab/>
      </w:r>
      <w:r w:rsidRPr="00AB5247">
        <w:rPr>
          <w:rStyle w:val="markedcontent"/>
          <w:rFonts w:asciiTheme="majorBidi" w:eastAsia="SimSun" w:hAnsiTheme="majorBidi" w:cstheme="majorBidi"/>
          <w:u w:val="single"/>
        </w:rPr>
        <w:tab/>
      </w:r>
      <w:bookmarkEnd w:id="2"/>
    </w:p>
    <w:sectPr w:rsidR="00E12C5F" w:rsidRPr="008D53B6" w:rsidSect="003534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1A3E" w14:textId="77777777" w:rsidR="00FE6C4F" w:rsidRPr="00A312BC" w:rsidRDefault="00FE6C4F" w:rsidP="00A312BC"/>
  </w:endnote>
  <w:endnote w:type="continuationSeparator" w:id="0">
    <w:p w14:paraId="493A48D3" w14:textId="77777777" w:rsidR="00FE6C4F" w:rsidRPr="00A312BC" w:rsidRDefault="00FE6C4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2F07" w14:textId="32AF13DA" w:rsidR="0035343C" w:rsidRPr="0035343C" w:rsidRDefault="0035343C">
    <w:pPr>
      <w:pStyle w:val="a8"/>
    </w:pPr>
    <w:r w:rsidRPr="0035343C">
      <w:rPr>
        <w:b/>
        <w:sz w:val="18"/>
      </w:rPr>
      <w:fldChar w:fldCharType="begin"/>
    </w:r>
    <w:r w:rsidRPr="0035343C">
      <w:rPr>
        <w:b/>
        <w:sz w:val="18"/>
      </w:rPr>
      <w:instrText xml:space="preserve"> PAGE  \* MERGEFORMAT </w:instrText>
    </w:r>
    <w:r w:rsidRPr="0035343C">
      <w:rPr>
        <w:b/>
        <w:sz w:val="18"/>
      </w:rPr>
      <w:fldChar w:fldCharType="separate"/>
    </w:r>
    <w:r w:rsidRPr="0035343C">
      <w:rPr>
        <w:b/>
        <w:noProof/>
        <w:sz w:val="18"/>
      </w:rPr>
      <w:t>2</w:t>
    </w:r>
    <w:r w:rsidRPr="0035343C">
      <w:rPr>
        <w:b/>
        <w:sz w:val="18"/>
      </w:rPr>
      <w:fldChar w:fldCharType="end"/>
    </w:r>
    <w:r>
      <w:rPr>
        <w:b/>
        <w:sz w:val="18"/>
      </w:rPr>
      <w:tab/>
    </w:r>
    <w:r>
      <w:t>GE.22-14845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B193" w14:textId="09EB3A97" w:rsidR="0035343C" w:rsidRPr="0035343C" w:rsidRDefault="0035343C" w:rsidP="0035343C">
    <w:pPr>
      <w:pStyle w:val="a8"/>
      <w:tabs>
        <w:tab w:val="clear" w:pos="9639"/>
        <w:tab w:val="right" w:pos="9638"/>
      </w:tabs>
      <w:rPr>
        <w:b/>
        <w:sz w:val="18"/>
      </w:rPr>
    </w:pPr>
    <w:r>
      <w:t>GE.22-14845</w:t>
    </w:r>
    <w:r>
      <w:tab/>
    </w:r>
    <w:r w:rsidRPr="0035343C">
      <w:rPr>
        <w:b/>
        <w:sz w:val="18"/>
      </w:rPr>
      <w:fldChar w:fldCharType="begin"/>
    </w:r>
    <w:r w:rsidRPr="0035343C">
      <w:rPr>
        <w:b/>
        <w:sz w:val="18"/>
      </w:rPr>
      <w:instrText xml:space="preserve"> PAGE  \* MERGEFORMAT </w:instrText>
    </w:r>
    <w:r w:rsidRPr="0035343C">
      <w:rPr>
        <w:b/>
        <w:sz w:val="18"/>
      </w:rPr>
      <w:fldChar w:fldCharType="separate"/>
    </w:r>
    <w:r w:rsidRPr="0035343C">
      <w:rPr>
        <w:b/>
        <w:noProof/>
        <w:sz w:val="18"/>
      </w:rPr>
      <w:t>3</w:t>
    </w:r>
    <w:r w:rsidRPr="003534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86C5" w14:textId="49F887C6" w:rsidR="00042B72" w:rsidRPr="0035343C" w:rsidRDefault="0035343C" w:rsidP="0035343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4479BA" wp14:editId="04E6DF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14845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09AB46" wp14:editId="6961D34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181022  181022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45B2" w14:textId="77777777" w:rsidR="00FE6C4F" w:rsidRPr="001075E9" w:rsidRDefault="00FE6C4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17D3D8" w14:textId="77777777" w:rsidR="00FE6C4F" w:rsidRDefault="00FE6C4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F897034" w14:textId="3FF16C67" w:rsidR="0035343C" w:rsidRPr="00C10105" w:rsidRDefault="0035343C" w:rsidP="0035343C">
      <w:pPr>
        <w:pStyle w:val="ad"/>
      </w:pPr>
      <w:r>
        <w:tab/>
      </w:r>
      <w:r w:rsidRPr="0035343C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ООН </w:t>
      </w:r>
      <w:r>
        <w:br/>
        <w:t xml:space="preserve">в целях улучшения характеристик транспортных средств. Настоящий документ представлен 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EF2" w14:textId="64CC86BC" w:rsidR="0035343C" w:rsidRPr="0035343C" w:rsidRDefault="00633A8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ECE/TRANS/WP.29/GRSP/2022/15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DCB8" w14:textId="316E25B4" w:rsidR="0035343C" w:rsidRPr="0035343C" w:rsidRDefault="00633A8C" w:rsidP="0035343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ECE/TRANS/WP.29/GRSP/2022/15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4F"/>
    <w:rsid w:val="00033EE1"/>
    <w:rsid w:val="00042B72"/>
    <w:rsid w:val="000558BD"/>
    <w:rsid w:val="000B57E7"/>
    <w:rsid w:val="000B6373"/>
    <w:rsid w:val="000E4E5B"/>
    <w:rsid w:val="000F09DF"/>
    <w:rsid w:val="000F1548"/>
    <w:rsid w:val="000F61B2"/>
    <w:rsid w:val="001075E9"/>
    <w:rsid w:val="00115DFB"/>
    <w:rsid w:val="0014152F"/>
    <w:rsid w:val="00180183"/>
    <w:rsid w:val="0018024D"/>
    <w:rsid w:val="0018649F"/>
    <w:rsid w:val="00196389"/>
    <w:rsid w:val="001B3EF6"/>
    <w:rsid w:val="001C7998"/>
    <w:rsid w:val="001C7A89"/>
    <w:rsid w:val="001F2A2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343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3A8C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07EE8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4D4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C6C35"/>
  <w15:docId w15:val="{8EF7D130-5110-48C2-BC0A-FB63C536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35343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5343C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35343C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/>
      <w:sz w:val="22"/>
      <w:lang w:val="en-GB"/>
    </w:rPr>
  </w:style>
  <w:style w:type="character" w:customStyle="1" w:styleId="SingleTxtGChar">
    <w:name w:val="_ Single Txt_G Char"/>
    <w:basedOn w:val="a0"/>
    <w:link w:val="SingleTxtG"/>
    <w:qFormat/>
    <w:rsid w:val="0035343C"/>
    <w:rPr>
      <w:lang w:val="ru-RU" w:eastAsia="en-US"/>
    </w:rPr>
  </w:style>
  <w:style w:type="character" w:customStyle="1" w:styleId="markedcontent">
    <w:name w:val="markedcontent"/>
    <w:basedOn w:val="a0"/>
    <w:rsid w:val="0035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498</Words>
  <Characters>3585</Characters>
  <Application>Microsoft Office Word</Application>
  <DocSecurity>0</DocSecurity>
  <Lines>83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ECE/TRANS/WP.29/GRSP/2022/15</vt:lpstr>
      <vt:lpstr>A/</vt:lpstr>
      <vt:lpstr>A/</vt:lpstr>
    </vt:vector>
  </TitlesOfParts>
  <Company>DCM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ECE/TRANS/WP.29/GRSP/2022/15</dc:title>
  <dc:subject/>
  <dc:creator>Ekaterina SALYNSKAYA</dc:creator>
  <cp:keywords/>
  <cp:lastModifiedBy>Ekaterina Salynskaya</cp:lastModifiedBy>
  <cp:revision>3</cp:revision>
  <cp:lastPrinted>2022-10-18T13:46:00Z</cp:lastPrinted>
  <dcterms:created xsi:type="dcterms:W3CDTF">2022-10-18T13:46:00Z</dcterms:created>
  <dcterms:modified xsi:type="dcterms:W3CDTF">2022-10-18T13:46:00Z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