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419" w:tblpY="568"/>
        <w:tblOverlap w:val="never"/>
        <w:tblW w:w="9072" w:type="dxa"/>
        <w:tblLayout w:type="fixed"/>
        <w:tblCellMar>
          <w:left w:w="0" w:type="dxa"/>
          <w:right w:w="0" w:type="dxa"/>
        </w:tblCellMar>
        <w:tblLook w:val="01E0" w:firstRow="1" w:lastRow="1" w:firstColumn="1" w:lastColumn="1" w:noHBand="0" w:noVBand="0"/>
      </w:tblPr>
      <w:tblGrid>
        <w:gridCol w:w="9072"/>
      </w:tblGrid>
      <w:tr w:rsidR="00717408" w:rsidRPr="00655BD4" w14:paraId="733BC40E" w14:textId="77777777" w:rsidTr="00FA63B2">
        <w:trPr>
          <w:cantSplit/>
          <w:trHeight w:hRule="exact" w:val="851"/>
        </w:trPr>
        <w:tc>
          <w:tcPr>
            <w:tcW w:w="9072" w:type="dxa"/>
            <w:tcBorders>
              <w:bottom w:val="single" w:sz="4" w:space="0" w:color="auto"/>
            </w:tcBorders>
            <w:vAlign w:val="bottom"/>
          </w:tcPr>
          <w:p w14:paraId="30457239" w14:textId="58612640" w:rsidR="00717408" w:rsidRPr="00655BD4" w:rsidRDefault="00FA63B2" w:rsidP="00D660CB">
            <w:pPr>
              <w:jc w:val="right"/>
              <w:rPr>
                <w:b/>
                <w:sz w:val="40"/>
                <w:szCs w:val="40"/>
              </w:rPr>
            </w:pPr>
            <w:r w:rsidRPr="00655BD4">
              <w:rPr>
                <w:b/>
                <w:sz w:val="40"/>
                <w:szCs w:val="40"/>
              </w:rPr>
              <w:t>UN/SCEGHS/</w:t>
            </w:r>
            <w:r w:rsidR="00260117" w:rsidRPr="00655BD4">
              <w:rPr>
                <w:b/>
                <w:sz w:val="40"/>
                <w:szCs w:val="40"/>
              </w:rPr>
              <w:t>4</w:t>
            </w:r>
            <w:r w:rsidR="00647244" w:rsidRPr="00655BD4">
              <w:rPr>
                <w:b/>
                <w:sz w:val="40"/>
                <w:szCs w:val="40"/>
              </w:rPr>
              <w:t>3</w:t>
            </w:r>
            <w:r w:rsidRPr="00655BD4">
              <w:rPr>
                <w:b/>
                <w:sz w:val="40"/>
                <w:szCs w:val="40"/>
              </w:rPr>
              <w:t>/INF.</w:t>
            </w:r>
            <w:r w:rsidR="00116B96" w:rsidRPr="00655BD4">
              <w:rPr>
                <w:b/>
                <w:sz w:val="40"/>
                <w:szCs w:val="40"/>
              </w:rPr>
              <w:t>3</w:t>
            </w:r>
          </w:p>
        </w:tc>
      </w:tr>
      <w:tr w:rsidR="00717408" w:rsidRPr="00655BD4" w14:paraId="50374DD2" w14:textId="77777777" w:rsidTr="00FA63B2">
        <w:trPr>
          <w:cantSplit/>
          <w:trHeight w:hRule="exact" w:val="3114"/>
        </w:trPr>
        <w:tc>
          <w:tcPr>
            <w:tcW w:w="9072" w:type="dxa"/>
            <w:tcBorders>
              <w:top w:val="single" w:sz="4" w:space="0" w:color="auto"/>
            </w:tcBorders>
          </w:tcPr>
          <w:p w14:paraId="56DD34A3" w14:textId="77777777" w:rsidR="00717408" w:rsidRPr="00655BD4" w:rsidRDefault="00717408" w:rsidP="00FA63B2">
            <w:pPr>
              <w:spacing w:before="120"/>
              <w:rPr>
                <w:b/>
                <w:sz w:val="24"/>
                <w:szCs w:val="24"/>
              </w:rPr>
            </w:pPr>
            <w:r w:rsidRPr="00655BD4">
              <w:rPr>
                <w:b/>
                <w:sz w:val="24"/>
                <w:szCs w:val="24"/>
              </w:rPr>
              <w:t>Committee of Experts on the Transport of Dangerous Goods</w:t>
            </w:r>
            <w:r w:rsidRPr="00655BD4">
              <w:rPr>
                <w:b/>
                <w:sz w:val="24"/>
                <w:szCs w:val="24"/>
              </w:rPr>
              <w:br/>
              <w:t>and on the Globally Harmonized System of Classification</w:t>
            </w:r>
            <w:r w:rsidRPr="00655BD4">
              <w:rPr>
                <w:b/>
                <w:sz w:val="24"/>
                <w:szCs w:val="24"/>
              </w:rPr>
              <w:br/>
              <w:t>and Labelling of Chemicals</w:t>
            </w:r>
          </w:p>
          <w:p w14:paraId="7F392C40" w14:textId="036A1BD7" w:rsidR="00717408" w:rsidRPr="00655BD4" w:rsidRDefault="00FA63B2" w:rsidP="004108A7">
            <w:pPr>
              <w:tabs>
                <w:tab w:val="left" w:pos="7380"/>
              </w:tabs>
              <w:spacing w:before="120"/>
            </w:pPr>
            <w:r w:rsidRPr="00655BD4">
              <w:rPr>
                <w:b/>
                <w:lang w:val="en-US"/>
              </w:rPr>
              <w:t>Sub-Committee of Experts on the Globally Harmonized</w:t>
            </w:r>
            <w:r w:rsidRPr="00655BD4">
              <w:rPr>
                <w:b/>
                <w:lang w:val="en-US"/>
              </w:rPr>
              <w:br/>
              <w:t>System of Classification and Labelling of Chemicals</w:t>
            </w:r>
            <w:r w:rsidRPr="00655BD4">
              <w:t xml:space="preserve"> </w:t>
            </w:r>
            <w:r w:rsidR="00717408" w:rsidRPr="00655BD4">
              <w:tab/>
            </w:r>
            <w:r w:rsidR="00655BD4">
              <w:rPr>
                <w:b/>
                <w:bCs/>
              </w:rPr>
              <w:t>15 September</w:t>
            </w:r>
            <w:r w:rsidR="004108A7" w:rsidRPr="00655BD4">
              <w:rPr>
                <w:b/>
                <w:bCs/>
              </w:rPr>
              <w:t xml:space="preserve"> </w:t>
            </w:r>
            <w:r w:rsidR="009B11B2" w:rsidRPr="00655BD4">
              <w:rPr>
                <w:b/>
                <w:bCs/>
              </w:rPr>
              <w:t>202</w:t>
            </w:r>
            <w:r w:rsidR="004108A7" w:rsidRPr="00655BD4">
              <w:rPr>
                <w:b/>
                <w:bCs/>
              </w:rPr>
              <w:t>2</w:t>
            </w:r>
          </w:p>
          <w:p w14:paraId="0333227A" w14:textId="77777777" w:rsidR="00101999" w:rsidRPr="00655BD4" w:rsidRDefault="00101999" w:rsidP="00101999">
            <w:pPr>
              <w:spacing w:before="120"/>
              <w:rPr>
                <w:b/>
              </w:rPr>
            </w:pPr>
            <w:r w:rsidRPr="00655BD4">
              <w:rPr>
                <w:b/>
              </w:rPr>
              <w:t>Forty-third session</w:t>
            </w:r>
          </w:p>
          <w:p w14:paraId="28738570" w14:textId="77777777" w:rsidR="00116B96" w:rsidRPr="00655BD4" w:rsidRDefault="00116B96" w:rsidP="00116B96">
            <w:r w:rsidRPr="00655BD4">
              <w:t xml:space="preserve">Geneva, 7-9 December 2022 </w:t>
            </w:r>
          </w:p>
          <w:p w14:paraId="72D2F2ED" w14:textId="184770C0" w:rsidR="00116B96" w:rsidRPr="00655BD4" w:rsidRDefault="00116B96" w:rsidP="00116B96">
            <w:r w:rsidRPr="00655BD4">
              <w:t xml:space="preserve">Item </w:t>
            </w:r>
            <w:r w:rsidR="003143EF" w:rsidRPr="00655BD4">
              <w:t>3</w:t>
            </w:r>
            <w:r w:rsidRPr="00655BD4">
              <w:t xml:space="preserve"> (c) of the provisional agenda</w:t>
            </w:r>
          </w:p>
          <w:p w14:paraId="7F67E7DF" w14:textId="449F5D34" w:rsidR="00717408" w:rsidRPr="00655BD4" w:rsidRDefault="003143EF" w:rsidP="003143EF">
            <w:pPr>
              <w:spacing w:line="240" w:lineRule="exact"/>
            </w:pPr>
            <w:r w:rsidRPr="00655BD4">
              <w:rPr>
                <w:b/>
              </w:rPr>
              <w:t xml:space="preserve">Work on the Globally Harmonized System of Classification and </w:t>
            </w:r>
            <w:r w:rsidRPr="00655BD4">
              <w:rPr>
                <w:b/>
              </w:rPr>
              <w:br/>
              <w:t xml:space="preserve">Labelling of Chemicals: </w:t>
            </w:r>
            <w:r w:rsidR="00116B96" w:rsidRPr="00655BD4">
              <w:rPr>
                <w:b/>
              </w:rPr>
              <w:t xml:space="preserve">use of non-animal testing methods </w:t>
            </w:r>
            <w:r w:rsidRPr="00655BD4">
              <w:rPr>
                <w:b/>
              </w:rPr>
              <w:br/>
            </w:r>
            <w:r w:rsidR="00116B96" w:rsidRPr="00655BD4">
              <w:rPr>
                <w:b/>
              </w:rPr>
              <w:t>for classification of health hazards</w:t>
            </w:r>
          </w:p>
        </w:tc>
      </w:tr>
    </w:tbl>
    <w:p w14:paraId="0DAAB94F" w14:textId="77777777" w:rsidR="005C023D" w:rsidRPr="00CB7CF2" w:rsidRDefault="00760F29" w:rsidP="005C023D">
      <w:pPr>
        <w:pStyle w:val="HChG"/>
        <w:ind w:right="379"/>
        <w:jc w:val="both"/>
        <w:rPr>
          <w:rFonts w:eastAsia="MS Mincho"/>
          <w:lang w:eastAsia="ja-JP"/>
        </w:rPr>
      </w:pPr>
      <w:r w:rsidRPr="009E7ABD">
        <w:rPr>
          <w:rFonts w:eastAsia="MS Mincho"/>
          <w:lang w:val="en-US" w:eastAsia="ja-JP"/>
        </w:rPr>
        <w:tab/>
      </w:r>
      <w:r w:rsidR="00E97BCE" w:rsidRPr="009103F3">
        <w:rPr>
          <w:rFonts w:eastAsia="MS Mincho"/>
          <w:lang w:eastAsia="ja-JP"/>
        </w:rPr>
        <w:tab/>
      </w:r>
      <w:r w:rsidR="005C023D" w:rsidRPr="00CB7CF2">
        <w:rPr>
          <w:rFonts w:eastAsia="MS Mincho"/>
          <w:lang w:eastAsia="ja-JP"/>
        </w:rPr>
        <w:t xml:space="preserve">Revision of Chapter </w:t>
      </w:r>
      <w:r w:rsidR="005C023D" w:rsidRPr="00C16A4F">
        <w:rPr>
          <w:rFonts w:eastAsia="MS Mincho"/>
          <w:lang w:val="en-US" w:eastAsia="ja-JP"/>
        </w:rPr>
        <w:t>3.</w:t>
      </w:r>
      <w:r w:rsidR="005C023D">
        <w:rPr>
          <w:rFonts w:eastAsia="MS Mincho"/>
          <w:lang w:val="en-US" w:eastAsia="ja-JP"/>
        </w:rPr>
        <w:t>4</w:t>
      </w:r>
      <w:r w:rsidR="005C023D" w:rsidRPr="00C16A4F">
        <w:rPr>
          <w:rFonts w:eastAsia="MS Mincho"/>
          <w:lang w:val="en-US" w:eastAsia="ja-JP"/>
        </w:rPr>
        <w:t xml:space="preserve"> to fully</w:t>
      </w:r>
      <w:r w:rsidR="005C023D" w:rsidRPr="00C16A4F" w:rsidDel="00DA6B99">
        <w:rPr>
          <w:rFonts w:eastAsia="MS Mincho"/>
          <w:lang w:val="en-US" w:eastAsia="ja-JP"/>
        </w:rPr>
        <w:t xml:space="preserve"> </w:t>
      </w:r>
      <w:r w:rsidR="005C023D" w:rsidRPr="00C16A4F">
        <w:rPr>
          <w:rFonts w:eastAsia="MS Mincho"/>
          <w:lang w:val="en-US" w:eastAsia="ja-JP"/>
        </w:rPr>
        <w:t>incorporate non-animal test</w:t>
      </w:r>
      <w:r w:rsidR="005C023D">
        <w:rPr>
          <w:rFonts w:eastAsia="MS Mincho"/>
          <w:lang w:val="en-US" w:eastAsia="ja-JP"/>
        </w:rPr>
        <w:t>ing</w:t>
      </w:r>
      <w:r w:rsidR="005C023D" w:rsidRPr="00C16A4F">
        <w:rPr>
          <w:rFonts w:eastAsia="MS Mincho"/>
          <w:lang w:val="en-US" w:eastAsia="ja-JP"/>
        </w:rPr>
        <w:t xml:space="preserve"> methods</w:t>
      </w:r>
      <w:r w:rsidR="005C023D">
        <w:rPr>
          <w:rFonts w:eastAsia="MS Mincho"/>
          <w:lang w:val="en-US" w:eastAsia="ja-JP"/>
        </w:rPr>
        <w:t xml:space="preserve"> </w:t>
      </w:r>
      <w:r w:rsidR="005C023D">
        <w:t>for skin sensitization</w:t>
      </w:r>
      <w:r w:rsidR="005C023D">
        <w:rPr>
          <w:rFonts w:eastAsia="MS Mincho"/>
          <w:lang w:eastAsia="ja-JP"/>
        </w:rPr>
        <w:t xml:space="preserve"> </w:t>
      </w:r>
    </w:p>
    <w:p w14:paraId="6993BFEC" w14:textId="77777777" w:rsidR="005C023D" w:rsidRPr="00CB7CF2" w:rsidRDefault="005C023D" w:rsidP="005C023D">
      <w:pPr>
        <w:pStyle w:val="H1G"/>
        <w:ind w:right="379"/>
        <w:jc w:val="both"/>
      </w:pPr>
      <w:r w:rsidRPr="00CB7CF2">
        <w:tab/>
      </w:r>
      <w:r w:rsidRPr="00CB7CF2">
        <w:tab/>
        <w:t>Transmitted by the experts from the United Kingdom and the Netherlands on behalf of the Informal Working Group on the use of non-animal test</w:t>
      </w:r>
      <w:r>
        <w:t>ing</w:t>
      </w:r>
      <w:r w:rsidRPr="00CB7CF2">
        <w:t xml:space="preserve"> methods for classification of health </w:t>
      </w:r>
      <w:r>
        <w:t xml:space="preserve">and environmental </w:t>
      </w:r>
      <w:r w:rsidRPr="00CB7CF2">
        <w:t>hazards</w:t>
      </w:r>
    </w:p>
    <w:p w14:paraId="6436B1B9" w14:textId="77777777" w:rsidR="005C023D" w:rsidRDefault="005C023D" w:rsidP="005C023D">
      <w:pPr>
        <w:pStyle w:val="SingleTxtG"/>
        <w:ind w:right="521"/>
      </w:pPr>
      <w:r w:rsidRPr="00655BD4">
        <w:t>This informal document sets out the changes proposed in document ST/SG/AC.10/C.4/2022/14.</w:t>
      </w:r>
      <w:r w:rsidRPr="001720A7">
        <w:t xml:space="preserve"> </w:t>
      </w:r>
      <w:r>
        <w:t>Existing (unchanged) text is shown in black, with n</w:t>
      </w:r>
      <w:r w:rsidRPr="001720A7">
        <w:t xml:space="preserve">ew text, </w:t>
      </w:r>
      <w:r w:rsidRPr="0004745F">
        <w:t>including existing text moved to a new location</w:t>
      </w:r>
      <w:r w:rsidRPr="001720A7">
        <w:t xml:space="preserve"> within Chapter 3.</w:t>
      </w:r>
      <w:r>
        <w:t>4</w:t>
      </w:r>
      <w:r w:rsidRPr="001720A7">
        <w:t xml:space="preserve">, is shown in </w:t>
      </w:r>
      <w:r w:rsidRPr="001720A7">
        <w:rPr>
          <w:color w:val="0070C0"/>
        </w:rPr>
        <w:t>blue</w:t>
      </w:r>
      <w:r w:rsidRPr="001720A7">
        <w:t>. For clarity deleted text is not shown.</w:t>
      </w:r>
    </w:p>
    <w:p w14:paraId="744648AF" w14:textId="214D031D" w:rsidR="00512E3F" w:rsidRDefault="00512E3F" w:rsidP="005C023D">
      <w:pPr>
        <w:pStyle w:val="HChG"/>
        <w:ind w:right="379"/>
        <w:jc w:val="both"/>
      </w:pPr>
    </w:p>
    <w:p w14:paraId="7C5AD76A" w14:textId="475F5D6E" w:rsidR="0028150B" w:rsidRDefault="0028150B" w:rsidP="00512E3F">
      <w:pPr>
        <w:pStyle w:val="HChG"/>
        <w:ind w:right="521"/>
        <w:jc w:val="both"/>
      </w:pPr>
      <w:r>
        <w:br w:type="page"/>
      </w:r>
    </w:p>
    <w:p w14:paraId="6AA141D0" w14:textId="61998F11" w:rsidR="00891B72" w:rsidRPr="00E913A9" w:rsidRDefault="005C1828" w:rsidP="003143EF">
      <w:pPr>
        <w:pStyle w:val="HChG"/>
        <w:tabs>
          <w:tab w:val="clear" w:pos="851"/>
        </w:tabs>
        <w:ind w:left="0" w:right="119" w:firstLine="0"/>
        <w:jc w:val="center"/>
        <w:rPr>
          <w:bCs/>
          <w:szCs w:val="28"/>
        </w:rPr>
      </w:pPr>
      <w:r>
        <w:rPr>
          <w:bCs/>
          <w:szCs w:val="28"/>
        </w:rPr>
        <w:lastRenderedPageBreak/>
        <w:t>“</w:t>
      </w:r>
      <w:r w:rsidR="00891B72" w:rsidRPr="00E913A9">
        <w:rPr>
          <w:bCs/>
          <w:szCs w:val="28"/>
        </w:rPr>
        <w:t>CHAPTER 3.4</w:t>
      </w:r>
    </w:p>
    <w:p w14:paraId="4766C5B1" w14:textId="77777777" w:rsidR="00891B72" w:rsidRPr="00CB7CF2" w:rsidRDefault="00891B72" w:rsidP="003143EF">
      <w:pPr>
        <w:pStyle w:val="HChG"/>
        <w:ind w:right="95" w:hanging="141"/>
        <w:jc w:val="center"/>
        <w:rPr>
          <w:bCs/>
          <w:sz w:val="24"/>
          <w:szCs w:val="24"/>
        </w:rPr>
      </w:pPr>
      <w:r w:rsidRPr="00EC30C8">
        <w:rPr>
          <w:caps/>
        </w:rPr>
        <w:t>Respiratory or Skin Sensitization</w:t>
      </w:r>
      <w:r w:rsidRPr="00CB7CF2">
        <w:rPr>
          <w:bCs/>
          <w:sz w:val="24"/>
          <w:szCs w:val="24"/>
        </w:rPr>
        <w:t xml:space="preserve"> </w:t>
      </w:r>
    </w:p>
    <w:p w14:paraId="4CBAFE2D" w14:textId="77777777" w:rsidR="00891B72" w:rsidRPr="00402D4B" w:rsidRDefault="00891B72" w:rsidP="00891B72">
      <w:pPr>
        <w:pStyle w:val="GHSHeading3"/>
        <w:spacing w:before="480" w:after="240"/>
        <w:rPr>
          <w:sz w:val="20"/>
          <w:szCs w:val="20"/>
        </w:rPr>
      </w:pPr>
      <w:r w:rsidRPr="00402D4B">
        <w:rPr>
          <w:sz w:val="20"/>
          <w:szCs w:val="20"/>
        </w:rPr>
        <w:t>3.4.1</w:t>
      </w:r>
      <w:r w:rsidRPr="00402D4B">
        <w:rPr>
          <w:sz w:val="20"/>
          <w:szCs w:val="20"/>
        </w:rPr>
        <w:tab/>
        <w:t>Definitions and general considerations</w:t>
      </w:r>
    </w:p>
    <w:p w14:paraId="3CB5ED3F" w14:textId="77777777" w:rsidR="00891B72" w:rsidRPr="00A747FF" w:rsidRDefault="00891B72" w:rsidP="00891B72">
      <w:pPr>
        <w:keepNext/>
        <w:keepLines/>
        <w:tabs>
          <w:tab w:val="left" w:pos="1418"/>
        </w:tabs>
        <w:spacing w:after="240"/>
        <w:jc w:val="both"/>
      </w:pPr>
      <w:r w:rsidRPr="001F6CCA">
        <w:t>3.4.1.1</w:t>
      </w:r>
      <w:r w:rsidRPr="001F6CCA">
        <w:tab/>
      </w:r>
      <w:r w:rsidRPr="001F6CCA">
        <w:rPr>
          <w:i/>
        </w:rPr>
        <w:t>Respiratory sensitization</w:t>
      </w:r>
      <w:r w:rsidRPr="00A747FF">
        <w:t xml:space="preserve"> refers to hypersensitivity of the airways occurring after inhalation of a substance or a mixture.</w:t>
      </w:r>
    </w:p>
    <w:p w14:paraId="2A5B6F1E" w14:textId="77777777" w:rsidR="00891B72" w:rsidRPr="00A747FF" w:rsidRDefault="00891B72" w:rsidP="00891B72">
      <w:pPr>
        <w:pStyle w:val="GHS1stline"/>
      </w:pPr>
      <w:r w:rsidRPr="00A747FF">
        <w:rPr>
          <w:i/>
        </w:rPr>
        <w:t>Skin sensitization</w:t>
      </w:r>
      <w:r w:rsidRPr="00A747FF">
        <w:t xml:space="preserve"> refers to an allergic response occurring after skin contact with a substance or a mixture.</w:t>
      </w:r>
    </w:p>
    <w:p w14:paraId="10C29496" w14:textId="77777777" w:rsidR="00891B72" w:rsidRPr="00A747FF" w:rsidRDefault="00891B72" w:rsidP="00891B72">
      <w:pPr>
        <w:keepNext/>
        <w:keepLines/>
        <w:tabs>
          <w:tab w:val="left" w:pos="1418"/>
        </w:tabs>
        <w:spacing w:after="240"/>
        <w:jc w:val="both"/>
      </w:pPr>
      <w:r w:rsidRPr="00A747FF">
        <w:t>3.4.1.2</w:t>
      </w:r>
      <w:r w:rsidRPr="00A747FF">
        <w:tab/>
        <w:t xml:space="preserve">For the purpose of this chapter, sensitization includes two phases: the first phase is induction of specialized immunological memory in an individual by exposure to an allergen. The second phase is elicitation, </w:t>
      </w:r>
      <w:proofErr w:type="gramStart"/>
      <w:r w:rsidRPr="00A747FF">
        <w:t>i.e.</w:t>
      </w:r>
      <w:proofErr w:type="gramEnd"/>
      <w:r w:rsidRPr="00A747FF">
        <w:t xml:space="preserve"> production of a cell-mediated or antibody-mediated allergic response by exposure of a sensitized individual to an allergen. </w:t>
      </w:r>
    </w:p>
    <w:p w14:paraId="13CB0B4C" w14:textId="77777777" w:rsidR="00891B72" w:rsidRPr="001F6CCA" w:rsidRDefault="00891B72" w:rsidP="00891B72">
      <w:pPr>
        <w:pStyle w:val="GHSBodyText"/>
        <w:tabs>
          <w:tab w:val="clear" w:pos="1985"/>
          <w:tab w:val="left" w:pos="2127"/>
        </w:tabs>
        <w:rPr>
          <w:sz w:val="20"/>
        </w:rPr>
      </w:pPr>
      <w:r w:rsidRPr="001F6CCA">
        <w:rPr>
          <w:sz w:val="20"/>
        </w:rPr>
        <w:t>3.4.1.3</w:t>
      </w:r>
      <w:r w:rsidRPr="001F6CCA">
        <w:rPr>
          <w:sz w:val="20"/>
        </w:rPr>
        <w:tab/>
        <w:t xml:space="preserve">For respiratory sensitization, the pattern of induction followed by elicitation phases is </w:t>
      </w:r>
      <w:proofErr w:type="gramStart"/>
      <w:r w:rsidRPr="001F6CCA">
        <w:rPr>
          <w:sz w:val="20"/>
        </w:rPr>
        <w:t>shared in common</w:t>
      </w:r>
      <w:proofErr w:type="gramEnd"/>
      <w:r w:rsidRPr="001F6CCA">
        <w:rPr>
          <w:sz w:val="20"/>
        </w:rPr>
        <w:t xml:space="preserve"> with skin sensitization. For skin sensitization, an induction phase is required in which the immune system learns to react; clinical symptoms can then arise when subsequent exposure is sufficient to elicit a visible skin reaction (elicitation phase). As a consequence, predictive tests usually follow this pattern in which there is an induction phase, the response to which is measured by a standardized elicitation phase, typically involving a patch test. The local lymph node assay is the exception, directly measuring the induction response. Evidence of skin sensitization in humans normally is assessed by a diagnostic patch test. </w:t>
      </w:r>
    </w:p>
    <w:p w14:paraId="6F7D1D0D" w14:textId="77777777" w:rsidR="00891B72" w:rsidRPr="001F6CCA" w:rsidRDefault="00891B72" w:rsidP="00891B72">
      <w:pPr>
        <w:pStyle w:val="GHSBodyText"/>
        <w:tabs>
          <w:tab w:val="clear" w:pos="1985"/>
          <w:tab w:val="left" w:pos="2127"/>
        </w:tabs>
        <w:rPr>
          <w:sz w:val="20"/>
        </w:rPr>
      </w:pPr>
      <w:r w:rsidRPr="001F6CCA">
        <w:rPr>
          <w:sz w:val="20"/>
        </w:rPr>
        <w:t>3.4.1.4</w:t>
      </w:r>
      <w:r w:rsidRPr="001F6CCA">
        <w:rPr>
          <w:sz w:val="20"/>
        </w:rPr>
        <w:tab/>
        <w:t>Usually, for both skin and respiratory sensitization, lower levels are necessary for elicitation than are required for induction. Provisions for alerting sensitized individuals to the presence of a particular sensitizer in a mixture can be found in 3.4.4.2.</w:t>
      </w:r>
    </w:p>
    <w:p w14:paraId="2DD06FA3" w14:textId="77777777" w:rsidR="00891B72" w:rsidRPr="001F6CCA" w:rsidRDefault="00891B72" w:rsidP="00891B72">
      <w:pPr>
        <w:pStyle w:val="GHSBodyText"/>
        <w:tabs>
          <w:tab w:val="clear" w:pos="1985"/>
          <w:tab w:val="left" w:pos="2127"/>
        </w:tabs>
        <w:rPr>
          <w:sz w:val="20"/>
        </w:rPr>
      </w:pPr>
      <w:r w:rsidRPr="001F6CCA">
        <w:rPr>
          <w:sz w:val="20"/>
        </w:rPr>
        <w:t>3.4.1.5</w:t>
      </w:r>
      <w:r w:rsidRPr="001F6CCA">
        <w:rPr>
          <w:sz w:val="20"/>
        </w:rPr>
        <w:tab/>
        <w:t>The hazard class “respiratory or skin sensitization” is differentiated into:</w:t>
      </w:r>
    </w:p>
    <w:p w14:paraId="30579A0E" w14:textId="77777777" w:rsidR="00891B72" w:rsidRPr="001F6CCA" w:rsidRDefault="00891B72" w:rsidP="00891B72">
      <w:pPr>
        <w:pStyle w:val="GHSSubparas1"/>
        <w:ind w:left="1985"/>
        <w:rPr>
          <w:szCs w:val="20"/>
        </w:rPr>
      </w:pPr>
      <w:r w:rsidRPr="001F6CCA">
        <w:rPr>
          <w:szCs w:val="20"/>
        </w:rPr>
        <w:t>(a)</w:t>
      </w:r>
      <w:r w:rsidRPr="001F6CCA">
        <w:rPr>
          <w:szCs w:val="20"/>
        </w:rPr>
        <w:tab/>
        <w:t>Respiratory sensitization; and</w:t>
      </w:r>
    </w:p>
    <w:p w14:paraId="2BBDDCC2" w14:textId="77777777" w:rsidR="00891B72" w:rsidRDefault="00891B72" w:rsidP="00891B72">
      <w:pPr>
        <w:pStyle w:val="GHSSubparas1"/>
        <w:ind w:left="1985"/>
      </w:pPr>
      <w:r w:rsidRPr="001F6CCA">
        <w:rPr>
          <w:szCs w:val="20"/>
        </w:rPr>
        <w:t>(b)</w:t>
      </w:r>
      <w:r w:rsidRPr="001F6CCA">
        <w:rPr>
          <w:szCs w:val="20"/>
        </w:rPr>
        <w:tab/>
        <w:t>Skin sensitization</w:t>
      </w:r>
    </w:p>
    <w:p w14:paraId="2DCAD7DE" w14:textId="77777777" w:rsidR="00891B72" w:rsidRPr="00402D4B" w:rsidRDefault="00891B72" w:rsidP="00891B72">
      <w:pPr>
        <w:pStyle w:val="GHSHeading3"/>
        <w:spacing w:after="240"/>
        <w:rPr>
          <w:sz w:val="20"/>
          <w:szCs w:val="20"/>
        </w:rPr>
      </w:pPr>
      <w:r w:rsidRPr="00402D4B">
        <w:rPr>
          <w:sz w:val="20"/>
          <w:szCs w:val="20"/>
        </w:rPr>
        <w:t>3.4.2</w:t>
      </w:r>
      <w:r w:rsidRPr="00402D4B">
        <w:rPr>
          <w:sz w:val="20"/>
          <w:szCs w:val="20"/>
        </w:rPr>
        <w:tab/>
        <w:t>Classification criteria for substances</w:t>
      </w:r>
    </w:p>
    <w:p w14:paraId="59C82DDF" w14:textId="77777777" w:rsidR="00891B72" w:rsidRPr="00402D4B" w:rsidRDefault="00891B72" w:rsidP="00891B72">
      <w:pPr>
        <w:pStyle w:val="StyleGHSHeading410pt"/>
      </w:pPr>
      <w:r w:rsidRPr="00402D4B">
        <w:t>3.4.2.1</w:t>
      </w:r>
      <w:r w:rsidRPr="00402D4B">
        <w:tab/>
      </w:r>
      <w:r w:rsidRPr="00402D4B">
        <w:rPr>
          <w:i/>
        </w:rPr>
        <w:t>Respiratory sensitizers</w:t>
      </w:r>
    </w:p>
    <w:p w14:paraId="6F94B620" w14:textId="77777777" w:rsidR="00891B72" w:rsidRPr="00402D4B" w:rsidRDefault="00891B72" w:rsidP="00891B72">
      <w:pPr>
        <w:pStyle w:val="GHSHeading5"/>
        <w:tabs>
          <w:tab w:val="clear" w:pos="1985"/>
          <w:tab w:val="clear" w:pos="2552"/>
          <w:tab w:val="clear" w:pos="3119"/>
          <w:tab w:val="clear" w:pos="3686"/>
        </w:tabs>
        <w:spacing w:after="240"/>
        <w:rPr>
          <w:sz w:val="20"/>
          <w:szCs w:val="20"/>
        </w:rPr>
      </w:pPr>
      <w:r w:rsidRPr="00402D4B">
        <w:rPr>
          <w:sz w:val="20"/>
          <w:szCs w:val="20"/>
        </w:rPr>
        <w:t>3.4.2.1.1</w:t>
      </w:r>
      <w:r w:rsidRPr="00402D4B">
        <w:rPr>
          <w:sz w:val="20"/>
          <w:szCs w:val="20"/>
        </w:rPr>
        <w:tab/>
      </w:r>
      <w:r w:rsidRPr="00402D4B">
        <w:rPr>
          <w:i/>
          <w:iCs/>
          <w:sz w:val="20"/>
          <w:szCs w:val="20"/>
        </w:rPr>
        <w:t>Hazard categories</w:t>
      </w:r>
    </w:p>
    <w:p w14:paraId="371BDBF7" w14:textId="77777777" w:rsidR="00891B72" w:rsidRPr="00402D4B" w:rsidRDefault="00891B72" w:rsidP="00891B72">
      <w:pPr>
        <w:pStyle w:val="GHSHeading5"/>
        <w:tabs>
          <w:tab w:val="clear" w:pos="1985"/>
          <w:tab w:val="clear" w:pos="2552"/>
          <w:tab w:val="clear" w:pos="3119"/>
          <w:tab w:val="clear" w:pos="3686"/>
        </w:tabs>
        <w:spacing w:after="240"/>
        <w:rPr>
          <w:sz w:val="20"/>
          <w:szCs w:val="20"/>
        </w:rPr>
      </w:pPr>
      <w:r w:rsidRPr="00402D4B">
        <w:rPr>
          <w:sz w:val="20"/>
          <w:szCs w:val="20"/>
        </w:rPr>
        <w:t>3.4.2.1.1.1</w:t>
      </w:r>
      <w:r w:rsidRPr="00402D4B">
        <w:rPr>
          <w:sz w:val="20"/>
          <w:szCs w:val="20"/>
        </w:rPr>
        <w:tab/>
        <w:t xml:space="preserve">Respiratory sensitizers shall be classified in Category 1 where sub-categorization is not required by a competent authority or where data are not sufficient for sub-categorization. </w:t>
      </w:r>
    </w:p>
    <w:p w14:paraId="42D273C3" w14:textId="77777777" w:rsidR="00891B72" w:rsidRPr="00402D4B" w:rsidRDefault="00891B72" w:rsidP="00891B72">
      <w:pPr>
        <w:tabs>
          <w:tab w:val="left" w:pos="1418"/>
        </w:tabs>
        <w:spacing w:after="240"/>
        <w:jc w:val="both"/>
      </w:pPr>
      <w:r w:rsidRPr="00402D4B">
        <w:t>3.4.2.1.1.2</w:t>
      </w:r>
      <w:r w:rsidRPr="00402D4B">
        <w:tab/>
        <w:t>Where data are sufficient and where required by a competent authority, a refined evaluation according to 3.4.2.1.1.3 allows the allocation of respiratory sensitizers into sub-category 1A, strong sensitizers, or sub-category 1B for other respiratory sensitizers.</w:t>
      </w:r>
    </w:p>
    <w:p w14:paraId="1EAFE24C" w14:textId="77777777" w:rsidR="00891B72" w:rsidRPr="00553F41" w:rsidRDefault="00891B72" w:rsidP="00891B72">
      <w:pPr>
        <w:tabs>
          <w:tab w:val="left" w:pos="1418"/>
        </w:tabs>
        <w:spacing w:after="200"/>
        <w:jc w:val="both"/>
      </w:pPr>
      <w:r w:rsidRPr="00553F41">
        <w:t>3.4.2.1.1.3</w:t>
      </w:r>
      <w:r w:rsidRPr="00553F41">
        <w:tab/>
        <w:t>Effects seen in either humans or animals will normally justify classification in a weight of evidence approach for respiratory sensitizers.  Substances may be allocated to one of the two sub-categories 1A or 1B using a weight of evidence approach in accordance with the criteria given in Table 3.4.1 and on the basis of reliable and good quality evidence from human cases or epidemiological studies and/or observations from appropriate studies in experimental animals.</w:t>
      </w:r>
    </w:p>
    <w:p w14:paraId="5C894B02" w14:textId="77777777" w:rsidR="00891B72" w:rsidRPr="00553F41" w:rsidRDefault="00891B72" w:rsidP="00891B72">
      <w:pPr>
        <w:keepNext/>
        <w:keepLines/>
        <w:spacing w:after="160"/>
        <w:jc w:val="center"/>
      </w:pPr>
      <w:r w:rsidRPr="00553F41">
        <w:rPr>
          <w:b/>
          <w:bCs/>
        </w:rPr>
        <w:t>Table 3.4.1:  Hazard category and sub-categories for respiratory sensitizers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560"/>
      </w:tblGrid>
      <w:tr w:rsidR="00891B72" w:rsidRPr="00553F41" w14:paraId="457AC730" w14:textId="77777777" w:rsidTr="007F4632">
        <w:tc>
          <w:tcPr>
            <w:tcW w:w="1980" w:type="dxa"/>
          </w:tcPr>
          <w:p w14:paraId="1A0F7DEB" w14:textId="77777777" w:rsidR="00891B72" w:rsidRPr="00553F41" w:rsidRDefault="00891B72" w:rsidP="007F4632">
            <w:pPr>
              <w:keepNext/>
              <w:keepLines/>
              <w:tabs>
                <w:tab w:val="left" w:pos="1418"/>
                <w:tab w:val="left" w:pos="1985"/>
                <w:tab w:val="left" w:pos="2552"/>
                <w:tab w:val="left" w:pos="3119"/>
                <w:tab w:val="left" w:pos="3686"/>
              </w:tabs>
              <w:spacing w:before="40" w:after="40"/>
              <w:rPr>
                <w:b/>
              </w:rPr>
            </w:pPr>
            <w:r w:rsidRPr="00553F41">
              <w:rPr>
                <w:b/>
              </w:rPr>
              <w:t xml:space="preserve">CATEGORY 1: </w:t>
            </w:r>
          </w:p>
        </w:tc>
        <w:tc>
          <w:tcPr>
            <w:tcW w:w="7560" w:type="dxa"/>
            <w:tcBorders>
              <w:bottom w:val="single" w:sz="4" w:space="0" w:color="auto"/>
            </w:tcBorders>
          </w:tcPr>
          <w:p w14:paraId="5F5E7351" w14:textId="77777777" w:rsidR="00891B72" w:rsidRPr="00553F41" w:rsidRDefault="00891B72" w:rsidP="007F4632">
            <w:pPr>
              <w:keepNext/>
              <w:keepLines/>
              <w:tabs>
                <w:tab w:val="left" w:pos="1418"/>
                <w:tab w:val="left" w:pos="1985"/>
                <w:tab w:val="left" w:pos="2552"/>
                <w:tab w:val="left" w:pos="3119"/>
                <w:tab w:val="left" w:pos="3686"/>
              </w:tabs>
              <w:spacing w:before="40" w:after="40"/>
              <w:jc w:val="center"/>
              <w:rPr>
                <w:b/>
              </w:rPr>
            </w:pPr>
            <w:r w:rsidRPr="00553F41">
              <w:rPr>
                <w:b/>
              </w:rPr>
              <w:t>Respiratory sensitizer</w:t>
            </w:r>
          </w:p>
        </w:tc>
      </w:tr>
      <w:tr w:rsidR="00891B72" w:rsidRPr="00553F41" w14:paraId="09F1C950" w14:textId="77777777" w:rsidTr="007F4632">
        <w:trPr>
          <w:trHeight w:val="1208"/>
        </w:trPr>
        <w:tc>
          <w:tcPr>
            <w:tcW w:w="1980" w:type="dxa"/>
          </w:tcPr>
          <w:p w14:paraId="12385156" w14:textId="77777777" w:rsidR="00891B72" w:rsidRPr="00553F41" w:rsidRDefault="00891B72" w:rsidP="007F4632">
            <w:pPr>
              <w:keepNext/>
              <w:keepLines/>
              <w:tabs>
                <w:tab w:val="left" w:pos="1985"/>
                <w:tab w:val="left" w:pos="2552"/>
                <w:tab w:val="left" w:pos="3119"/>
                <w:tab w:val="left" w:pos="3686"/>
              </w:tabs>
              <w:spacing w:before="40" w:after="40"/>
              <w:jc w:val="center"/>
              <w:rPr>
                <w:u w:val="single"/>
              </w:rPr>
            </w:pPr>
          </w:p>
        </w:tc>
        <w:tc>
          <w:tcPr>
            <w:tcW w:w="7560" w:type="dxa"/>
          </w:tcPr>
          <w:p w14:paraId="1594FC01" w14:textId="77777777" w:rsidR="00891B72" w:rsidRPr="00553F41" w:rsidRDefault="00891B72" w:rsidP="007F4632">
            <w:pPr>
              <w:keepNext/>
              <w:keepLines/>
              <w:tabs>
                <w:tab w:val="left" w:pos="1418"/>
                <w:tab w:val="left" w:pos="1985"/>
                <w:tab w:val="left" w:pos="2552"/>
                <w:tab w:val="left" w:pos="3119"/>
                <w:tab w:val="left" w:pos="3686"/>
              </w:tabs>
              <w:spacing w:before="40" w:after="40"/>
              <w:ind w:left="432" w:hanging="432"/>
              <w:jc w:val="both"/>
            </w:pPr>
            <w:r w:rsidRPr="00553F41">
              <w:t xml:space="preserve">A substance is classified as a respiratory sensitizer: </w:t>
            </w:r>
          </w:p>
          <w:p w14:paraId="0F9468D7" w14:textId="77777777" w:rsidR="00891B72" w:rsidRPr="00553F41" w:rsidRDefault="00891B72" w:rsidP="007F4632">
            <w:pPr>
              <w:keepNext/>
              <w:keepLines/>
              <w:tabs>
                <w:tab w:val="left" w:pos="1418"/>
                <w:tab w:val="left" w:pos="1985"/>
                <w:tab w:val="left" w:pos="2552"/>
                <w:tab w:val="left" w:pos="3119"/>
                <w:tab w:val="left" w:pos="3686"/>
              </w:tabs>
              <w:spacing w:before="40" w:after="40"/>
              <w:ind w:left="432" w:hanging="432"/>
              <w:jc w:val="both"/>
            </w:pPr>
            <w:r w:rsidRPr="00553F41">
              <w:t>(a)</w:t>
            </w:r>
            <w:r w:rsidRPr="00553F41">
              <w:tab/>
              <w:t xml:space="preserve">if there is evidence in humans that the substance can lead to specific respiratory hypersensitivity and/or </w:t>
            </w:r>
          </w:p>
          <w:p w14:paraId="4B86B59B" w14:textId="77777777" w:rsidR="00891B72" w:rsidRPr="00553F41" w:rsidRDefault="00891B72" w:rsidP="007F4632">
            <w:pPr>
              <w:keepNext/>
              <w:keepLines/>
              <w:tabs>
                <w:tab w:val="left" w:pos="1418"/>
                <w:tab w:val="left" w:pos="1985"/>
                <w:tab w:val="left" w:pos="2552"/>
                <w:tab w:val="left" w:pos="3119"/>
                <w:tab w:val="left" w:pos="3686"/>
              </w:tabs>
              <w:spacing w:before="40" w:after="40"/>
              <w:ind w:left="432" w:hanging="432"/>
              <w:jc w:val="both"/>
              <w:rPr>
                <w:u w:val="single"/>
              </w:rPr>
            </w:pPr>
            <w:r w:rsidRPr="00553F41">
              <w:t>(b)</w:t>
            </w:r>
            <w:r w:rsidRPr="00553F41">
              <w:tab/>
              <w:t>if there are positive results from an appropriate animal test</w:t>
            </w:r>
            <w:r w:rsidRPr="0000248F">
              <w:rPr>
                <w:rStyle w:val="FootnoteReference"/>
              </w:rPr>
              <w:footnoteReference w:id="2"/>
            </w:r>
            <w:r w:rsidRPr="00553F41">
              <w:t>.</w:t>
            </w:r>
          </w:p>
        </w:tc>
      </w:tr>
      <w:tr w:rsidR="00891B72" w:rsidRPr="00553F41" w14:paraId="63A4954E" w14:textId="77777777" w:rsidTr="007F4632">
        <w:trPr>
          <w:trHeight w:val="875"/>
        </w:trPr>
        <w:tc>
          <w:tcPr>
            <w:tcW w:w="1980" w:type="dxa"/>
          </w:tcPr>
          <w:p w14:paraId="1BC4B8EA" w14:textId="77777777" w:rsidR="00891B72" w:rsidRPr="00553F41" w:rsidRDefault="00891B72" w:rsidP="007F4632">
            <w:pPr>
              <w:keepNext/>
              <w:keepLines/>
              <w:tabs>
                <w:tab w:val="left" w:pos="1418"/>
                <w:tab w:val="left" w:pos="1985"/>
                <w:tab w:val="left" w:pos="2552"/>
                <w:tab w:val="left" w:pos="3119"/>
                <w:tab w:val="left" w:pos="3686"/>
              </w:tabs>
              <w:spacing w:before="40" w:after="40"/>
              <w:jc w:val="center"/>
              <w:rPr>
                <w:b/>
              </w:rPr>
            </w:pPr>
            <w:r w:rsidRPr="00553F41">
              <w:rPr>
                <w:b/>
              </w:rPr>
              <w:t>Sub-category 1A:</w:t>
            </w:r>
          </w:p>
        </w:tc>
        <w:tc>
          <w:tcPr>
            <w:tcW w:w="7560" w:type="dxa"/>
          </w:tcPr>
          <w:p w14:paraId="64F69AFC" w14:textId="77777777" w:rsidR="00891B72" w:rsidRPr="00553F41" w:rsidRDefault="00891B72" w:rsidP="007F4632">
            <w:pPr>
              <w:spacing w:before="40" w:after="40"/>
              <w:ind w:left="72" w:hanging="14"/>
              <w:jc w:val="both"/>
              <w:rPr>
                <w:b/>
              </w:rPr>
            </w:pPr>
            <w:r w:rsidRPr="00553F41">
              <w:t>Substances showing a high frequency of occurrence in humans; or a probability of occurrence of a high sensitization rate in humans based on animal or other tests</w:t>
            </w:r>
            <w:r w:rsidRPr="0056528E">
              <w:rPr>
                <w:vertAlign w:val="superscript"/>
              </w:rPr>
              <w:t>1</w:t>
            </w:r>
            <w:r w:rsidRPr="00553F41">
              <w:t>. Severity of reaction may also be considered.</w:t>
            </w:r>
          </w:p>
        </w:tc>
      </w:tr>
      <w:tr w:rsidR="00891B72" w:rsidRPr="00553F41" w14:paraId="2F8F208E" w14:textId="77777777" w:rsidTr="007F4632">
        <w:trPr>
          <w:trHeight w:val="863"/>
        </w:trPr>
        <w:tc>
          <w:tcPr>
            <w:tcW w:w="1980" w:type="dxa"/>
          </w:tcPr>
          <w:p w14:paraId="3C00B06C" w14:textId="77777777" w:rsidR="00891B72" w:rsidRPr="00553F41" w:rsidRDefault="00891B72" w:rsidP="007F4632">
            <w:pPr>
              <w:keepNext/>
              <w:keepLines/>
              <w:tabs>
                <w:tab w:val="left" w:pos="1418"/>
                <w:tab w:val="left" w:pos="1985"/>
                <w:tab w:val="left" w:pos="2552"/>
                <w:tab w:val="left" w:pos="3119"/>
                <w:tab w:val="left" w:pos="3686"/>
              </w:tabs>
              <w:spacing w:before="40" w:after="40"/>
              <w:jc w:val="center"/>
              <w:rPr>
                <w:b/>
              </w:rPr>
            </w:pPr>
            <w:r w:rsidRPr="00553F41">
              <w:rPr>
                <w:b/>
              </w:rPr>
              <w:t>Sub-category 1B:</w:t>
            </w:r>
          </w:p>
        </w:tc>
        <w:tc>
          <w:tcPr>
            <w:tcW w:w="7560" w:type="dxa"/>
          </w:tcPr>
          <w:p w14:paraId="017CE5F9" w14:textId="77777777" w:rsidR="00891B72" w:rsidRPr="00553F41" w:rsidRDefault="00891B72" w:rsidP="007F4632">
            <w:pPr>
              <w:spacing w:before="40" w:after="40"/>
              <w:jc w:val="both"/>
              <w:rPr>
                <w:b/>
              </w:rPr>
            </w:pPr>
            <w:r w:rsidRPr="00553F41">
              <w:rPr>
                <w:rStyle w:val="Strong"/>
              </w:rPr>
              <w:t>Substances showing a low to moderate frequency of occurrence in humans; or a probability of occurrence of a low to moderate sensitization rate in humans based on animal or other tests</w:t>
            </w:r>
            <w:r w:rsidRPr="00553F41">
              <w:rPr>
                <w:rStyle w:val="Strong"/>
                <w:vertAlign w:val="superscript"/>
              </w:rPr>
              <w:t>1</w:t>
            </w:r>
            <w:r w:rsidRPr="00553F41">
              <w:rPr>
                <w:rStyle w:val="Strong"/>
              </w:rPr>
              <w:t>. Severity of reaction may also be considered.</w:t>
            </w:r>
          </w:p>
        </w:tc>
      </w:tr>
    </w:tbl>
    <w:p w14:paraId="20E0A9AD" w14:textId="77777777" w:rsidR="00891B72" w:rsidRPr="00402D4B" w:rsidRDefault="00891B72" w:rsidP="00891B72">
      <w:pPr>
        <w:pStyle w:val="GHSHeading5"/>
        <w:tabs>
          <w:tab w:val="clear" w:pos="1418"/>
          <w:tab w:val="clear" w:pos="1985"/>
          <w:tab w:val="clear" w:pos="2552"/>
          <w:tab w:val="clear" w:pos="3119"/>
          <w:tab w:val="clear" w:pos="3686"/>
        </w:tabs>
        <w:spacing w:before="240" w:after="240"/>
        <w:ind w:left="1418" w:hanging="1418"/>
        <w:rPr>
          <w:sz w:val="20"/>
          <w:szCs w:val="20"/>
        </w:rPr>
      </w:pPr>
      <w:r w:rsidRPr="00402D4B">
        <w:rPr>
          <w:sz w:val="20"/>
          <w:szCs w:val="20"/>
        </w:rPr>
        <w:t>3.4.2.1.2</w:t>
      </w:r>
      <w:r w:rsidRPr="00402D4B">
        <w:rPr>
          <w:sz w:val="20"/>
          <w:szCs w:val="20"/>
        </w:rPr>
        <w:tab/>
      </w:r>
      <w:r w:rsidRPr="00402D4B">
        <w:rPr>
          <w:i/>
          <w:iCs/>
          <w:sz w:val="20"/>
          <w:szCs w:val="20"/>
        </w:rPr>
        <w:t>Human evidence</w:t>
      </w:r>
    </w:p>
    <w:p w14:paraId="65DA18C4" w14:textId="77777777" w:rsidR="00891B72" w:rsidRPr="00402D4B" w:rsidRDefault="00891B72" w:rsidP="00891B72">
      <w:pPr>
        <w:keepNext/>
        <w:keepLines/>
        <w:tabs>
          <w:tab w:val="left" w:pos="1418"/>
        </w:tabs>
        <w:spacing w:after="240"/>
        <w:jc w:val="both"/>
      </w:pPr>
      <w:r w:rsidRPr="00402D4B">
        <w:t>3.4.2.1.2.1</w:t>
      </w:r>
      <w:r w:rsidRPr="00402D4B">
        <w:tab/>
        <w:t xml:space="preserve">Evidence that a substance can </w:t>
      </w:r>
      <w:proofErr w:type="gramStart"/>
      <w:r w:rsidRPr="00402D4B">
        <w:t>lead</w:t>
      </w:r>
      <w:proofErr w:type="gramEnd"/>
      <w:r w:rsidRPr="00402D4B">
        <w:t xml:space="preserve"> to specific respiratory hypersensitivity will normally be based on human experience. In this context, hypersensitivity is normally seen as asthma, but other hypersensitivity reactions such as rhinitis/conjunctivitis and alveolitis are also considered. The condition will have the clinical character of an allergic reaction. However, immunological mechanisms do not have to be demonstrated.</w:t>
      </w:r>
    </w:p>
    <w:p w14:paraId="7AF50143" w14:textId="77777777" w:rsidR="00891B72" w:rsidRPr="00402D4B" w:rsidRDefault="00891B72" w:rsidP="00891B72">
      <w:pPr>
        <w:keepNext/>
        <w:keepLines/>
        <w:tabs>
          <w:tab w:val="left" w:pos="1418"/>
        </w:tabs>
        <w:spacing w:after="240"/>
        <w:jc w:val="both"/>
      </w:pPr>
      <w:r w:rsidRPr="00402D4B">
        <w:t>3.4.2.1.2.2</w:t>
      </w:r>
      <w:r w:rsidRPr="00402D4B">
        <w:tab/>
        <w:t xml:space="preserve">When considering the human evidence, it is necessary for a decision on classification to </w:t>
      </w:r>
      <w:proofErr w:type="gramStart"/>
      <w:r w:rsidRPr="00402D4B">
        <w:t>take into account</w:t>
      </w:r>
      <w:proofErr w:type="gramEnd"/>
      <w:r w:rsidRPr="00402D4B">
        <w:t>, in addition to the evidence from the cases:</w:t>
      </w:r>
    </w:p>
    <w:p w14:paraId="243E58A2" w14:textId="77777777" w:rsidR="00891B72" w:rsidRPr="00402D4B" w:rsidRDefault="00891B72" w:rsidP="00891B72">
      <w:pPr>
        <w:pStyle w:val="GHSSubparas1"/>
      </w:pPr>
      <w:r w:rsidRPr="00402D4B">
        <w:t>(a)</w:t>
      </w:r>
      <w:r w:rsidRPr="00402D4B">
        <w:tab/>
        <w:t xml:space="preserve">the size of the population </w:t>
      </w:r>
      <w:proofErr w:type="gramStart"/>
      <w:r w:rsidRPr="00402D4B">
        <w:t>exposed;</w:t>
      </w:r>
      <w:proofErr w:type="gramEnd"/>
    </w:p>
    <w:p w14:paraId="06DB0AE8" w14:textId="77777777" w:rsidR="00891B72" w:rsidRPr="00402D4B" w:rsidRDefault="00891B72" w:rsidP="00891B72">
      <w:pPr>
        <w:pStyle w:val="GHSSubparas1"/>
      </w:pPr>
      <w:r w:rsidRPr="00402D4B">
        <w:t>(b)</w:t>
      </w:r>
      <w:r w:rsidRPr="00402D4B">
        <w:tab/>
        <w:t>the extent of exposure.</w:t>
      </w:r>
    </w:p>
    <w:p w14:paraId="1C3E27C5" w14:textId="77777777" w:rsidR="00891B72" w:rsidRPr="00402D4B" w:rsidRDefault="00891B72" w:rsidP="00891B72">
      <w:pPr>
        <w:keepNext/>
        <w:keepLines/>
        <w:tabs>
          <w:tab w:val="left" w:pos="1418"/>
        </w:tabs>
        <w:spacing w:after="240"/>
      </w:pPr>
      <w:r w:rsidRPr="00402D4B">
        <w:t>3.4.2.1.2.3</w:t>
      </w:r>
      <w:r w:rsidRPr="00402D4B">
        <w:tab/>
        <w:t>The evidence referred to above could be:</w:t>
      </w:r>
    </w:p>
    <w:p w14:paraId="178880F8" w14:textId="77777777" w:rsidR="00891B72" w:rsidRPr="00402D4B" w:rsidRDefault="00891B72" w:rsidP="00891B72">
      <w:pPr>
        <w:pStyle w:val="GHSSubparas1"/>
      </w:pPr>
      <w:r w:rsidRPr="00402D4B">
        <w:t>(a)</w:t>
      </w:r>
      <w:r w:rsidRPr="00402D4B">
        <w:tab/>
        <w:t>clinical history and data from appropriate lung function tests related to exposure to the substance, confirmed by other supportive evidence which may include:</w:t>
      </w:r>
    </w:p>
    <w:p w14:paraId="6AC859BF" w14:textId="77777777" w:rsidR="00891B72" w:rsidRPr="00402D4B" w:rsidRDefault="00891B72" w:rsidP="00891B72">
      <w:pPr>
        <w:pStyle w:val="GHSSub2"/>
      </w:pPr>
      <w:r w:rsidRPr="00402D4B">
        <w:t>(i)</w:t>
      </w:r>
      <w:r w:rsidRPr="00402D4B">
        <w:tab/>
      </w:r>
      <w:r w:rsidRPr="00402D4B">
        <w:rPr>
          <w:i/>
          <w:iCs/>
        </w:rPr>
        <w:t>in vivo</w:t>
      </w:r>
      <w:r w:rsidRPr="00402D4B">
        <w:t xml:space="preserve"> immunological test (</w:t>
      </w:r>
      <w:proofErr w:type="gramStart"/>
      <w:r w:rsidRPr="00402D4B">
        <w:t>e.g.</w:t>
      </w:r>
      <w:proofErr w:type="gramEnd"/>
      <w:r w:rsidRPr="00402D4B">
        <w:t xml:space="preserve"> skin prick test);</w:t>
      </w:r>
    </w:p>
    <w:p w14:paraId="2327E24F" w14:textId="77777777" w:rsidR="00891B72" w:rsidRPr="00402D4B" w:rsidRDefault="00891B72" w:rsidP="00891B72">
      <w:pPr>
        <w:pStyle w:val="GHSSub2"/>
      </w:pPr>
      <w:r w:rsidRPr="00402D4B">
        <w:t>(ii)</w:t>
      </w:r>
      <w:r w:rsidRPr="00402D4B">
        <w:tab/>
      </w:r>
      <w:r w:rsidRPr="00402D4B">
        <w:rPr>
          <w:i/>
          <w:iCs/>
        </w:rPr>
        <w:t>in vitro</w:t>
      </w:r>
      <w:r w:rsidRPr="00402D4B">
        <w:t xml:space="preserve"> immunological test (</w:t>
      </w:r>
      <w:proofErr w:type="gramStart"/>
      <w:r w:rsidRPr="00402D4B">
        <w:t>e.g.</w:t>
      </w:r>
      <w:proofErr w:type="gramEnd"/>
      <w:r w:rsidRPr="00402D4B">
        <w:t xml:space="preserve"> serological analysis);</w:t>
      </w:r>
    </w:p>
    <w:p w14:paraId="4C21B628" w14:textId="77777777" w:rsidR="00891B72" w:rsidRPr="00402D4B" w:rsidRDefault="00891B72" w:rsidP="00891B72">
      <w:pPr>
        <w:pStyle w:val="GHSSub2"/>
      </w:pPr>
      <w:r w:rsidRPr="00402D4B">
        <w:t>(iii)</w:t>
      </w:r>
      <w:r w:rsidRPr="00402D4B">
        <w:tab/>
        <w:t xml:space="preserve">studies that may indicate other specific hypersensitivity reactions where immunological mechanisms of action have not been proven, </w:t>
      </w:r>
      <w:proofErr w:type="gramStart"/>
      <w:r w:rsidRPr="00402D4B">
        <w:t>e.g.</w:t>
      </w:r>
      <w:proofErr w:type="gramEnd"/>
      <w:r w:rsidRPr="00402D4B">
        <w:t xml:space="preserve"> repeated low-level irritation, pharmacologically mediated effects;</w:t>
      </w:r>
    </w:p>
    <w:p w14:paraId="445604FB" w14:textId="77777777" w:rsidR="00891B72" w:rsidRPr="00402D4B" w:rsidRDefault="00891B72" w:rsidP="00891B72">
      <w:pPr>
        <w:pStyle w:val="GHSSub2"/>
      </w:pPr>
      <w:r w:rsidRPr="00402D4B">
        <w:t>(iv)</w:t>
      </w:r>
      <w:r w:rsidRPr="00402D4B">
        <w:tab/>
        <w:t xml:space="preserve">a chemical structure related to substances known to cause respiratory </w:t>
      </w:r>
      <w:proofErr w:type="gramStart"/>
      <w:r w:rsidRPr="00402D4B">
        <w:t>hypersensitivity;</w:t>
      </w:r>
      <w:proofErr w:type="gramEnd"/>
    </w:p>
    <w:p w14:paraId="3309F2F7" w14:textId="77777777" w:rsidR="00891B72" w:rsidRPr="00402D4B" w:rsidRDefault="00891B72" w:rsidP="00891B72">
      <w:pPr>
        <w:pStyle w:val="GHSSubparas1"/>
      </w:pPr>
      <w:r w:rsidRPr="00402D4B">
        <w:t>(b)</w:t>
      </w:r>
      <w:r w:rsidRPr="00402D4B">
        <w:tab/>
        <w:t>data from positive bronchial challenge tests with the substance conducted according to accepted guidelines for the determination of a specific hypersensitivity reaction.</w:t>
      </w:r>
    </w:p>
    <w:p w14:paraId="1FBAC925" w14:textId="77777777" w:rsidR="00891B72" w:rsidRPr="00402D4B" w:rsidRDefault="00891B72" w:rsidP="00891B72">
      <w:pPr>
        <w:tabs>
          <w:tab w:val="left" w:pos="1418"/>
        </w:tabs>
        <w:spacing w:after="240"/>
        <w:jc w:val="both"/>
      </w:pPr>
      <w:r w:rsidRPr="00402D4B">
        <w:t>3.4.2.1.2.4</w:t>
      </w:r>
      <w:r w:rsidRPr="00402D4B">
        <w:tab/>
        <w:t>Clinical history should include both medical and occupational history to determine a relationship between exposure to a specific substance and development of respiratory hypersensitivity. Relevant information includes aggravating factors both in the home and workplace, the onset and progress of the disease, family history and medical history of the patient in question. The medical history should also include a note of other allergic or airway disorders from childhood, and smoking history.</w:t>
      </w:r>
    </w:p>
    <w:p w14:paraId="5BC35AFE" w14:textId="77777777" w:rsidR="00891B72" w:rsidRPr="00402D4B" w:rsidRDefault="00891B72" w:rsidP="00891B72">
      <w:pPr>
        <w:tabs>
          <w:tab w:val="left" w:pos="1418"/>
        </w:tabs>
        <w:spacing w:after="240"/>
        <w:jc w:val="both"/>
      </w:pPr>
      <w:r w:rsidRPr="00402D4B">
        <w:t>3.4.2.1.2.5</w:t>
      </w:r>
      <w:r w:rsidRPr="00402D4B">
        <w:tab/>
        <w:t>The results of positive bronchial challenge tests are considered to provide sufficient evidence for classification on their own.  It is however recognized that in practice many of the examinations listed above will already have been carried out.</w:t>
      </w:r>
    </w:p>
    <w:p w14:paraId="7086B835" w14:textId="77777777" w:rsidR="00891B72" w:rsidRPr="00402D4B" w:rsidRDefault="00891B72" w:rsidP="00891B72">
      <w:pPr>
        <w:pStyle w:val="GHSHeading5"/>
        <w:tabs>
          <w:tab w:val="clear" w:pos="1418"/>
          <w:tab w:val="clear" w:pos="1985"/>
          <w:tab w:val="clear" w:pos="2552"/>
          <w:tab w:val="clear" w:pos="3119"/>
          <w:tab w:val="clear" w:pos="3686"/>
        </w:tabs>
        <w:spacing w:after="240"/>
        <w:ind w:left="1418" w:hanging="1418"/>
        <w:rPr>
          <w:sz w:val="20"/>
          <w:szCs w:val="20"/>
        </w:rPr>
      </w:pPr>
      <w:r w:rsidRPr="00402D4B">
        <w:rPr>
          <w:sz w:val="20"/>
          <w:szCs w:val="20"/>
        </w:rPr>
        <w:t>3.4.2.1.3</w:t>
      </w:r>
      <w:r w:rsidRPr="00402D4B">
        <w:rPr>
          <w:sz w:val="20"/>
          <w:szCs w:val="20"/>
        </w:rPr>
        <w:tab/>
      </w:r>
      <w:r w:rsidRPr="00402D4B">
        <w:rPr>
          <w:i/>
          <w:iCs/>
          <w:sz w:val="20"/>
          <w:szCs w:val="20"/>
        </w:rPr>
        <w:t>Animal studies</w:t>
      </w:r>
    </w:p>
    <w:p w14:paraId="7B55C5B5" w14:textId="38D2532A" w:rsidR="00891B72" w:rsidRPr="00402D4B" w:rsidRDefault="00891B72" w:rsidP="00891B72">
      <w:pPr>
        <w:pStyle w:val="GHS1stline"/>
      </w:pPr>
      <w:r w:rsidRPr="00402D4B">
        <w:t>Data from appropriate animal studies</w:t>
      </w:r>
      <w:r w:rsidR="00AA46B2">
        <w:rPr>
          <w:rStyle w:val="FootnoteReference"/>
        </w:rPr>
        <w:footnoteReference w:customMarkFollows="1" w:id="3"/>
        <w:t>1</w:t>
      </w:r>
      <w:r w:rsidRPr="00402D4B">
        <w:t xml:space="preserve"> which may be indicative of the potential of a substance to cause sensitization by inhalation in humans</w:t>
      </w:r>
      <w:r w:rsidRPr="00DD13B1">
        <w:rPr>
          <w:vertAlign w:val="superscript"/>
        </w:rPr>
        <w:t>2</w:t>
      </w:r>
      <w:r w:rsidRPr="00402D4B">
        <w:rPr>
          <w:i/>
          <w:iCs/>
        </w:rPr>
        <w:t xml:space="preserve"> </w:t>
      </w:r>
      <w:r w:rsidRPr="00402D4B">
        <w:t>may include:</w:t>
      </w:r>
    </w:p>
    <w:p w14:paraId="248EA5B8" w14:textId="77777777" w:rsidR="00891B72" w:rsidRPr="00402D4B" w:rsidRDefault="00891B72" w:rsidP="00891B72">
      <w:pPr>
        <w:pStyle w:val="GHSSubparas1"/>
      </w:pPr>
      <w:r w:rsidRPr="00402D4B">
        <w:t>(a)</w:t>
      </w:r>
      <w:r w:rsidRPr="00402D4B">
        <w:tab/>
        <w:t>measurements of Immunoglobulin E (</w:t>
      </w:r>
      <w:proofErr w:type="spellStart"/>
      <w:r w:rsidRPr="00402D4B">
        <w:t>IgE</w:t>
      </w:r>
      <w:proofErr w:type="spellEnd"/>
      <w:r w:rsidRPr="00402D4B">
        <w:t xml:space="preserve">) and other specific immunological parameters, for example in </w:t>
      </w:r>
      <w:proofErr w:type="gramStart"/>
      <w:r w:rsidRPr="00402D4B">
        <w:t>mice;</w:t>
      </w:r>
      <w:proofErr w:type="gramEnd"/>
    </w:p>
    <w:p w14:paraId="0F784C27" w14:textId="77777777" w:rsidR="00891B72" w:rsidRPr="00402D4B" w:rsidRDefault="00891B72" w:rsidP="00891B72">
      <w:pPr>
        <w:pStyle w:val="GHSSubparas1"/>
        <w:rPr>
          <w:b/>
        </w:rPr>
      </w:pPr>
      <w:r w:rsidRPr="00402D4B">
        <w:t>(b)</w:t>
      </w:r>
      <w:r w:rsidRPr="00402D4B">
        <w:tab/>
        <w:t>specific pulmonary responses in guinea pigs.</w:t>
      </w:r>
    </w:p>
    <w:p w14:paraId="150E3283" w14:textId="77777777" w:rsidR="00891B72" w:rsidRPr="00402D4B" w:rsidRDefault="00891B72" w:rsidP="00891B72">
      <w:pPr>
        <w:pStyle w:val="StyleGHSHeading410pt"/>
      </w:pPr>
      <w:r w:rsidRPr="00402D4B">
        <w:t>3.4.2.2</w:t>
      </w:r>
      <w:r w:rsidRPr="00402D4B">
        <w:tab/>
      </w:r>
      <w:r w:rsidRPr="00402D4B">
        <w:rPr>
          <w:i/>
          <w:iCs/>
        </w:rPr>
        <w:t>Skin sensitizers</w:t>
      </w:r>
    </w:p>
    <w:p w14:paraId="5CB483DC" w14:textId="77777777" w:rsidR="00891B72" w:rsidRPr="00402D4B" w:rsidRDefault="00891B72" w:rsidP="00891B72">
      <w:pPr>
        <w:pStyle w:val="GHSHeading5"/>
        <w:widowControl/>
        <w:tabs>
          <w:tab w:val="clear" w:pos="1985"/>
          <w:tab w:val="clear" w:pos="2552"/>
          <w:tab w:val="clear" w:pos="3119"/>
          <w:tab w:val="clear" w:pos="3686"/>
        </w:tabs>
        <w:spacing w:after="240"/>
        <w:rPr>
          <w:sz w:val="20"/>
          <w:szCs w:val="20"/>
        </w:rPr>
      </w:pPr>
      <w:r w:rsidRPr="00402D4B">
        <w:rPr>
          <w:sz w:val="20"/>
          <w:szCs w:val="20"/>
        </w:rPr>
        <w:t>3.4.2.2.1</w:t>
      </w:r>
      <w:r w:rsidRPr="00402D4B">
        <w:rPr>
          <w:sz w:val="20"/>
          <w:szCs w:val="20"/>
        </w:rPr>
        <w:tab/>
      </w:r>
      <w:r w:rsidRPr="00402D4B">
        <w:rPr>
          <w:i/>
          <w:iCs/>
          <w:sz w:val="20"/>
          <w:szCs w:val="20"/>
        </w:rPr>
        <w:t>Hazard categories</w:t>
      </w:r>
    </w:p>
    <w:p w14:paraId="14337893" w14:textId="77777777" w:rsidR="00891B72" w:rsidRPr="00402D4B" w:rsidRDefault="00891B72" w:rsidP="00891B72">
      <w:pPr>
        <w:pStyle w:val="GHStext"/>
        <w:rPr>
          <w:lang w:val="en-GB"/>
        </w:rPr>
      </w:pPr>
      <w:r w:rsidRPr="00402D4B">
        <w:rPr>
          <w:lang w:val="en-GB"/>
        </w:rPr>
        <w:t>3.4.2.2.1.1</w:t>
      </w:r>
      <w:r w:rsidRPr="00402D4B">
        <w:rPr>
          <w:lang w:val="en-GB"/>
        </w:rPr>
        <w:tab/>
        <w:t xml:space="preserve">Skin sensitizers shall be classified in Category 1 where sub-categorization is not required by a competent authority or where data are not sufficient for sub-categorization. </w:t>
      </w:r>
    </w:p>
    <w:p w14:paraId="15A5573A" w14:textId="77777777" w:rsidR="00891B72" w:rsidRDefault="00891B72" w:rsidP="00891B72">
      <w:pPr>
        <w:pStyle w:val="GHStext"/>
        <w:rPr>
          <w:lang w:val="en-GB"/>
        </w:rPr>
      </w:pPr>
      <w:r w:rsidRPr="00402D4B">
        <w:rPr>
          <w:lang w:val="en-GB"/>
        </w:rPr>
        <w:t>3.4.2.2.1.2</w:t>
      </w:r>
      <w:r w:rsidRPr="00402D4B">
        <w:rPr>
          <w:lang w:val="en-GB"/>
        </w:rPr>
        <w:tab/>
        <w:t xml:space="preserve">Where data are sufficient and where required by a competent authority, a refined evaluation according to </w:t>
      </w:r>
      <w:r w:rsidRPr="001E12B2">
        <w:rPr>
          <w:color w:val="0070C0"/>
          <w:lang w:val="en-GB"/>
        </w:rPr>
        <w:t xml:space="preserve">3.4.2.2.2 – 3.4.2.2.6 </w:t>
      </w:r>
      <w:r w:rsidRPr="00954284">
        <w:rPr>
          <w:strike/>
          <w:lang w:val="en-GB"/>
        </w:rPr>
        <w:t>3.4.2.2.1</w:t>
      </w:r>
      <w:r>
        <w:rPr>
          <w:strike/>
          <w:lang w:val="en-GB"/>
        </w:rPr>
        <w:t>.3</w:t>
      </w:r>
      <w:r w:rsidRPr="00402D4B">
        <w:rPr>
          <w:lang w:val="en-GB"/>
        </w:rPr>
        <w:t xml:space="preserve"> allows the allocation of skin sensitizers into sub-category 1A, strong sensitizers, or sub-category 1B for other skin sensitizers.</w:t>
      </w:r>
      <w:r w:rsidDel="002D1B05">
        <w:rPr>
          <w:lang w:val="en-GB"/>
        </w:rPr>
        <w:t xml:space="preserve"> </w:t>
      </w:r>
    </w:p>
    <w:p w14:paraId="03100BEA" w14:textId="089EB6CC" w:rsidR="00891B72" w:rsidRPr="002233B3" w:rsidRDefault="00891B72" w:rsidP="00891B72">
      <w:pPr>
        <w:pStyle w:val="GHStext"/>
        <w:rPr>
          <w:color w:val="4F81BD" w:themeColor="accent1"/>
          <w:lang w:val="en-GB"/>
        </w:rPr>
      </w:pPr>
      <w:r w:rsidRPr="002233B3">
        <w:rPr>
          <w:color w:val="4F81BD" w:themeColor="accent1"/>
          <w:lang w:val="en-GB"/>
        </w:rPr>
        <w:t xml:space="preserve">3.4.2.2.1.3 </w:t>
      </w:r>
      <w:r w:rsidRPr="002233B3">
        <w:rPr>
          <w:color w:val="4F81BD" w:themeColor="accent1"/>
          <w:lang w:val="en-GB"/>
        </w:rPr>
        <w:tab/>
        <w:t xml:space="preserve">For classification of </w:t>
      </w:r>
      <w:r>
        <w:rPr>
          <w:color w:val="4F81BD" w:themeColor="accent1"/>
          <w:lang w:val="en-GB"/>
        </w:rPr>
        <w:t>skin sensitizers</w:t>
      </w:r>
      <w:r w:rsidRPr="002233B3">
        <w:rPr>
          <w:color w:val="4F81BD" w:themeColor="accent1"/>
          <w:lang w:val="en-GB"/>
        </w:rPr>
        <w:t xml:space="preserve">, all available and relevant information is collected and its quality in terms of adequacy and reliability is assessed. Classification should be based </w:t>
      </w:r>
      <w:r w:rsidRPr="006E1270">
        <w:rPr>
          <w:color w:val="4F81BD" w:themeColor="accent1"/>
          <w:lang w:val="en-GB"/>
        </w:rPr>
        <w:t>on mutually acceptable data/results</w:t>
      </w:r>
      <w:r w:rsidRPr="002233B3">
        <w:rPr>
          <w:color w:val="4F81BD" w:themeColor="accent1"/>
          <w:lang w:val="en-GB"/>
        </w:rPr>
        <w:t xml:space="preserve"> generated using methods and/or defined approaches that are validated according to international procedures. These include both OECD </w:t>
      </w:r>
      <w:r w:rsidR="00237AF0">
        <w:rPr>
          <w:color w:val="4F81BD" w:themeColor="accent1"/>
          <w:lang w:val="en-GB"/>
        </w:rPr>
        <w:t>g</w:t>
      </w:r>
      <w:r w:rsidRPr="002233B3">
        <w:rPr>
          <w:color w:val="4F81BD" w:themeColor="accent1"/>
          <w:lang w:val="en-GB"/>
        </w:rPr>
        <w:t xml:space="preserve">uidelines and </w:t>
      </w:r>
      <w:r w:rsidRPr="00684246">
        <w:rPr>
          <w:color w:val="4F81BD" w:themeColor="accent1"/>
          <w:lang w:val="en-GB"/>
        </w:rPr>
        <w:t>equivalent</w:t>
      </w:r>
      <w:r w:rsidRPr="002233B3">
        <w:rPr>
          <w:color w:val="4F81BD" w:themeColor="accent1"/>
          <w:lang w:val="en-GB"/>
        </w:rPr>
        <w:t xml:space="preserve"> methods/defined approaches (see 1.3.2.4.3). Sections 3.4.2.2.2 to 3.4.2.2.6 provide classification criteria for the different types of information that may be available.</w:t>
      </w:r>
    </w:p>
    <w:p w14:paraId="19A5BA32" w14:textId="77777777" w:rsidR="00891B72" w:rsidRPr="002233B3" w:rsidRDefault="00891B72" w:rsidP="00891B72">
      <w:pPr>
        <w:pStyle w:val="GHStext"/>
        <w:rPr>
          <w:color w:val="4F81BD" w:themeColor="accent1"/>
          <w:lang w:val="en-GB"/>
        </w:rPr>
      </w:pPr>
      <w:r w:rsidRPr="002233B3">
        <w:rPr>
          <w:color w:val="4F81BD" w:themeColor="accent1"/>
          <w:lang w:val="en-GB"/>
        </w:rPr>
        <w:t xml:space="preserve">3.4.2.2.1.4 </w:t>
      </w:r>
      <w:r w:rsidRPr="002233B3">
        <w:rPr>
          <w:color w:val="4F81BD" w:themeColor="accent1"/>
          <w:lang w:val="en-GB"/>
        </w:rPr>
        <w:tab/>
        <w:t xml:space="preserve">A tiered approach (see 3.4.2.2.7) organizes the available information on </w:t>
      </w:r>
      <w:r>
        <w:rPr>
          <w:color w:val="4F81BD" w:themeColor="accent1"/>
          <w:lang w:val="en-GB"/>
        </w:rPr>
        <w:t>skin sensitization</w:t>
      </w:r>
      <w:r w:rsidRPr="002233B3">
        <w:rPr>
          <w:color w:val="4F81BD" w:themeColor="accent1"/>
          <w:lang w:val="en-GB"/>
        </w:rPr>
        <w:t xml:space="preserve"> into levels/tiers and provides for decision-making in a structured and sequential manner. Classification results directly when the information consistently satisfies the criteria. However, where the available information gives inconsistent and/or conflicting results within a tier, classification of a substance is made </w:t>
      </w:r>
      <w:proofErr w:type="gramStart"/>
      <w:r w:rsidRPr="002233B3">
        <w:rPr>
          <w:color w:val="4F81BD" w:themeColor="accent1"/>
          <w:lang w:val="en-GB"/>
        </w:rPr>
        <w:t>on the basis of</w:t>
      </w:r>
      <w:proofErr w:type="gramEnd"/>
      <w:r w:rsidRPr="002233B3">
        <w:rPr>
          <w:color w:val="4F81BD" w:themeColor="accent1"/>
          <w:lang w:val="en-GB"/>
        </w:rPr>
        <w:t xml:space="preserve"> </w:t>
      </w:r>
      <w:r>
        <w:rPr>
          <w:color w:val="4F81BD" w:themeColor="accent1"/>
          <w:lang w:val="en-GB"/>
        </w:rPr>
        <w:t xml:space="preserve">the </w:t>
      </w:r>
      <w:r w:rsidRPr="002233B3">
        <w:rPr>
          <w:color w:val="4F81BD" w:themeColor="accent1"/>
          <w:lang w:val="en-GB"/>
        </w:rPr>
        <w:t>weight-of-evidence within that tier. In some cases whe</w:t>
      </w:r>
      <w:r>
        <w:rPr>
          <w:color w:val="4F81BD" w:themeColor="accent1"/>
          <w:lang w:val="en-GB"/>
        </w:rPr>
        <w:t>n</w:t>
      </w:r>
      <w:r w:rsidRPr="002233B3">
        <w:rPr>
          <w:color w:val="4F81BD" w:themeColor="accent1"/>
          <w:lang w:val="en-GB"/>
        </w:rPr>
        <w:t xml:space="preserve"> information from different tiers gives inconsistent and/or conflicting results (see 3.4.2.2.7.7) or where data </w:t>
      </w:r>
      <w:r>
        <w:rPr>
          <w:color w:val="4F81BD" w:themeColor="accent1"/>
          <w:lang w:val="en-GB"/>
        </w:rPr>
        <w:t xml:space="preserve">individually are </w:t>
      </w:r>
      <w:r w:rsidRPr="002233B3">
        <w:rPr>
          <w:color w:val="4F81BD" w:themeColor="accent1"/>
          <w:lang w:val="en-GB"/>
        </w:rPr>
        <w:t xml:space="preserve">insufficient to conclude on the classification, an overall weight of evidence assessment is used (see 3.4.2.2.7.6).  </w:t>
      </w:r>
    </w:p>
    <w:p w14:paraId="05E4CDC3" w14:textId="77777777" w:rsidR="00891B72" w:rsidRDefault="00891B72" w:rsidP="00891B72">
      <w:pPr>
        <w:pStyle w:val="GHStext"/>
        <w:rPr>
          <w:color w:val="4F81BD" w:themeColor="accent1"/>
        </w:rPr>
      </w:pPr>
      <w:r w:rsidRPr="00781D8D">
        <w:rPr>
          <w:color w:val="4F81BD" w:themeColor="accent1"/>
        </w:rPr>
        <w:t xml:space="preserve">3.4.2.2.1.5 </w:t>
      </w:r>
      <w:r w:rsidRPr="00781D8D">
        <w:rPr>
          <w:color w:val="4F81BD" w:themeColor="accent1"/>
        </w:rPr>
        <w:tab/>
      </w:r>
      <w:proofErr w:type="spellStart"/>
      <w:r w:rsidRPr="00781D8D">
        <w:rPr>
          <w:color w:val="4F81BD" w:themeColor="accent1"/>
        </w:rPr>
        <w:t>Guidance</w:t>
      </w:r>
      <w:proofErr w:type="spellEnd"/>
      <w:r w:rsidRPr="00781D8D">
        <w:rPr>
          <w:color w:val="4F81BD" w:themeColor="accent1"/>
        </w:rPr>
        <w:t xml:space="preserve"> </w:t>
      </w:r>
      <w:proofErr w:type="spellStart"/>
      <w:r w:rsidRPr="00781D8D">
        <w:rPr>
          <w:color w:val="4F81BD" w:themeColor="accent1"/>
        </w:rPr>
        <w:t>on</w:t>
      </w:r>
      <w:proofErr w:type="spellEnd"/>
      <w:r w:rsidRPr="00781D8D">
        <w:rPr>
          <w:color w:val="4F81BD" w:themeColor="accent1"/>
        </w:rPr>
        <w:t xml:space="preserve"> </w:t>
      </w:r>
      <w:proofErr w:type="spellStart"/>
      <w:r w:rsidRPr="00781D8D">
        <w:rPr>
          <w:color w:val="4F81BD" w:themeColor="accent1"/>
        </w:rPr>
        <w:t>the</w:t>
      </w:r>
      <w:proofErr w:type="spellEnd"/>
      <w:r w:rsidRPr="00781D8D">
        <w:rPr>
          <w:color w:val="4F81BD" w:themeColor="accent1"/>
        </w:rPr>
        <w:t xml:space="preserve"> </w:t>
      </w:r>
      <w:proofErr w:type="spellStart"/>
      <w:r w:rsidRPr="00781D8D">
        <w:rPr>
          <w:color w:val="4F81BD" w:themeColor="accent1"/>
        </w:rPr>
        <w:t>interpretation</w:t>
      </w:r>
      <w:proofErr w:type="spellEnd"/>
      <w:r w:rsidRPr="00781D8D">
        <w:rPr>
          <w:color w:val="4F81BD" w:themeColor="accent1"/>
        </w:rPr>
        <w:t xml:space="preserve"> of </w:t>
      </w:r>
      <w:proofErr w:type="spellStart"/>
      <w:r w:rsidRPr="00781D8D">
        <w:rPr>
          <w:color w:val="4F81BD" w:themeColor="accent1"/>
        </w:rPr>
        <w:t>criteria</w:t>
      </w:r>
      <w:proofErr w:type="spellEnd"/>
      <w:r w:rsidRPr="00781D8D">
        <w:rPr>
          <w:color w:val="4F81BD" w:themeColor="accent1"/>
        </w:rPr>
        <w:t xml:space="preserve"> and </w:t>
      </w:r>
      <w:proofErr w:type="spellStart"/>
      <w:r w:rsidRPr="00781D8D">
        <w:rPr>
          <w:color w:val="4F81BD" w:themeColor="accent1"/>
        </w:rPr>
        <w:t>references</w:t>
      </w:r>
      <w:proofErr w:type="spellEnd"/>
      <w:r w:rsidRPr="00781D8D">
        <w:rPr>
          <w:color w:val="4F81BD" w:themeColor="accent1"/>
        </w:rPr>
        <w:t xml:space="preserve"> </w:t>
      </w:r>
      <w:proofErr w:type="spellStart"/>
      <w:r w:rsidRPr="00781D8D">
        <w:rPr>
          <w:color w:val="4F81BD" w:themeColor="accent1"/>
        </w:rPr>
        <w:t>to</w:t>
      </w:r>
      <w:proofErr w:type="spellEnd"/>
      <w:r w:rsidRPr="00781D8D">
        <w:rPr>
          <w:color w:val="4F81BD" w:themeColor="accent1"/>
        </w:rPr>
        <w:t xml:space="preserve"> </w:t>
      </w:r>
      <w:proofErr w:type="spellStart"/>
      <w:r w:rsidRPr="00781D8D">
        <w:rPr>
          <w:color w:val="4F81BD" w:themeColor="accent1"/>
        </w:rPr>
        <w:t>relevant</w:t>
      </w:r>
      <w:proofErr w:type="spellEnd"/>
      <w:r w:rsidRPr="00781D8D">
        <w:rPr>
          <w:color w:val="4F81BD" w:themeColor="accent1"/>
        </w:rPr>
        <w:t xml:space="preserve"> </w:t>
      </w:r>
      <w:proofErr w:type="spellStart"/>
      <w:r w:rsidRPr="00781D8D">
        <w:rPr>
          <w:color w:val="4F81BD" w:themeColor="accent1"/>
        </w:rPr>
        <w:t>guidance</w:t>
      </w:r>
      <w:proofErr w:type="spellEnd"/>
      <w:r w:rsidRPr="00781D8D">
        <w:rPr>
          <w:color w:val="4F81BD" w:themeColor="accent1"/>
        </w:rPr>
        <w:t xml:space="preserve"> </w:t>
      </w:r>
      <w:proofErr w:type="spellStart"/>
      <w:r w:rsidRPr="00781D8D">
        <w:rPr>
          <w:color w:val="4F81BD" w:themeColor="accent1"/>
        </w:rPr>
        <w:t>documents</w:t>
      </w:r>
      <w:proofErr w:type="spellEnd"/>
      <w:r w:rsidRPr="00781D8D">
        <w:rPr>
          <w:color w:val="4F81BD" w:themeColor="accent1"/>
        </w:rPr>
        <w:t xml:space="preserve"> are </w:t>
      </w:r>
      <w:proofErr w:type="spellStart"/>
      <w:r w:rsidRPr="00781D8D">
        <w:rPr>
          <w:color w:val="4F81BD" w:themeColor="accent1"/>
        </w:rPr>
        <w:t>provided</w:t>
      </w:r>
      <w:proofErr w:type="spellEnd"/>
      <w:r w:rsidRPr="00781D8D">
        <w:rPr>
          <w:color w:val="4F81BD" w:themeColor="accent1"/>
        </w:rPr>
        <w:t xml:space="preserve"> in 3.4.5.3.</w:t>
      </w:r>
    </w:p>
    <w:p w14:paraId="35B661CB" w14:textId="77777777" w:rsidR="00891B72" w:rsidRPr="00453851" w:rsidRDefault="00891B72" w:rsidP="004214EF">
      <w:pPr>
        <w:spacing w:before="240" w:after="200"/>
        <w:ind w:left="1418" w:hanging="1418"/>
        <w:jc w:val="both"/>
        <w:rPr>
          <w:i/>
          <w:color w:val="0070C0"/>
        </w:rPr>
      </w:pPr>
      <w:r w:rsidRPr="00453851">
        <w:t>3.4.2.2.2</w:t>
      </w:r>
      <w:r w:rsidRPr="00453851">
        <w:tab/>
      </w:r>
      <w:r w:rsidRPr="00453851">
        <w:rPr>
          <w:i/>
          <w:iCs/>
          <w:color w:val="4F81BD" w:themeColor="accent1"/>
        </w:rPr>
        <w:t>Classification based on human data</w:t>
      </w:r>
      <w:r w:rsidRPr="00453851">
        <w:rPr>
          <w:i/>
          <w:color w:val="4F81BD" w:themeColor="accent1"/>
        </w:rPr>
        <w:t xml:space="preserve"> (Tier 1 in Figure 3.4.1)</w:t>
      </w:r>
    </w:p>
    <w:p w14:paraId="30D28C2D" w14:textId="77777777" w:rsidR="00891B72" w:rsidRPr="00402D4B" w:rsidRDefault="00891B72" w:rsidP="004214EF">
      <w:pPr>
        <w:spacing w:before="240" w:after="200"/>
        <w:jc w:val="both"/>
      </w:pPr>
      <w:r w:rsidRPr="007C14C0">
        <w:rPr>
          <w:color w:val="0070C0"/>
        </w:rPr>
        <w:t>3.4.2.2.2.1</w:t>
      </w:r>
      <w:r>
        <w:tab/>
      </w:r>
      <w:r w:rsidRPr="00781D8D">
        <w:rPr>
          <w:color w:val="4F81BD" w:themeColor="accent1"/>
        </w:rPr>
        <w:t>A substance is classified as a skin sensitizer in category 1 if there is evidence in humans that the substance can lead to sensitization by skin contact in a substantial number of persons.</w:t>
      </w:r>
    </w:p>
    <w:p w14:paraId="1858759D" w14:textId="77777777" w:rsidR="00891B72" w:rsidRPr="00402D4B" w:rsidRDefault="00891B72" w:rsidP="00217516">
      <w:pPr>
        <w:keepNext/>
        <w:keepLines/>
        <w:spacing w:after="200"/>
        <w:jc w:val="both"/>
      </w:pPr>
      <w:r w:rsidRPr="00402D4B">
        <w:t>3.4.2.2.2</w:t>
      </w:r>
      <w:r w:rsidRPr="007C14C0">
        <w:rPr>
          <w:color w:val="0070C0"/>
        </w:rPr>
        <w:t>.2</w:t>
      </w:r>
      <w:r w:rsidRPr="00402D4B">
        <w:tab/>
      </w:r>
      <w:r w:rsidRPr="00781D8D">
        <w:rPr>
          <w:color w:val="4F81BD" w:themeColor="accent1"/>
        </w:rPr>
        <w:t>Substances showing a high frequency of occurrence in humans, can be presumed to have the potential to produce significant sensitization and are classified in category 1A</w:t>
      </w:r>
      <w:r>
        <w:rPr>
          <w:color w:val="4F81BD" w:themeColor="accent1"/>
        </w:rPr>
        <w:t xml:space="preserve">. </w:t>
      </w:r>
      <w:r w:rsidRPr="00781D8D">
        <w:rPr>
          <w:color w:val="4F81BD" w:themeColor="accent1"/>
        </w:rPr>
        <w:t>Severity of reaction may also be considered</w:t>
      </w:r>
      <w:r w:rsidRPr="00400958">
        <w:rPr>
          <w:color w:val="0070C0"/>
        </w:rPr>
        <w:t>.</w:t>
      </w:r>
      <w:r w:rsidRPr="00416AA7">
        <w:rPr>
          <w:color w:val="FF0000"/>
        </w:rPr>
        <w:t xml:space="preserve"> </w:t>
      </w:r>
      <w:r w:rsidRPr="00402D4B">
        <w:t>Human evidence for sub-category 1A can include:</w:t>
      </w:r>
    </w:p>
    <w:p w14:paraId="14A4C4A8" w14:textId="2F577A7F" w:rsidR="00891B72" w:rsidRDefault="00891B72" w:rsidP="00891B72">
      <w:pPr>
        <w:pStyle w:val="GHStext"/>
        <w:ind w:left="1418"/>
      </w:pPr>
      <w:r w:rsidRPr="00402D4B">
        <w:t>(a)</w:t>
      </w:r>
      <w:r w:rsidRPr="00402D4B">
        <w:tab/>
        <w:t>positive responses at ≤ 500 µg/cm</w:t>
      </w:r>
      <w:r w:rsidR="00217516">
        <w:rPr>
          <w:rStyle w:val="FootnoteReference"/>
        </w:rPr>
        <w:footnoteReference w:id="4"/>
      </w:r>
      <w:r w:rsidRPr="00402D4B">
        <w:t xml:space="preserve"> (</w:t>
      </w:r>
      <w:r w:rsidRPr="001E12B2">
        <w:rPr>
          <w:color w:val="0070C0"/>
        </w:rPr>
        <w:t xml:space="preserve">Human </w:t>
      </w:r>
      <w:proofErr w:type="spellStart"/>
      <w:r w:rsidRPr="001E12B2">
        <w:rPr>
          <w:color w:val="0070C0"/>
        </w:rPr>
        <w:t>Repeated</w:t>
      </w:r>
      <w:proofErr w:type="spellEnd"/>
      <w:r w:rsidRPr="001E12B2">
        <w:rPr>
          <w:color w:val="0070C0"/>
        </w:rPr>
        <w:t xml:space="preserve"> </w:t>
      </w:r>
      <w:proofErr w:type="spellStart"/>
      <w:r w:rsidRPr="001E12B2">
        <w:rPr>
          <w:color w:val="0070C0"/>
        </w:rPr>
        <w:t>Insult</w:t>
      </w:r>
      <w:proofErr w:type="spellEnd"/>
      <w:r w:rsidRPr="001E12B2">
        <w:rPr>
          <w:color w:val="0070C0"/>
        </w:rPr>
        <w:t xml:space="preserve"> </w:t>
      </w:r>
      <w:proofErr w:type="spellStart"/>
      <w:r w:rsidRPr="001E12B2">
        <w:rPr>
          <w:color w:val="0070C0"/>
        </w:rPr>
        <w:t>Patch</w:t>
      </w:r>
      <w:proofErr w:type="spellEnd"/>
      <w:r w:rsidRPr="001E12B2">
        <w:rPr>
          <w:color w:val="0070C0"/>
        </w:rPr>
        <w:t xml:space="preserve"> Test (</w:t>
      </w:r>
      <w:r w:rsidRPr="00402D4B">
        <w:t>HRIPT</w:t>
      </w:r>
      <w:r w:rsidRPr="001E12B2">
        <w:rPr>
          <w:color w:val="0070C0"/>
        </w:rPr>
        <w:t xml:space="preserve">), Human </w:t>
      </w:r>
      <w:proofErr w:type="spellStart"/>
      <w:r w:rsidRPr="001E12B2">
        <w:rPr>
          <w:color w:val="0070C0"/>
        </w:rPr>
        <w:t>maximization</w:t>
      </w:r>
      <w:proofErr w:type="spellEnd"/>
      <w:r w:rsidRPr="001E12B2">
        <w:rPr>
          <w:color w:val="0070C0"/>
        </w:rPr>
        <w:t xml:space="preserve"> test (</w:t>
      </w:r>
      <w:r w:rsidRPr="00402D4B">
        <w:t>HMT</w:t>
      </w:r>
      <w:r w:rsidRPr="001E12B2">
        <w:rPr>
          <w:color w:val="0070C0"/>
        </w:rPr>
        <w:t>)</w:t>
      </w:r>
      <w:r w:rsidRPr="00402D4B">
        <w:t xml:space="preserve"> – </w:t>
      </w:r>
      <w:proofErr w:type="spellStart"/>
      <w:r w:rsidRPr="00402D4B">
        <w:t>induction</w:t>
      </w:r>
      <w:proofErr w:type="spellEnd"/>
      <w:r w:rsidRPr="00402D4B">
        <w:t xml:space="preserve"> </w:t>
      </w:r>
      <w:proofErr w:type="spellStart"/>
      <w:r w:rsidRPr="00402D4B">
        <w:t>threshold</w:t>
      </w:r>
      <w:proofErr w:type="spellEnd"/>
      <w:r w:rsidRPr="00402D4B">
        <w:t>);</w:t>
      </w:r>
    </w:p>
    <w:p w14:paraId="2A57A3DF" w14:textId="77777777" w:rsidR="00891B72" w:rsidRPr="00402D4B" w:rsidRDefault="00891B72" w:rsidP="00891B72">
      <w:pPr>
        <w:pStyle w:val="GHSSubparas1"/>
        <w:keepNext/>
        <w:keepLines/>
      </w:pPr>
      <w:r w:rsidRPr="00402D4B">
        <w:t>(b)</w:t>
      </w:r>
      <w:r w:rsidRPr="00402D4B">
        <w:tab/>
        <w:t xml:space="preserve">diagnostic patch test data where there is a relatively high and substantial incidence of reactions in a defined population in relation to relatively low </w:t>
      </w:r>
      <w:proofErr w:type="gramStart"/>
      <w:r w:rsidRPr="00402D4B">
        <w:t>exposure;</w:t>
      </w:r>
      <w:proofErr w:type="gramEnd"/>
    </w:p>
    <w:p w14:paraId="7F365AE1" w14:textId="77777777" w:rsidR="00891B72" w:rsidRPr="00402D4B" w:rsidRDefault="00891B72" w:rsidP="00891B72">
      <w:pPr>
        <w:pStyle w:val="GHSSubparas1"/>
        <w:keepNext/>
        <w:keepLines/>
      </w:pPr>
      <w:r w:rsidRPr="00402D4B">
        <w:t>(c)</w:t>
      </w:r>
      <w:r w:rsidRPr="00402D4B">
        <w:tab/>
        <w:t>other epidemiological evidence where there is a relatively high and substantial incidence of allergic contact dermatitis in relation to relatively low exposure.</w:t>
      </w:r>
    </w:p>
    <w:p w14:paraId="634964C5" w14:textId="77777777" w:rsidR="00891B72" w:rsidRPr="00402D4B" w:rsidRDefault="00891B72" w:rsidP="00891B72">
      <w:pPr>
        <w:keepNext/>
        <w:keepLines/>
        <w:spacing w:after="200"/>
        <w:jc w:val="both"/>
      </w:pPr>
      <w:r w:rsidRPr="00402D4B">
        <w:t>3.4.2.2.2.</w:t>
      </w:r>
      <w:r w:rsidRPr="00996BF2">
        <w:rPr>
          <w:color w:val="0070C0"/>
        </w:rPr>
        <w:t>3</w:t>
      </w:r>
      <w:r w:rsidRPr="00402D4B">
        <w:tab/>
      </w:r>
      <w:r w:rsidRPr="00781D8D">
        <w:rPr>
          <w:color w:val="4F81BD" w:themeColor="accent1"/>
        </w:rPr>
        <w:t xml:space="preserve">Substances showing a low to moderate frequency of occurrence in humans can be presumed to have the potential to produce sensitization and are classified in category 1B. Severity of reaction may also be considered. </w:t>
      </w:r>
      <w:r w:rsidRPr="00402D4B">
        <w:t>Human evidence for sub-category 1B can include:</w:t>
      </w:r>
    </w:p>
    <w:p w14:paraId="11ABBD4D" w14:textId="77777777" w:rsidR="00891B72" w:rsidRPr="00402D4B" w:rsidRDefault="00891B72" w:rsidP="00891B72">
      <w:pPr>
        <w:pStyle w:val="GHSSubparas1"/>
        <w:keepNext/>
        <w:keepLines/>
      </w:pPr>
      <w:r w:rsidRPr="00402D4B">
        <w:t>(a)</w:t>
      </w:r>
      <w:r w:rsidRPr="00402D4B">
        <w:tab/>
        <w:t>positive responses at &gt; 500 µg/cm</w:t>
      </w:r>
      <w:r w:rsidRPr="00402D4B">
        <w:rPr>
          <w:vertAlign w:val="superscript"/>
        </w:rPr>
        <w:t>2</w:t>
      </w:r>
      <w:r w:rsidRPr="00402D4B">
        <w:t xml:space="preserve"> (HRIPT, HMT – induction threshold</w:t>
      </w:r>
      <w:proofErr w:type="gramStart"/>
      <w:r w:rsidRPr="00402D4B">
        <w:t>);</w:t>
      </w:r>
      <w:proofErr w:type="gramEnd"/>
      <w:r w:rsidRPr="00402D4B">
        <w:t xml:space="preserve"> </w:t>
      </w:r>
    </w:p>
    <w:p w14:paraId="0489DD63" w14:textId="77777777" w:rsidR="00891B72" w:rsidRPr="00402D4B" w:rsidRDefault="00891B72" w:rsidP="00891B72">
      <w:pPr>
        <w:pStyle w:val="GHSSubparas1"/>
        <w:keepNext/>
        <w:keepLines/>
      </w:pPr>
      <w:r w:rsidRPr="00402D4B">
        <w:t>(b)</w:t>
      </w:r>
      <w:r w:rsidRPr="00402D4B">
        <w:tab/>
        <w:t xml:space="preserve">diagnostic patch test data where there is a relatively low but substantial incidence of reactions in a defined population in relation to relatively high </w:t>
      </w:r>
      <w:proofErr w:type="gramStart"/>
      <w:r w:rsidRPr="00402D4B">
        <w:t>exposure;</w:t>
      </w:r>
      <w:proofErr w:type="gramEnd"/>
    </w:p>
    <w:p w14:paraId="37FECB19" w14:textId="77777777" w:rsidR="00891B72" w:rsidRPr="00402D4B" w:rsidRDefault="00891B72" w:rsidP="00891B72">
      <w:pPr>
        <w:pStyle w:val="GHSSubparas1"/>
      </w:pPr>
      <w:r w:rsidRPr="00402D4B">
        <w:t>(c)</w:t>
      </w:r>
      <w:r w:rsidRPr="00402D4B">
        <w:tab/>
        <w:t>other epidemiological evidence where there is a relatively low but substantial incidence of allergic contact dermatitis in relation to relatively high exposure.</w:t>
      </w:r>
    </w:p>
    <w:p w14:paraId="44C25766" w14:textId="77777777" w:rsidR="00891B72" w:rsidRPr="00453851" w:rsidRDefault="00891B72" w:rsidP="00891B72">
      <w:pPr>
        <w:pStyle w:val="GHSHeading5"/>
        <w:keepNext w:val="0"/>
        <w:keepLines w:val="0"/>
        <w:tabs>
          <w:tab w:val="clear" w:pos="1985"/>
          <w:tab w:val="clear" w:pos="2552"/>
          <w:tab w:val="clear" w:pos="3119"/>
          <w:tab w:val="clear" w:pos="3686"/>
        </w:tabs>
        <w:spacing w:after="200"/>
        <w:rPr>
          <w:sz w:val="20"/>
          <w:szCs w:val="20"/>
        </w:rPr>
      </w:pPr>
      <w:r w:rsidRPr="00453851">
        <w:rPr>
          <w:sz w:val="20"/>
          <w:szCs w:val="20"/>
        </w:rPr>
        <w:t>3.4.2.2.3</w:t>
      </w:r>
      <w:r w:rsidRPr="00453851">
        <w:rPr>
          <w:sz w:val="20"/>
          <w:szCs w:val="20"/>
        </w:rPr>
        <w:tab/>
      </w:r>
      <w:r w:rsidRPr="00453851">
        <w:rPr>
          <w:i/>
          <w:iCs/>
          <w:color w:val="4F81BD" w:themeColor="accent1"/>
          <w:sz w:val="20"/>
          <w:szCs w:val="20"/>
        </w:rPr>
        <w:t>Classification based on standard animal data (Tier 1 in Figure 3.4.1)</w:t>
      </w:r>
    </w:p>
    <w:p w14:paraId="6E9FAB4F" w14:textId="77777777" w:rsidR="00891B72" w:rsidRPr="00402D4B" w:rsidRDefault="00891B72" w:rsidP="00891B72">
      <w:pPr>
        <w:tabs>
          <w:tab w:val="left" w:pos="1418"/>
        </w:tabs>
        <w:spacing w:after="200"/>
        <w:jc w:val="both"/>
      </w:pPr>
      <w:r w:rsidRPr="00402D4B">
        <w:t>3.4.2.2.3.1</w:t>
      </w:r>
      <w:r w:rsidRPr="00402D4B">
        <w:tab/>
      </w:r>
      <w:r w:rsidRPr="00781D8D">
        <w:rPr>
          <w:color w:val="4F81BD" w:themeColor="accent1"/>
        </w:rPr>
        <w:t xml:space="preserve">A substance is classified as a skin sensitizer if there </w:t>
      </w:r>
      <w:r w:rsidRPr="005F51CE">
        <w:rPr>
          <w:color w:val="4F81BD" w:themeColor="accent1"/>
        </w:rPr>
        <w:t xml:space="preserve">are positive results </w:t>
      </w:r>
      <w:r w:rsidRPr="00781D8D">
        <w:rPr>
          <w:color w:val="4F81BD" w:themeColor="accent1"/>
        </w:rPr>
        <w:t xml:space="preserve">from an appropriate animal test. </w:t>
      </w:r>
      <w:r w:rsidRPr="00402D4B">
        <w:t>For Category 1, when an adjuvant type test method for skin sensitization is used, a response of at least 30</w:t>
      </w:r>
      <w:r>
        <w:t> </w:t>
      </w:r>
      <w:r w:rsidRPr="00402D4B">
        <w:t xml:space="preserve">% of the animals is considered as positive. For a non-adjuvant Guinea pig test </w:t>
      </w:r>
      <w:proofErr w:type="gramStart"/>
      <w:r w:rsidRPr="00402D4B">
        <w:t>method</w:t>
      </w:r>
      <w:proofErr w:type="gramEnd"/>
      <w:r w:rsidRPr="00402D4B">
        <w:t xml:space="preserve"> a response of at least 15</w:t>
      </w:r>
      <w:r>
        <w:t> </w:t>
      </w:r>
      <w:r w:rsidRPr="00402D4B">
        <w:t xml:space="preserve">% of the animals is considered positive.  For Category 1, a stimulation index of three or more is considered a positive response in the local lymph node assay. Test methods for skin sensitization are described in the OECD Guideline 406 (the Guinea Pig Maximisation test and the Buehler guinea pig test) </w:t>
      </w:r>
      <w:r w:rsidRPr="00402D4B">
        <w:rPr>
          <w:spacing w:val="-2"/>
        </w:rPr>
        <w:t>and Guideline 429 (Local Lymph Node Assay)</w:t>
      </w:r>
      <w:r w:rsidRPr="00402D4B">
        <w:t xml:space="preserve">. Other methods may be used </w:t>
      </w:r>
      <w:proofErr w:type="gramStart"/>
      <w:r w:rsidRPr="00402D4B">
        <w:t>provided that</w:t>
      </w:r>
      <w:proofErr w:type="gramEnd"/>
      <w:r w:rsidRPr="00402D4B">
        <w:t xml:space="preserve"> they are well-validated and scientific justification is given.  </w:t>
      </w:r>
      <w:proofErr w:type="gramStart"/>
      <w:r w:rsidRPr="00402D4B">
        <w:t>The Mouse Ear Swelling Test (MEST),</w:t>
      </w:r>
      <w:proofErr w:type="gramEnd"/>
      <w:r w:rsidRPr="00402D4B">
        <w:t xml:space="preserve"> appears to be a reliable screening test to detect moderate to strong sensitizers, and can be used as a first stage in the assessment of skin sensitization potential.</w:t>
      </w:r>
    </w:p>
    <w:p w14:paraId="7E7BEBEF" w14:textId="77777777" w:rsidR="00891B72" w:rsidRPr="00402D4B" w:rsidRDefault="00891B72" w:rsidP="00891B72">
      <w:pPr>
        <w:tabs>
          <w:tab w:val="left" w:pos="1418"/>
        </w:tabs>
        <w:spacing w:after="160"/>
        <w:jc w:val="both"/>
      </w:pPr>
      <w:r w:rsidRPr="00402D4B">
        <w:t>3.4.2.2.3.2</w:t>
      </w:r>
      <w:r w:rsidRPr="00402D4B">
        <w:tab/>
      </w:r>
      <w:r w:rsidRPr="00781D8D">
        <w:rPr>
          <w:color w:val="4F81BD" w:themeColor="accent1"/>
        </w:rPr>
        <w:t>Substances showing a high potency in animals, can be presumed to have the potential to produce significant sensitization in humans and are classified in category 1A</w:t>
      </w:r>
      <w:r w:rsidRPr="00C92E6C">
        <w:rPr>
          <w:color w:val="0070C0"/>
        </w:rPr>
        <w:t>. Severity of reactions may also be considered</w:t>
      </w:r>
      <w:r w:rsidRPr="002A0D37">
        <w:t xml:space="preserve">. </w:t>
      </w:r>
      <w:r w:rsidRPr="00402D4B">
        <w:t>Animal test results for sub-category 1A can include data with values indicated in Table 3.4.</w:t>
      </w:r>
      <w:r w:rsidRPr="001F5621">
        <w:rPr>
          <w:color w:val="0070C0"/>
        </w:rPr>
        <w:t>2</w:t>
      </w:r>
      <w:r w:rsidRPr="00402D4B">
        <w:t xml:space="preserve"> below:</w:t>
      </w:r>
    </w:p>
    <w:p w14:paraId="731721F0" w14:textId="77777777" w:rsidR="00891B72" w:rsidRPr="00402D4B" w:rsidRDefault="00891B72" w:rsidP="00891B72">
      <w:pPr>
        <w:tabs>
          <w:tab w:val="left" w:pos="1418"/>
        </w:tabs>
        <w:spacing w:after="160"/>
        <w:jc w:val="center"/>
      </w:pPr>
      <w:r w:rsidRPr="00402D4B">
        <w:rPr>
          <w:b/>
          <w:bCs/>
        </w:rPr>
        <w:t>Table 3.4.</w:t>
      </w:r>
      <w:r w:rsidRPr="001F5621">
        <w:rPr>
          <w:b/>
          <w:bCs/>
          <w:color w:val="0070C0"/>
        </w:rPr>
        <w:t>2</w:t>
      </w:r>
      <w:r w:rsidRPr="00402D4B">
        <w:rPr>
          <w:b/>
          <w:bCs/>
        </w:rPr>
        <w:t>:  Animal test results for sub-category 1A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344"/>
      </w:tblGrid>
      <w:tr w:rsidR="00891B72" w:rsidRPr="00402D4B" w14:paraId="1F2A0761" w14:textId="77777777" w:rsidTr="007F4632">
        <w:tc>
          <w:tcPr>
            <w:tcW w:w="2880" w:type="dxa"/>
          </w:tcPr>
          <w:p w14:paraId="597DE69A" w14:textId="77777777" w:rsidR="00891B72" w:rsidRPr="00402D4B" w:rsidRDefault="00891B72" w:rsidP="007F4632">
            <w:pPr>
              <w:spacing w:before="20" w:after="20"/>
              <w:rPr>
                <w:b/>
                <w:bCs/>
              </w:rPr>
            </w:pPr>
            <w:r w:rsidRPr="00402D4B">
              <w:rPr>
                <w:b/>
                <w:bCs/>
              </w:rPr>
              <w:t>Assay</w:t>
            </w:r>
          </w:p>
        </w:tc>
        <w:tc>
          <w:tcPr>
            <w:tcW w:w="6660" w:type="dxa"/>
          </w:tcPr>
          <w:p w14:paraId="4E0489DF" w14:textId="77777777" w:rsidR="00891B72" w:rsidRPr="00402D4B" w:rsidRDefault="00891B72" w:rsidP="007F4632">
            <w:pPr>
              <w:spacing w:before="20" w:after="20"/>
              <w:jc w:val="center"/>
              <w:rPr>
                <w:b/>
                <w:bCs/>
              </w:rPr>
            </w:pPr>
            <w:r w:rsidRPr="00402D4B">
              <w:rPr>
                <w:b/>
                <w:bCs/>
              </w:rPr>
              <w:t>Criteria</w:t>
            </w:r>
          </w:p>
        </w:tc>
      </w:tr>
      <w:tr w:rsidR="00891B72" w:rsidRPr="00402D4B" w14:paraId="3389662B" w14:textId="77777777" w:rsidTr="007F4632">
        <w:tc>
          <w:tcPr>
            <w:tcW w:w="2880" w:type="dxa"/>
          </w:tcPr>
          <w:p w14:paraId="2A69E623" w14:textId="77777777" w:rsidR="00891B72" w:rsidRPr="00402D4B" w:rsidRDefault="00891B72" w:rsidP="007F4632">
            <w:pPr>
              <w:spacing w:before="20" w:after="20"/>
            </w:pPr>
            <w:r w:rsidRPr="00402D4B">
              <w:t>Local lymph node assay</w:t>
            </w:r>
          </w:p>
        </w:tc>
        <w:tc>
          <w:tcPr>
            <w:tcW w:w="6660" w:type="dxa"/>
          </w:tcPr>
          <w:p w14:paraId="3BAE94A6" w14:textId="77777777" w:rsidR="00891B72" w:rsidRPr="00402D4B" w:rsidRDefault="00891B72" w:rsidP="007F4632">
            <w:pPr>
              <w:spacing w:before="20" w:after="20"/>
            </w:pPr>
            <w:r w:rsidRPr="00402D4B">
              <w:t xml:space="preserve">EC3 value </w:t>
            </w:r>
            <w:r w:rsidRPr="00402D4B">
              <w:sym w:font="Symbol" w:char="F0A3"/>
            </w:r>
            <w:r w:rsidRPr="00402D4B">
              <w:t> 2</w:t>
            </w:r>
            <w:r>
              <w:t> </w:t>
            </w:r>
            <w:r w:rsidRPr="00402D4B">
              <w:t>%</w:t>
            </w:r>
          </w:p>
        </w:tc>
      </w:tr>
      <w:tr w:rsidR="00891B72" w:rsidRPr="00402D4B" w14:paraId="57845970" w14:textId="77777777" w:rsidTr="007F4632">
        <w:trPr>
          <w:trHeight w:val="502"/>
        </w:trPr>
        <w:tc>
          <w:tcPr>
            <w:tcW w:w="2880" w:type="dxa"/>
          </w:tcPr>
          <w:p w14:paraId="39214C80" w14:textId="77777777" w:rsidR="00891B72" w:rsidRPr="00402D4B" w:rsidRDefault="00891B72" w:rsidP="007F4632">
            <w:pPr>
              <w:spacing w:before="20" w:after="20"/>
            </w:pPr>
            <w:r w:rsidRPr="00402D4B">
              <w:t>Guinea pig maximisation test</w:t>
            </w:r>
          </w:p>
        </w:tc>
        <w:tc>
          <w:tcPr>
            <w:tcW w:w="6660" w:type="dxa"/>
          </w:tcPr>
          <w:p w14:paraId="4D808BE9" w14:textId="77777777" w:rsidR="00891B72" w:rsidRPr="00402D4B" w:rsidRDefault="00891B72" w:rsidP="007F4632">
            <w:pPr>
              <w:spacing w:before="20" w:after="20"/>
            </w:pPr>
            <w:r w:rsidRPr="00402D4B">
              <w:sym w:font="Symbol" w:char="F0B3"/>
            </w:r>
            <w:r w:rsidRPr="00402D4B">
              <w:t xml:space="preserve"> 30</w:t>
            </w:r>
            <w:r>
              <w:t> </w:t>
            </w:r>
            <w:r w:rsidRPr="00402D4B">
              <w:t xml:space="preserve">% responding at </w:t>
            </w:r>
            <w:r w:rsidRPr="00402D4B">
              <w:sym w:font="Symbol" w:char="F0A3"/>
            </w:r>
            <w:r w:rsidRPr="00402D4B">
              <w:t xml:space="preserve"> 0.1</w:t>
            </w:r>
            <w:r>
              <w:t> </w:t>
            </w:r>
            <w:r w:rsidRPr="00402D4B">
              <w:t xml:space="preserve">% intradermal induction dose </w:t>
            </w:r>
            <w:r w:rsidRPr="00402D4B">
              <w:rPr>
                <w:u w:val="single"/>
              </w:rPr>
              <w:t>or</w:t>
            </w:r>
            <w:r w:rsidRPr="00402D4B">
              <w:rPr>
                <w:u w:val="single"/>
              </w:rPr>
              <w:br/>
            </w:r>
            <w:r w:rsidRPr="00402D4B">
              <w:sym w:font="Symbol" w:char="F0B3"/>
            </w:r>
            <w:r w:rsidRPr="00402D4B">
              <w:t xml:space="preserve"> 60</w:t>
            </w:r>
            <w:r>
              <w:t> </w:t>
            </w:r>
            <w:r w:rsidRPr="00402D4B">
              <w:t>% responding at &gt;</w:t>
            </w:r>
            <w:r>
              <w:t> </w:t>
            </w:r>
            <w:r w:rsidRPr="00402D4B">
              <w:t>0.1</w:t>
            </w:r>
            <w:r>
              <w:t> </w:t>
            </w:r>
            <w:r w:rsidRPr="00402D4B">
              <w:t xml:space="preserve">% to </w:t>
            </w:r>
            <w:r w:rsidRPr="00402D4B">
              <w:sym w:font="Symbol" w:char="F0A3"/>
            </w:r>
            <w:r>
              <w:t> </w:t>
            </w:r>
            <w:r w:rsidRPr="00402D4B">
              <w:t>1</w:t>
            </w:r>
            <w:r>
              <w:t> </w:t>
            </w:r>
            <w:r w:rsidRPr="00402D4B">
              <w:t>% intradermal induction dose</w:t>
            </w:r>
          </w:p>
        </w:tc>
      </w:tr>
      <w:tr w:rsidR="00891B72" w:rsidRPr="00402D4B" w14:paraId="1607386F" w14:textId="77777777" w:rsidTr="007F4632">
        <w:tc>
          <w:tcPr>
            <w:tcW w:w="2880" w:type="dxa"/>
          </w:tcPr>
          <w:p w14:paraId="0B67F7D4" w14:textId="77777777" w:rsidR="00891B72" w:rsidRPr="00402D4B" w:rsidRDefault="00891B72" w:rsidP="007F4632">
            <w:pPr>
              <w:spacing w:before="20" w:after="20"/>
            </w:pPr>
            <w:r w:rsidRPr="00402D4B">
              <w:t>Buehler assay</w:t>
            </w:r>
          </w:p>
        </w:tc>
        <w:tc>
          <w:tcPr>
            <w:tcW w:w="6660" w:type="dxa"/>
          </w:tcPr>
          <w:p w14:paraId="2E9B4733" w14:textId="77777777" w:rsidR="00891B72" w:rsidRPr="00402D4B" w:rsidRDefault="00891B72" w:rsidP="007F4632">
            <w:pPr>
              <w:spacing w:before="20" w:after="20"/>
            </w:pPr>
            <w:r w:rsidRPr="00402D4B">
              <w:sym w:font="Symbol" w:char="F0B3"/>
            </w:r>
            <w:r w:rsidRPr="00402D4B">
              <w:t>15</w:t>
            </w:r>
            <w:r>
              <w:t> </w:t>
            </w:r>
            <w:r w:rsidRPr="00402D4B">
              <w:t xml:space="preserve">% responding at </w:t>
            </w:r>
            <w:r w:rsidRPr="00402D4B">
              <w:sym w:font="Symbol" w:char="F0A3"/>
            </w:r>
            <w:r>
              <w:t> </w:t>
            </w:r>
            <w:r w:rsidRPr="00402D4B">
              <w:t>0.2</w:t>
            </w:r>
            <w:r>
              <w:t> </w:t>
            </w:r>
            <w:r w:rsidRPr="00402D4B">
              <w:t xml:space="preserve">% topical induction dose </w:t>
            </w:r>
            <w:r w:rsidRPr="00402D4B">
              <w:rPr>
                <w:u w:val="single"/>
              </w:rPr>
              <w:t>or</w:t>
            </w:r>
            <w:r w:rsidRPr="00402D4B">
              <w:rPr>
                <w:u w:val="single"/>
              </w:rPr>
              <w:br/>
            </w:r>
            <w:r w:rsidRPr="00402D4B">
              <w:sym w:font="Symbol" w:char="F0B3"/>
            </w:r>
            <w:r w:rsidRPr="00402D4B">
              <w:t xml:space="preserve"> 60</w:t>
            </w:r>
            <w:r>
              <w:t> </w:t>
            </w:r>
            <w:r w:rsidRPr="00402D4B">
              <w:t>% responding at &gt;</w:t>
            </w:r>
            <w:r>
              <w:t> </w:t>
            </w:r>
            <w:r w:rsidRPr="00402D4B">
              <w:t>0.2</w:t>
            </w:r>
            <w:r>
              <w:t> </w:t>
            </w:r>
            <w:r w:rsidRPr="00402D4B">
              <w:t xml:space="preserve">% to </w:t>
            </w:r>
            <w:r w:rsidRPr="00402D4B">
              <w:sym w:font="Symbol" w:char="F0A3"/>
            </w:r>
            <w:r>
              <w:t> </w:t>
            </w:r>
            <w:r w:rsidRPr="00402D4B">
              <w:t>20</w:t>
            </w:r>
            <w:r>
              <w:t> </w:t>
            </w:r>
            <w:r w:rsidRPr="00402D4B">
              <w:t>% topical induction dose</w:t>
            </w:r>
          </w:p>
        </w:tc>
      </w:tr>
    </w:tbl>
    <w:p w14:paraId="2E0CCA0D" w14:textId="77777777" w:rsidR="00891B72" w:rsidRPr="00402D4B" w:rsidRDefault="00891B72" w:rsidP="00891B72">
      <w:pPr>
        <w:tabs>
          <w:tab w:val="left" w:pos="1418"/>
        </w:tabs>
        <w:spacing w:before="200" w:after="160"/>
        <w:jc w:val="both"/>
      </w:pPr>
      <w:r w:rsidRPr="00402D4B">
        <w:t>3.4.2.2.3.3</w:t>
      </w:r>
      <w:r w:rsidRPr="00402D4B">
        <w:tab/>
      </w:r>
      <w:r w:rsidRPr="00781D8D">
        <w:rPr>
          <w:color w:val="4F81BD" w:themeColor="accent1"/>
        </w:rPr>
        <w:t xml:space="preserve">Substances showing a low to moderate potency in animals can be presumed to have the potential to produce sensitization in humans and are classified in category 1B. </w:t>
      </w:r>
      <w:r w:rsidRPr="00C2132E">
        <w:rPr>
          <w:color w:val="0070C0"/>
        </w:rPr>
        <w:t>Severity of reaction may also be considered</w:t>
      </w:r>
      <w:r w:rsidRPr="00E23DF0">
        <w:t xml:space="preserve">. </w:t>
      </w:r>
      <w:r w:rsidRPr="00402D4B">
        <w:rPr>
          <w:spacing w:val="-4"/>
        </w:rPr>
        <w:t>Animal test results for sub-category 1B can include data with values indicated in Table 3.4.</w:t>
      </w:r>
      <w:r w:rsidRPr="00E82584">
        <w:rPr>
          <w:color w:val="0070C0"/>
          <w:spacing w:val="-4"/>
        </w:rPr>
        <w:t>3</w:t>
      </w:r>
      <w:r w:rsidRPr="00402D4B">
        <w:rPr>
          <w:spacing w:val="-4"/>
        </w:rPr>
        <w:t xml:space="preserve"> below:</w:t>
      </w:r>
    </w:p>
    <w:p w14:paraId="3BB01264" w14:textId="77777777" w:rsidR="00891B72" w:rsidRPr="00402D4B" w:rsidRDefault="00891B72" w:rsidP="00891B72">
      <w:pPr>
        <w:keepNext/>
        <w:keepLines/>
        <w:spacing w:after="160"/>
        <w:jc w:val="center"/>
        <w:rPr>
          <w:b/>
          <w:bCs/>
        </w:rPr>
      </w:pPr>
      <w:r w:rsidRPr="00402D4B">
        <w:rPr>
          <w:b/>
          <w:bCs/>
        </w:rPr>
        <w:t>Table 3.4.</w:t>
      </w:r>
      <w:r w:rsidRPr="00E82584">
        <w:rPr>
          <w:b/>
          <w:bCs/>
          <w:color w:val="0070C0"/>
        </w:rPr>
        <w:t>3</w:t>
      </w:r>
      <w:r w:rsidRPr="00402D4B">
        <w:rPr>
          <w:b/>
          <w:bCs/>
        </w:rPr>
        <w:t>:  Animal test results for sub-category 1B</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273"/>
      </w:tblGrid>
      <w:tr w:rsidR="00891B72" w:rsidRPr="00402D4B" w14:paraId="6D98D83F" w14:textId="77777777" w:rsidTr="00703671">
        <w:tc>
          <w:tcPr>
            <w:tcW w:w="2658" w:type="dxa"/>
          </w:tcPr>
          <w:p w14:paraId="6CBE4C9C" w14:textId="77777777" w:rsidR="00891B72" w:rsidRPr="00402D4B" w:rsidRDefault="00891B72" w:rsidP="007F4632">
            <w:pPr>
              <w:keepNext/>
              <w:keepLines/>
              <w:spacing w:before="20" w:after="20"/>
              <w:rPr>
                <w:b/>
                <w:bCs/>
              </w:rPr>
            </w:pPr>
            <w:r w:rsidRPr="00402D4B">
              <w:rPr>
                <w:b/>
                <w:bCs/>
              </w:rPr>
              <w:t>Assay</w:t>
            </w:r>
          </w:p>
        </w:tc>
        <w:tc>
          <w:tcPr>
            <w:tcW w:w="6273" w:type="dxa"/>
          </w:tcPr>
          <w:p w14:paraId="5B8DE50C" w14:textId="77777777" w:rsidR="00891B72" w:rsidRPr="00402D4B" w:rsidRDefault="00891B72" w:rsidP="007F4632">
            <w:pPr>
              <w:keepNext/>
              <w:keepLines/>
              <w:spacing w:before="20" w:after="20"/>
              <w:jc w:val="center"/>
              <w:rPr>
                <w:b/>
                <w:bCs/>
              </w:rPr>
            </w:pPr>
            <w:r w:rsidRPr="00402D4B">
              <w:rPr>
                <w:b/>
                <w:bCs/>
              </w:rPr>
              <w:t>Criteria</w:t>
            </w:r>
          </w:p>
        </w:tc>
      </w:tr>
      <w:tr w:rsidR="00891B72" w:rsidRPr="00402D4B" w14:paraId="537EAA6F" w14:textId="77777777" w:rsidTr="00703671">
        <w:tc>
          <w:tcPr>
            <w:tcW w:w="2658" w:type="dxa"/>
          </w:tcPr>
          <w:p w14:paraId="1BACCF64" w14:textId="77777777" w:rsidR="00891B72" w:rsidRPr="00402D4B" w:rsidRDefault="00891B72" w:rsidP="007F4632">
            <w:pPr>
              <w:keepNext/>
              <w:keepLines/>
              <w:spacing w:before="20" w:after="20"/>
            </w:pPr>
            <w:r w:rsidRPr="00402D4B">
              <w:t>Local lymph node assay</w:t>
            </w:r>
          </w:p>
        </w:tc>
        <w:tc>
          <w:tcPr>
            <w:tcW w:w="6273" w:type="dxa"/>
          </w:tcPr>
          <w:p w14:paraId="4F9CF563" w14:textId="77777777" w:rsidR="00891B72" w:rsidRPr="00402D4B" w:rsidRDefault="00891B72" w:rsidP="007F4632">
            <w:pPr>
              <w:keepNext/>
              <w:keepLines/>
              <w:spacing w:before="20" w:after="20"/>
            </w:pPr>
            <w:r w:rsidRPr="00402D4B">
              <w:t>EC3 value &gt; 2</w:t>
            </w:r>
            <w:r>
              <w:t> </w:t>
            </w:r>
            <w:r w:rsidRPr="00402D4B">
              <w:t>%</w:t>
            </w:r>
          </w:p>
        </w:tc>
      </w:tr>
      <w:tr w:rsidR="00891B72" w:rsidRPr="00402D4B" w14:paraId="3B3AFE64" w14:textId="77777777" w:rsidTr="00703671">
        <w:trPr>
          <w:trHeight w:val="423"/>
        </w:trPr>
        <w:tc>
          <w:tcPr>
            <w:tcW w:w="2658" w:type="dxa"/>
          </w:tcPr>
          <w:p w14:paraId="3D5D4B80" w14:textId="77777777" w:rsidR="00891B72" w:rsidRPr="00402D4B" w:rsidRDefault="00891B72" w:rsidP="007F4632">
            <w:pPr>
              <w:spacing w:before="20" w:after="20"/>
            </w:pPr>
            <w:r w:rsidRPr="00402D4B">
              <w:t>Guinea pig maximisation test</w:t>
            </w:r>
          </w:p>
        </w:tc>
        <w:tc>
          <w:tcPr>
            <w:tcW w:w="6273" w:type="dxa"/>
          </w:tcPr>
          <w:p w14:paraId="3F264BE9" w14:textId="77777777" w:rsidR="00891B72" w:rsidRPr="00402D4B" w:rsidRDefault="00891B72" w:rsidP="007F4632">
            <w:pPr>
              <w:spacing w:before="20" w:after="20"/>
            </w:pPr>
            <w:r w:rsidRPr="00402D4B">
              <w:sym w:font="Symbol" w:char="F0B3"/>
            </w:r>
            <w:r w:rsidRPr="00402D4B">
              <w:t> 30</w:t>
            </w:r>
            <w:r>
              <w:t> </w:t>
            </w:r>
            <w:r w:rsidRPr="00402D4B">
              <w:t>% to &lt; 60</w:t>
            </w:r>
            <w:r>
              <w:t> </w:t>
            </w:r>
            <w:r w:rsidRPr="00402D4B">
              <w:t>% responding at &gt; 0.1</w:t>
            </w:r>
            <w:r>
              <w:t> </w:t>
            </w:r>
            <w:r w:rsidRPr="00402D4B">
              <w:t xml:space="preserve">% to </w:t>
            </w:r>
            <w:r w:rsidRPr="00402D4B">
              <w:sym w:font="Symbol" w:char="F0A3"/>
            </w:r>
            <w:r>
              <w:t> </w:t>
            </w:r>
            <w:r w:rsidRPr="00402D4B">
              <w:t>1</w:t>
            </w:r>
            <w:r>
              <w:t> </w:t>
            </w:r>
            <w:r w:rsidRPr="00402D4B">
              <w:t>% intradermal induction dose or</w:t>
            </w:r>
            <w:r w:rsidRPr="00402D4B">
              <w:br/>
            </w:r>
            <w:r w:rsidRPr="00402D4B">
              <w:sym w:font="Symbol" w:char="F0B3"/>
            </w:r>
            <w:r w:rsidRPr="00402D4B">
              <w:t> 30</w:t>
            </w:r>
            <w:r>
              <w:t> </w:t>
            </w:r>
            <w:r w:rsidRPr="00402D4B">
              <w:t>% responding at &gt; 1</w:t>
            </w:r>
            <w:r>
              <w:t> </w:t>
            </w:r>
            <w:r w:rsidRPr="00402D4B">
              <w:t>% intradermal induction dose</w:t>
            </w:r>
          </w:p>
        </w:tc>
      </w:tr>
      <w:tr w:rsidR="00891B72" w:rsidRPr="00402D4B" w14:paraId="67FBDF3B" w14:textId="77777777" w:rsidTr="00703671">
        <w:tc>
          <w:tcPr>
            <w:tcW w:w="2658" w:type="dxa"/>
          </w:tcPr>
          <w:p w14:paraId="613E0683" w14:textId="77777777" w:rsidR="00891B72" w:rsidRPr="00402D4B" w:rsidRDefault="00891B72" w:rsidP="007F4632">
            <w:pPr>
              <w:spacing w:before="20" w:after="20"/>
            </w:pPr>
            <w:r w:rsidRPr="00402D4B">
              <w:t>Buehler assay</w:t>
            </w:r>
          </w:p>
        </w:tc>
        <w:tc>
          <w:tcPr>
            <w:tcW w:w="6273" w:type="dxa"/>
          </w:tcPr>
          <w:p w14:paraId="238CB4AC" w14:textId="77777777" w:rsidR="00891B72" w:rsidRPr="00402D4B" w:rsidRDefault="00891B72" w:rsidP="007F4632">
            <w:pPr>
              <w:spacing w:before="20" w:after="20"/>
            </w:pPr>
            <w:r w:rsidRPr="00402D4B">
              <w:sym w:font="Symbol" w:char="F0B3"/>
            </w:r>
            <w:r w:rsidRPr="00402D4B">
              <w:t> 15</w:t>
            </w:r>
            <w:r>
              <w:t> </w:t>
            </w:r>
            <w:r w:rsidRPr="00402D4B">
              <w:t>% to &lt; 60</w:t>
            </w:r>
            <w:r>
              <w:t> </w:t>
            </w:r>
            <w:r w:rsidRPr="00402D4B">
              <w:t>% responding at &gt; 0.2</w:t>
            </w:r>
            <w:r>
              <w:t> </w:t>
            </w:r>
            <w:r w:rsidRPr="00402D4B">
              <w:t>% to ≤</w:t>
            </w:r>
            <w:r>
              <w:t> </w:t>
            </w:r>
            <w:r w:rsidRPr="00402D4B">
              <w:t>20</w:t>
            </w:r>
            <w:r>
              <w:t> </w:t>
            </w:r>
            <w:r w:rsidRPr="00402D4B">
              <w:t>% topical induction dose or</w:t>
            </w:r>
            <w:r w:rsidRPr="00402D4B">
              <w:br/>
            </w:r>
            <w:r w:rsidRPr="00402D4B">
              <w:sym w:font="Symbol" w:char="F0B3"/>
            </w:r>
            <w:r w:rsidRPr="00402D4B">
              <w:t> 15</w:t>
            </w:r>
            <w:r>
              <w:t> </w:t>
            </w:r>
            <w:r w:rsidRPr="00402D4B">
              <w:t>% responding at &gt; 20</w:t>
            </w:r>
            <w:r>
              <w:t> </w:t>
            </w:r>
            <w:r w:rsidRPr="00402D4B">
              <w:t>% topical induction dose</w:t>
            </w:r>
          </w:p>
        </w:tc>
      </w:tr>
    </w:tbl>
    <w:p w14:paraId="44AFD5D7" w14:textId="77777777" w:rsidR="00891B72" w:rsidRPr="00781D8D" w:rsidRDefault="00891B72" w:rsidP="00891B72">
      <w:pPr>
        <w:pStyle w:val="GHSHeading5"/>
        <w:widowControl/>
        <w:tabs>
          <w:tab w:val="clear" w:pos="1418"/>
          <w:tab w:val="clear" w:pos="1985"/>
          <w:tab w:val="clear" w:pos="2552"/>
          <w:tab w:val="clear" w:pos="3119"/>
          <w:tab w:val="clear" w:pos="3686"/>
        </w:tabs>
        <w:spacing w:before="240" w:after="240"/>
        <w:ind w:left="1418" w:hanging="1418"/>
        <w:rPr>
          <w:color w:val="4F81BD" w:themeColor="accent1"/>
          <w:sz w:val="20"/>
          <w:szCs w:val="20"/>
        </w:rPr>
      </w:pPr>
      <w:r w:rsidRPr="00781D8D">
        <w:rPr>
          <w:color w:val="4F81BD" w:themeColor="accent1"/>
          <w:sz w:val="20"/>
          <w:szCs w:val="20"/>
        </w:rPr>
        <w:t>3.4.2.2.4</w:t>
      </w:r>
      <w:r w:rsidRPr="00781D8D">
        <w:rPr>
          <w:color w:val="4F81BD" w:themeColor="accent1"/>
          <w:sz w:val="20"/>
          <w:szCs w:val="20"/>
        </w:rPr>
        <w:tab/>
      </w:r>
      <w:r w:rsidRPr="00D94E91">
        <w:rPr>
          <w:bCs/>
          <w:i/>
          <w:color w:val="4F81BD" w:themeColor="accent1"/>
          <w:sz w:val="20"/>
          <w:szCs w:val="20"/>
        </w:rPr>
        <w:t>Classification based on defined approaches (Tier 1 or Tier 2 in Figure 3.4.1)</w:t>
      </w:r>
    </w:p>
    <w:p w14:paraId="28AB792A" w14:textId="0EC3C327" w:rsidR="00891B72" w:rsidRPr="00781D8D" w:rsidRDefault="00891B72" w:rsidP="00891B72">
      <w:pPr>
        <w:pStyle w:val="Default"/>
        <w:tabs>
          <w:tab w:val="left" w:pos="1418"/>
          <w:tab w:val="left" w:pos="2268"/>
        </w:tabs>
        <w:spacing w:after="240"/>
        <w:ind w:right="119"/>
        <w:jc w:val="both"/>
        <w:rPr>
          <w:color w:val="4F81BD" w:themeColor="accent1"/>
          <w:sz w:val="20"/>
          <w:szCs w:val="20"/>
          <w:lang w:val="en-GB"/>
        </w:rPr>
      </w:pPr>
      <w:r w:rsidRPr="00781D8D">
        <w:rPr>
          <w:color w:val="4F81BD" w:themeColor="accent1"/>
          <w:sz w:val="20"/>
          <w:szCs w:val="20"/>
          <w:lang w:val="en-GB"/>
        </w:rPr>
        <w:t>3.4.2.2.4.1</w:t>
      </w:r>
      <w:r w:rsidRPr="00781D8D">
        <w:rPr>
          <w:color w:val="4F81BD" w:themeColor="accent1"/>
          <w:sz w:val="20"/>
          <w:szCs w:val="20"/>
          <w:lang w:val="en-GB"/>
        </w:rPr>
        <w:tab/>
        <w:t>Defined approaches consist of a rule-based combination of data obtained from a predefined set of different information sources (</w:t>
      </w:r>
      <w:proofErr w:type="gramStart"/>
      <w:r w:rsidRPr="00781D8D">
        <w:rPr>
          <w:color w:val="4F81BD" w:themeColor="accent1"/>
          <w:sz w:val="20"/>
          <w:szCs w:val="20"/>
          <w:lang w:val="en-GB"/>
        </w:rPr>
        <w:t>e.g.</w:t>
      </w:r>
      <w:proofErr w:type="gramEnd"/>
      <w:r w:rsidRPr="00781D8D">
        <w:rPr>
          <w:color w:val="4F81BD" w:themeColor="accent1"/>
          <w:sz w:val="20"/>
          <w:szCs w:val="20"/>
          <w:lang w:val="en-GB"/>
        </w:rPr>
        <w:t xml:space="preserve"> </w:t>
      </w:r>
      <w:r w:rsidRPr="00781D8D">
        <w:rPr>
          <w:i/>
          <w:color w:val="4F81BD" w:themeColor="accent1"/>
          <w:sz w:val="20"/>
          <w:szCs w:val="20"/>
          <w:lang w:val="en-GB"/>
        </w:rPr>
        <w:t xml:space="preserve">in </w:t>
      </w:r>
      <w:proofErr w:type="spellStart"/>
      <w:r w:rsidRPr="00781D8D">
        <w:rPr>
          <w:i/>
          <w:color w:val="4F81BD" w:themeColor="accent1"/>
          <w:sz w:val="20"/>
          <w:szCs w:val="20"/>
          <w:lang w:val="en-GB"/>
        </w:rPr>
        <w:t>chemico</w:t>
      </w:r>
      <w:proofErr w:type="spellEnd"/>
      <w:r w:rsidRPr="00781D8D">
        <w:rPr>
          <w:i/>
          <w:color w:val="4F81BD" w:themeColor="accent1"/>
          <w:sz w:val="20"/>
          <w:szCs w:val="20"/>
          <w:lang w:val="en-GB"/>
        </w:rPr>
        <w:t xml:space="preserve"> </w:t>
      </w:r>
      <w:r w:rsidRPr="00781D8D">
        <w:rPr>
          <w:color w:val="4F81BD" w:themeColor="accent1"/>
          <w:sz w:val="20"/>
          <w:szCs w:val="20"/>
          <w:lang w:val="en-GB"/>
        </w:rPr>
        <w:t>methods</w:t>
      </w:r>
      <w:r w:rsidRPr="00781D8D">
        <w:rPr>
          <w:i/>
          <w:iCs/>
          <w:color w:val="4F81BD" w:themeColor="accent1"/>
          <w:sz w:val="20"/>
          <w:szCs w:val="20"/>
          <w:lang w:val="en-GB"/>
        </w:rPr>
        <w:t xml:space="preserve">, in vitro </w:t>
      </w:r>
      <w:r w:rsidRPr="00781D8D">
        <w:rPr>
          <w:color w:val="4F81BD" w:themeColor="accent1"/>
          <w:sz w:val="20"/>
          <w:szCs w:val="20"/>
          <w:lang w:val="en-GB"/>
        </w:rPr>
        <w:t xml:space="preserve">methods, </w:t>
      </w:r>
      <w:proofErr w:type="spellStart"/>
      <w:r w:rsidRPr="00781D8D">
        <w:rPr>
          <w:color w:val="4F81BD" w:themeColor="accent1"/>
          <w:sz w:val="20"/>
          <w:szCs w:val="20"/>
          <w:lang w:val="en-GB"/>
        </w:rPr>
        <w:t>physico</w:t>
      </w:r>
      <w:proofErr w:type="spellEnd"/>
      <w:r w:rsidRPr="00781D8D">
        <w:rPr>
          <w:color w:val="4F81BD" w:themeColor="accent1"/>
          <w:sz w:val="20"/>
          <w:szCs w:val="20"/>
          <w:lang w:val="en-GB"/>
        </w:rPr>
        <w:t xml:space="preserve">-chemical properties, non-test methods). It is recognized that most single </w:t>
      </w:r>
      <w:r w:rsidRPr="00781D8D">
        <w:rPr>
          <w:iCs/>
          <w:color w:val="4F81BD" w:themeColor="accent1"/>
          <w:sz w:val="20"/>
          <w:szCs w:val="20"/>
          <w:lang w:val="en-GB"/>
        </w:rPr>
        <w:t>non animal</w:t>
      </w:r>
      <w:r w:rsidRPr="00781D8D">
        <w:rPr>
          <w:color w:val="4F81BD" w:themeColor="accent1"/>
          <w:sz w:val="20"/>
          <w:szCs w:val="20"/>
          <w:lang w:val="en-GB"/>
        </w:rPr>
        <w:t xml:space="preserve"> methods are not able to replace </w:t>
      </w:r>
      <w:r w:rsidRPr="00781D8D">
        <w:rPr>
          <w:i/>
          <w:color w:val="4F81BD" w:themeColor="accent1"/>
          <w:sz w:val="20"/>
          <w:szCs w:val="20"/>
          <w:lang w:val="en-GB"/>
        </w:rPr>
        <w:t>in vivo</w:t>
      </w:r>
      <w:r w:rsidRPr="00781D8D">
        <w:rPr>
          <w:color w:val="4F81BD" w:themeColor="accent1"/>
          <w:sz w:val="20"/>
          <w:szCs w:val="20"/>
          <w:lang w:val="en-GB"/>
        </w:rPr>
        <w:t xml:space="preserve"> methods fully for most regulatory endpoints. Thus, defined approaches can be useful strategies of combining data for classifying substances and mixtures. Results obtained with a defined approach validated according to internat</w:t>
      </w:r>
      <w:r>
        <w:rPr>
          <w:color w:val="4F81BD" w:themeColor="accent1"/>
          <w:sz w:val="20"/>
          <w:szCs w:val="20"/>
          <w:lang w:val="en-GB"/>
        </w:rPr>
        <w:t xml:space="preserve">ional procedures, such as OECD </w:t>
      </w:r>
      <w:r w:rsidRPr="00781D8D">
        <w:rPr>
          <w:color w:val="4F81BD" w:themeColor="accent1"/>
          <w:sz w:val="20"/>
          <w:szCs w:val="20"/>
          <w:lang w:val="en-GB"/>
        </w:rPr>
        <w:t xml:space="preserve">Guideline 497 or an </w:t>
      </w:r>
      <w:r w:rsidRPr="005A6070">
        <w:rPr>
          <w:color w:val="0070C0"/>
          <w:sz w:val="20"/>
          <w:szCs w:val="20"/>
          <w:lang w:val="en-GB"/>
        </w:rPr>
        <w:t>e</w:t>
      </w:r>
      <w:r w:rsidRPr="005A6070">
        <w:rPr>
          <w:color w:val="4F81BD" w:themeColor="accent1"/>
          <w:sz w:val="20"/>
          <w:szCs w:val="20"/>
          <w:lang w:val="en-GB"/>
        </w:rPr>
        <w:t xml:space="preserve">quivalent </w:t>
      </w:r>
      <w:r w:rsidRPr="00781D8D">
        <w:rPr>
          <w:color w:val="4F81BD" w:themeColor="accent1"/>
          <w:sz w:val="20"/>
          <w:szCs w:val="20"/>
          <w:lang w:val="en-GB"/>
        </w:rPr>
        <w:t xml:space="preserve">approach, are conclusive for classification for </w:t>
      </w:r>
      <w:r>
        <w:rPr>
          <w:color w:val="4F81BD" w:themeColor="accent1"/>
          <w:sz w:val="20"/>
          <w:szCs w:val="20"/>
          <w:lang w:val="en-GB"/>
        </w:rPr>
        <w:t>skin sensitization</w:t>
      </w:r>
      <w:r w:rsidRPr="00781D8D">
        <w:rPr>
          <w:color w:val="4F81BD" w:themeColor="accent1"/>
          <w:sz w:val="20"/>
          <w:szCs w:val="20"/>
          <w:lang w:val="en-GB"/>
        </w:rPr>
        <w:t xml:space="preserve"> if the criteria of the defined approach are fulfilled (see Table 3.4.</w:t>
      </w:r>
      <w:r w:rsidRPr="001045B1">
        <w:rPr>
          <w:color w:val="4F81BD" w:themeColor="accent1"/>
          <w:sz w:val="20"/>
          <w:szCs w:val="20"/>
          <w:lang w:val="en-GB"/>
        </w:rPr>
        <w:t>6</w:t>
      </w:r>
      <w:r w:rsidRPr="00781D8D">
        <w:rPr>
          <w:color w:val="4F81BD" w:themeColor="accent1"/>
          <w:sz w:val="20"/>
          <w:szCs w:val="20"/>
          <w:lang w:val="en-GB"/>
        </w:rPr>
        <w:t>)</w:t>
      </w:r>
      <w:r w:rsidR="00D02BEB">
        <w:rPr>
          <w:rStyle w:val="FootnoteReference"/>
          <w:color w:val="4F81BD" w:themeColor="accent1"/>
          <w:szCs w:val="20"/>
          <w:lang w:val="en-GB"/>
        </w:rPr>
        <w:footnoteReference w:id="5"/>
      </w:r>
      <w:r w:rsidRPr="00623044">
        <w:rPr>
          <w:color w:val="4F81BD" w:themeColor="accent1"/>
          <w:sz w:val="20"/>
          <w:szCs w:val="20"/>
          <w:vertAlign w:val="superscript"/>
          <w:lang w:val="en-GB"/>
        </w:rPr>
        <w:t>3</w:t>
      </w:r>
      <w:r w:rsidRPr="00861D8D">
        <w:rPr>
          <w:color w:val="4F81BD" w:themeColor="accent1"/>
          <w:sz w:val="20"/>
          <w:szCs w:val="20"/>
          <w:lang w:val="en-GB"/>
        </w:rPr>
        <w:t>.</w:t>
      </w:r>
      <w:r w:rsidRPr="00781D8D">
        <w:rPr>
          <w:color w:val="4F81BD" w:themeColor="accent1"/>
          <w:sz w:val="20"/>
          <w:szCs w:val="20"/>
          <w:lang w:val="en-GB"/>
        </w:rPr>
        <w:t xml:space="preserve"> </w:t>
      </w:r>
      <w:r w:rsidRPr="00781D8D">
        <w:rPr>
          <w:iCs/>
          <w:color w:val="4F81BD" w:themeColor="accent1"/>
          <w:sz w:val="20"/>
          <w:szCs w:val="20"/>
          <w:lang w:val="en-GB"/>
        </w:rPr>
        <w:t>D</w:t>
      </w:r>
      <w:r w:rsidRPr="00781D8D">
        <w:rPr>
          <w:color w:val="4F81BD" w:themeColor="accent1"/>
          <w:sz w:val="20"/>
          <w:szCs w:val="20"/>
          <w:lang w:val="en-GB"/>
        </w:rPr>
        <w:t>ata from a defined approach can only be used for classification when the tested substance is within the applicability domain of the defined approach used. Additional limitations described in the published literature should also be taken into consideration.</w:t>
      </w:r>
    </w:p>
    <w:p w14:paraId="555414DA" w14:textId="77777777" w:rsidR="00891B72" w:rsidRDefault="00891B72" w:rsidP="00891B72">
      <w:pPr>
        <w:pStyle w:val="Default"/>
        <w:tabs>
          <w:tab w:val="left" w:pos="1418"/>
          <w:tab w:val="left" w:pos="2268"/>
        </w:tabs>
        <w:spacing w:after="240"/>
        <w:ind w:right="119"/>
        <w:jc w:val="both"/>
        <w:rPr>
          <w:color w:val="4F81BD" w:themeColor="accent1"/>
          <w:sz w:val="20"/>
          <w:szCs w:val="20"/>
          <w:lang w:val="en-GB"/>
        </w:rPr>
      </w:pPr>
      <w:r w:rsidRPr="00781D8D">
        <w:rPr>
          <w:color w:val="4F81BD" w:themeColor="accent1"/>
          <w:sz w:val="20"/>
          <w:szCs w:val="20"/>
          <w:lang w:val="en-GB"/>
        </w:rPr>
        <w:t>3.4.2.2.4.2</w:t>
      </w:r>
      <w:r w:rsidRPr="00781D8D">
        <w:rPr>
          <w:color w:val="4F81BD" w:themeColor="accent1"/>
          <w:sz w:val="20"/>
          <w:szCs w:val="20"/>
          <w:lang w:val="en-GB"/>
        </w:rPr>
        <w:tab/>
        <w:t xml:space="preserve">Where the results from defined approaches are assigned a level of confidence as for example in OECD Guideline 497, a low confidence outcome of a defined approach cannot be used on its own to classify but may be considered </w:t>
      </w:r>
      <w:r w:rsidRPr="00547AAF">
        <w:rPr>
          <w:color w:val="4F81BD" w:themeColor="accent1"/>
          <w:sz w:val="20"/>
          <w:szCs w:val="20"/>
          <w:lang w:val="en-GB"/>
        </w:rPr>
        <w:t xml:space="preserve">in combination with other data </w:t>
      </w:r>
      <w:r>
        <w:rPr>
          <w:color w:val="4F81BD" w:themeColor="accent1"/>
          <w:sz w:val="20"/>
          <w:szCs w:val="20"/>
          <w:lang w:val="en-GB"/>
        </w:rPr>
        <w:t>in</w:t>
      </w:r>
      <w:r w:rsidRPr="00781D8D">
        <w:rPr>
          <w:color w:val="4F81BD" w:themeColor="accent1"/>
          <w:sz w:val="20"/>
          <w:szCs w:val="20"/>
          <w:lang w:val="en-GB"/>
        </w:rPr>
        <w:t xml:space="preserve"> Tier 2.</w:t>
      </w:r>
    </w:p>
    <w:p w14:paraId="15B0CBCF" w14:textId="77777777" w:rsidR="00891B72" w:rsidRPr="007B335B" w:rsidRDefault="00891B72" w:rsidP="00891B72">
      <w:pPr>
        <w:pStyle w:val="Default"/>
        <w:tabs>
          <w:tab w:val="left" w:pos="1418"/>
          <w:tab w:val="left" w:pos="2268"/>
        </w:tabs>
        <w:spacing w:after="240"/>
        <w:ind w:right="119"/>
        <w:jc w:val="both"/>
        <w:rPr>
          <w:color w:val="0070C0"/>
          <w:sz w:val="20"/>
          <w:szCs w:val="20"/>
          <w:lang w:val="en-GB"/>
        </w:rPr>
      </w:pPr>
      <w:r>
        <w:rPr>
          <w:color w:val="4F81BD" w:themeColor="accent1"/>
          <w:sz w:val="20"/>
          <w:szCs w:val="20"/>
        </w:rPr>
        <w:t>3.4.2.2.4.3</w:t>
      </w:r>
      <w:r>
        <w:rPr>
          <w:color w:val="4F81BD" w:themeColor="accent1"/>
          <w:sz w:val="20"/>
          <w:szCs w:val="20"/>
        </w:rPr>
        <w:tab/>
      </w:r>
      <w:r w:rsidRPr="007B335B">
        <w:rPr>
          <w:color w:val="0070C0"/>
          <w:sz w:val="20"/>
          <w:szCs w:val="20"/>
        </w:rPr>
        <w:t>Some evidence can be used individually and in defined approaches. Evidence used within defined approaches should then not also be used individually</w:t>
      </w:r>
      <w:r w:rsidRPr="007B335B">
        <w:rPr>
          <w:color w:val="0070C0"/>
        </w:rPr>
        <w:t xml:space="preserve"> </w:t>
      </w:r>
      <w:r w:rsidRPr="007B335B">
        <w:rPr>
          <w:color w:val="0070C0"/>
          <w:sz w:val="20"/>
          <w:szCs w:val="20"/>
        </w:rPr>
        <w:t>within a weight of evidence assessment.</w:t>
      </w:r>
    </w:p>
    <w:p w14:paraId="3A878B28" w14:textId="77777777" w:rsidR="00891B72" w:rsidRPr="007B335B" w:rsidRDefault="00891B72" w:rsidP="00891B72">
      <w:pPr>
        <w:pStyle w:val="GHSHeading5"/>
        <w:widowControl/>
        <w:tabs>
          <w:tab w:val="clear" w:pos="1418"/>
          <w:tab w:val="clear" w:pos="1985"/>
          <w:tab w:val="clear" w:pos="2552"/>
          <w:tab w:val="clear" w:pos="3119"/>
          <w:tab w:val="clear" w:pos="3686"/>
        </w:tabs>
        <w:spacing w:before="240" w:after="240"/>
        <w:ind w:left="1418" w:hanging="1418"/>
        <w:rPr>
          <w:bCs/>
          <w:color w:val="0070C0"/>
          <w:sz w:val="20"/>
          <w:szCs w:val="20"/>
        </w:rPr>
      </w:pPr>
      <w:r w:rsidRPr="007B335B">
        <w:rPr>
          <w:color w:val="0070C0"/>
          <w:sz w:val="20"/>
          <w:szCs w:val="20"/>
        </w:rPr>
        <w:t>3.4.2.2.5</w:t>
      </w:r>
      <w:r w:rsidRPr="007B335B">
        <w:rPr>
          <w:color w:val="0070C0"/>
          <w:sz w:val="20"/>
          <w:szCs w:val="20"/>
        </w:rPr>
        <w:tab/>
      </w:r>
      <w:r w:rsidRPr="007B335B">
        <w:rPr>
          <w:bCs/>
          <w:i/>
          <w:color w:val="0070C0"/>
          <w:sz w:val="20"/>
          <w:szCs w:val="20"/>
        </w:rPr>
        <w:t xml:space="preserve">Classification based on in </w:t>
      </w:r>
      <w:proofErr w:type="spellStart"/>
      <w:r w:rsidRPr="007B335B">
        <w:rPr>
          <w:bCs/>
          <w:i/>
          <w:color w:val="0070C0"/>
          <w:sz w:val="20"/>
          <w:szCs w:val="20"/>
        </w:rPr>
        <w:t>chemico</w:t>
      </w:r>
      <w:proofErr w:type="spellEnd"/>
      <w:r w:rsidRPr="007B335B">
        <w:rPr>
          <w:bCs/>
          <w:i/>
          <w:color w:val="0070C0"/>
          <w:sz w:val="20"/>
          <w:szCs w:val="20"/>
        </w:rPr>
        <w:t>/in vitro data (Tier 1 or Tier 2 in Figure 3.4.1)</w:t>
      </w:r>
    </w:p>
    <w:p w14:paraId="7CF257E4" w14:textId="77777777" w:rsidR="00891B72" w:rsidRPr="007B335B" w:rsidRDefault="00891B72" w:rsidP="00891B72">
      <w:pPr>
        <w:pStyle w:val="GHSHeading5"/>
        <w:spacing w:before="240" w:after="240"/>
        <w:rPr>
          <w:color w:val="0070C0"/>
          <w:sz w:val="20"/>
          <w:szCs w:val="20"/>
        </w:rPr>
      </w:pPr>
      <w:r w:rsidRPr="007B335B">
        <w:rPr>
          <w:color w:val="0070C0"/>
          <w:sz w:val="20"/>
          <w:szCs w:val="20"/>
        </w:rPr>
        <w:t>3.4.2.2.5.1</w:t>
      </w:r>
      <w:r w:rsidRPr="007B335B">
        <w:rPr>
          <w:color w:val="0070C0"/>
          <w:sz w:val="20"/>
          <w:szCs w:val="20"/>
        </w:rPr>
        <w:tab/>
        <w:t xml:space="preserve">The currently available </w:t>
      </w:r>
      <w:r w:rsidRPr="007B335B">
        <w:rPr>
          <w:i/>
          <w:iCs/>
          <w:color w:val="0070C0"/>
          <w:sz w:val="20"/>
          <w:szCs w:val="20"/>
        </w:rPr>
        <w:t xml:space="preserve">in </w:t>
      </w:r>
      <w:proofErr w:type="spellStart"/>
      <w:r w:rsidRPr="007B335B">
        <w:rPr>
          <w:i/>
          <w:iCs/>
          <w:color w:val="0070C0"/>
          <w:sz w:val="20"/>
          <w:szCs w:val="20"/>
        </w:rPr>
        <w:t>chemico</w:t>
      </w:r>
      <w:proofErr w:type="spellEnd"/>
      <w:r w:rsidRPr="007B335B">
        <w:rPr>
          <w:i/>
          <w:iCs/>
          <w:color w:val="0070C0"/>
          <w:sz w:val="20"/>
          <w:szCs w:val="20"/>
        </w:rPr>
        <w:t>/in vitro</w:t>
      </w:r>
      <w:r w:rsidRPr="007B335B">
        <w:rPr>
          <w:color w:val="0070C0"/>
          <w:sz w:val="20"/>
          <w:szCs w:val="20"/>
        </w:rPr>
        <w:t xml:space="preserve"> methods address specific biological mechanisms leading to the acquisition of skin sensitization as described, for example, in the OECD Adverse Outcome Pathway for Skin Sensitisation (see OECD, 2014). Individual test methods that are validated according to international procedures and are accepted as stand-alone methods, can be used to conclude on the classification in Tier 1. A competent authority may decide whether to use the method described in Appendix III to OECD Test Guideline 442C as a stand-alone method to discriminate between category 1A and those not categorized as category 1A (see 3.4.5.3.5).</w:t>
      </w:r>
    </w:p>
    <w:p w14:paraId="7822C846" w14:textId="77777777" w:rsidR="00891B72" w:rsidRPr="007B335B" w:rsidRDefault="00891B72" w:rsidP="00891B72">
      <w:pPr>
        <w:pStyle w:val="Default"/>
        <w:tabs>
          <w:tab w:val="left" w:pos="1418"/>
          <w:tab w:val="left" w:pos="2268"/>
        </w:tabs>
        <w:spacing w:after="240"/>
        <w:ind w:right="119"/>
        <w:jc w:val="both"/>
        <w:rPr>
          <w:color w:val="0070C0"/>
          <w:sz w:val="20"/>
          <w:szCs w:val="20"/>
          <w:lang w:val="en-GB"/>
        </w:rPr>
      </w:pPr>
      <w:r w:rsidRPr="007B335B">
        <w:rPr>
          <w:color w:val="0070C0"/>
          <w:sz w:val="20"/>
          <w:szCs w:val="20"/>
        </w:rPr>
        <w:t>3.4.2.2.5.2</w:t>
      </w:r>
      <w:r w:rsidRPr="007B335B">
        <w:rPr>
          <w:color w:val="0070C0"/>
          <w:sz w:val="20"/>
          <w:szCs w:val="20"/>
        </w:rPr>
        <w:tab/>
        <w:t xml:space="preserve">Other non-stand-alone </w:t>
      </w:r>
      <w:r w:rsidRPr="007B335B">
        <w:rPr>
          <w:i/>
          <w:color w:val="0070C0"/>
          <w:sz w:val="20"/>
          <w:szCs w:val="20"/>
        </w:rPr>
        <w:t>in</w:t>
      </w:r>
      <w:r w:rsidRPr="007B335B">
        <w:rPr>
          <w:color w:val="0070C0"/>
          <w:sz w:val="20"/>
          <w:szCs w:val="20"/>
        </w:rPr>
        <w:t xml:space="preserve"> </w:t>
      </w:r>
      <w:r w:rsidRPr="007B335B">
        <w:rPr>
          <w:i/>
          <w:iCs/>
          <w:color w:val="0070C0"/>
          <w:sz w:val="20"/>
          <w:szCs w:val="20"/>
        </w:rPr>
        <w:t>chemico/in vitro</w:t>
      </w:r>
      <w:r w:rsidRPr="007B335B">
        <w:rPr>
          <w:color w:val="0070C0"/>
          <w:sz w:val="20"/>
          <w:szCs w:val="20"/>
        </w:rPr>
        <w:t xml:space="preserve"> methods that are validated according to international procedures such as OECD Test Guidelines 442C (Annex I and II), 442D and 442E, are accepted as supportive evidence and should within Tier 1 only be used in combination with other types of data in defined approaches. The use of these methods in Tier 2 is described in 3.4.2.2.7.5. When already considered within a defined approach, non-stand-alone </w:t>
      </w:r>
      <w:r w:rsidRPr="007B335B">
        <w:rPr>
          <w:i/>
          <w:color w:val="0070C0"/>
          <w:sz w:val="20"/>
          <w:szCs w:val="20"/>
        </w:rPr>
        <w:t>in</w:t>
      </w:r>
      <w:r w:rsidRPr="007B335B">
        <w:rPr>
          <w:color w:val="0070C0"/>
          <w:sz w:val="20"/>
          <w:szCs w:val="20"/>
        </w:rPr>
        <w:t xml:space="preserve"> </w:t>
      </w:r>
      <w:r w:rsidRPr="007B335B">
        <w:rPr>
          <w:i/>
          <w:iCs/>
          <w:color w:val="0070C0"/>
          <w:sz w:val="20"/>
          <w:szCs w:val="20"/>
        </w:rPr>
        <w:t>chemico/in vitro</w:t>
      </w:r>
      <w:r w:rsidRPr="007B335B">
        <w:rPr>
          <w:color w:val="0070C0"/>
          <w:sz w:val="20"/>
          <w:szCs w:val="20"/>
        </w:rPr>
        <w:t xml:space="preserve"> methods should not be considered as an additional line of evidence (see 3.4.2.2.7.4).</w:t>
      </w:r>
    </w:p>
    <w:p w14:paraId="696A2EC5" w14:textId="4D61051C" w:rsidR="00891B72" w:rsidRPr="007B335B" w:rsidRDefault="00891B72" w:rsidP="00891B72">
      <w:pPr>
        <w:pStyle w:val="Default"/>
        <w:tabs>
          <w:tab w:val="left" w:pos="1418"/>
          <w:tab w:val="left" w:pos="2268"/>
        </w:tabs>
        <w:spacing w:after="240"/>
        <w:ind w:right="119"/>
        <w:jc w:val="both"/>
        <w:rPr>
          <w:color w:val="0070C0"/>
          <w:sz w:val="20"/>
          <w:szCs w:val="20"/>
          <w:lang w:val="en-GB"/>
        </w:rPr>
      </w:pPr>
      <w:r w:rsidRPr="007B335B">
        <w:rPr>
          <w:color w:val="0070C0"/>
          <w:sz w:val="20"/>
          <w:szCs w:val="20"/>
          <w:lang w:val="en-GB"/>
        </w:rPr>
        <w:t>3.4.2.2.5.3</w:t>
      </w:r>
      <w:r w:rsidRPr="007B335B">
        <w:rPr>
          <w:color w:val="0070C0"/>
          <w:sz w:val="20"/>
          <w:szCs w:val="20"/>
          <w:lang w:val="en-GB"/>
        </w:rPr>
        <w:tab/>
        <w:t xml:space="preserve">Other validated </w:t>
      </w:r>
      <w:r w:rsidRPr="007B335B">
        <w:rPr>
          <w:i/>
          <w:iCs/>
          <w:color w:val="0070C0"/>
          <w:sz w:val="20"/>
          <w:szCs w:val="20"/>
          <w:lang w:val="en-GB"/>
        </w:rPr>
        <w:t xml:space="preserve">in </w:t>
      </w:r>
      <w:proofErr w:type="spellStart"/>
      <w:r w:rsidRPr="007B335B">
        <w:rPr>
          <w:i/>
          <w:iCs/>
          <w:color w:val="0070C0"/>
          <w:sz w:val="20"/>
          <w:szCs w:val="20"/>
          <w:lang w:val="en-GB"/>
        </w:rPr>
        <w:t>chemico</w:t>
      </w:r>
      <w:proofErr w:type="spellEnd"/>
      <w:r w:rsidRPr="007B335B">
        <w:rPr>
          <w:i/>
          <w:iCs/>
          <w:color w:val="0070C0"/>
          <w:sz w:val="20"/>
          <w:szCs w:val="20"/>
          <w:lang w:val="en-GB"/>
        </w:rPr>
        <w:t xml:space="preserve">/in vitro </w:t>
      </w:r>
      <w:r w:rsidRPr="007B335B">
        <w:rPr>
          <w:color w:val="0070C0"/>
          <w:sz w:val="20"/>
          <w:szCs w:val="20"/>
          <w:lang w:val="en-GB"/>
        </w:rPr>
        <w:t>test methods accepted by some competent authorities are described in 3.4.5.3.6.1</w:t>
      </w:r>
      <w:r w:rsidR="000E421A">
        <w:rPr>
          <w:color w:val="0070C0"/>
          <w:sz w:val="20"/>
          <w:szCs w:val="20"/>
          <w:lang w:val="en-GB"/>
        </w:rPr>
        <w:t> </w:t>
      </w:r>
      <w:r w:rsidR="0032407E">
        <w:rPr>
          <w:rStyle w:val="FootnoteReference"/>
          <w:color w:val="0070C0"/>
          <w:szCs w:val="20"/>
          <w:lang w:val="en-GB"/>
        </w:rPr>
        <w:footnoteReference w:id="6"/>
      </w:r>
      <w:r w:rsidRPr="007B335B">
        <w:rPr>
          <w:color w:val="0070C0"/>
          <w:sz w:val="20"/>
          <w:szCs w:val="20"/>
          <w:lang w:val="en-GB"/>
        </w:rPr>
        <w:t xml:space="preserve">. A competent authority may decide which classification criteria, if any, should be applied for these test methods to conclude on classification. </w:t>
      </w:r>
    </w:p>
    <w:p w14:paraId="299139D3" w14:textId="77777777" w:rsidR="00891B72" w:rsidRPr="007B335B" w:rsidRDefault="00891B72" w:rsidP="00891B72">
      <w:pPr>
        <w:pStyle w:val="GHSHeading5"/>
        <w:keepNext w:val="0"/>
        <w:keepLines w:val="0"/>
        <w:widowControl/>
        <w:tabs>
          <w:tab w:val="clear" w:pos="1985"/>
          <w:tab w:val="clear" w:pos="2552"/>
          <w:tab w:val="clear" w:pos="3119"/>
          <w:tab w:val="clear" w:pos="3686"/>
          <w:tab w:val="left" w:pos="2268"/>
        </w:tabs>
        <w:autoSpaceDE w:val="0"/>
        <w:autoSpaceDN w:val="0"/>
        <w:adjustRightInd w:val="0"/>
        <w:spacing w:after="240"/>
        <w:ind w:right="119"/>
        <w:rPr>
          <w:color w:val="0070C0"/>
          <w:sz w:val="20"/>
          <w:szCs w:val="20"/>
        </w:rPr>
      </w:pPr>
      <w:r w:rsidRPr="007B335B">
        <w:rPr>
          <w:color w:val="0070C0"/>
          <w:sz w:val="20"/>
          <w:szCs w:val="20"/>
        </w:rPr>
        <w:t>3.4.2.2.5.4</w:t>
      </w:r>
      <w:r w:rsidRPr="007B335B">
        <w:rPr>
          <w:color w:val="0070C0"/>
          <w:sz w:val="20"/>
          <w:szCs w:val="20"/>
        </w:rPr>
        <w:tab/>
      </w:r>
      <w:r w:rsidRPr="007B335B">
        <w:rPr>
          <w:i/>
          <w:iCs/>
          <w:color w:val="0070C0"/>
          <w:sz w:val="20"/>
          <w:szCs w:val="20"/>
        </w:rPr>
        <w:t xml:space="preserve">In </w:t>
      </w:r>
      <w:proofErr w:type="spellStart"/>
      <w:r w:rsidRPr="007B335B">
        <w:rPr>
          <w:i/>
          <w:iCs/>
          <w:color w:val="0070C0"/>
          <w:sz w:val="20"/>
          <w:szCs w:val="20"/>
        </w:rPr>
        <w:t>chemico</w:t>
      </w:r>
      <w:proofErr w:type="spellEnd"/>
      <w:r w:rsidRPr="007B335B">
        <w:rPr>
          <w:i/>
          <w:iCs/>
          <w:color w:val="0070C0"/>
          <w:sz w:val="20"/>
          <w:szCs w:val="20"/>
        </w:rPr>
        <w:t xml:space="preserve">/in vitro </w:t>
      </w:r>
      <w:r w:rsidRPr="007B335B">
        <w:rPr>
          <w:color w:val="0070C0"/>
          <w:sz w:val="20"/>
          <w:szCs w:val="20"/>
        </w:rPr>
        <w:t>data can only be used for classification when the tested substance is within the applicability domain of the test method(s) used. Additional limitations described in the published literature should also be taken into consideration.</w:t>
      </w:r>
    </w:p>
    <w:p w14:paraId="4364099A" w14:textId="77777777" w:rsidR="00891B72" w:rsidRPr="007B335B" w:rsidRDefault="00891B72" w:rsidP="00891B72">
      <w:pPr>
        <w:pStyle w:val="GHSHeading5"/>
        <w:widowControl/>
        <w:tabs>
          <w:tab w:val="clear" w:pos="1418"/>
          <w:tab w:val="clear" w:pos="1985"/>
          <w:tab w:val="clear" w:pos="2552"/>
          <w:tab w:val="clear" w:pos="3119"/>
          <w:tab w:val="clear" w:pos="3686"/>
        </w:tabs>
        <w:spacing w:before="240" w:after="240"/>
        <w:ind w:left="1418" w:hanging="1418"/>
        <w:rPr>
          <w:color w:val="0070C0"/>
          <w:sz w:val="20"/>
          <w:szCs w:val="20"/>
        </w:rPr>
      </w:pPr>
      <w:r w:rsidRPr="007B335B">
        <w:rPr>
          <w:color w:val="0070C0"/>
          <w:sz w:val="20"/>
          <w:szCs w:val="20"/>
        </w:rPr>
        <w:t>3.4.2.2.6</w:t>
      </w:r>
      <w:r w:rsidRPr="007B335B">
        <w:rPr>
          <w:color w:val="0070C0"/>
          <w:sz w:val="20"/>
          <w:szCs w:val="20"/>
        </w:rPr>
        <w:tab/>
      </w:r>
      <w:r w:rsidRPr="007B335B">
        <w:rPr>
          <w:i/>
          <w:iCs/>
          <w:color w:val="0070C0"/>
          <w:sz w:val="20"/>
          <w:szCs w:val="20"/>
        </w:rPr>
        <w:t>Classification based on non-test methods (Tier 2 in Figure 3.4.1)</w:t>
      </w:r>
    </w:p>
    <w:p w14:paraId="6FD12A64" w14:textId="77777777" w:rsidR="00891B72" w:rsidRPr="007B335B" w:rsidRDefault="00891B72" w:rsidP="00891B72">
      <w:pPr>
        <w:pStyle w:val="GHSHeading5"/>
        <w:spacing w:before="240" w:after="240"/>
        <w:rPr>
          <w:color w:val="0070C0"/>
        </w:rPr>
      </w:pPr>
      <w:r w:rsidRPr="007B335B">
        <w:rPr>
          <w:color w:val="0070C0"/>
          <w:sz w:val="20"/>
          <w:szCs w:val="20"/>
        </w:rPr>
        <w:t>3.4.2.2.6.1</w:t>
      </w:r>
      <w:r w:rsidRPr="007B335B">
        <w:rPr>
          <w:color w:val="0070C0"/>
          <w:sz w:val="20"/>
          <w:szCs w:val="20"/>
        </w:rPr>
        <w:tab/>
        <w:t>Classification, including the conclusion not classified, can be based on non-test methods, with due consideration of reliability and applicability, on a case-by-case basis. Specific non-test methods may also be used in a defined approach. When already considered within a defined approach, these specific non-test methods should not be considered as an additional line of evidence (see 3.4.2.2.7.4). Non-test methods include computer models predicting qualitative structure activity relationships (structural alerts, SAR) or quantitative structure-activity relationships (QSARs), computer expert systems, and read-across using analogue and category approaches.</w:t>
      </w:r>
      <w:r w:rsidRPr="007B335B">
        <w:rPr>
          <w:color w:val="0070C0"/>
        </w:rPr>
        <w:t xml:space="preserve"> </w:t>
      </w:r>
    </w:p>
    <w:p w14:paraId="4654292D" w14:textId="77777777" w:rsidR="00891B72" w:rsidRPr="00D920E9" w:rsidRDefault="00891B72" w:rsidP="00891B72">
      <w:pPr>
        <w:pStyle w:val="GHSHeading5"/>
        <w:spacing w:before="240" w:after="120"/>
        <w:rPr>
          <w:strike/>
          <w:color w:val="0070C0"/>
          <w:sz w:val="20"/>
          <w:szCs w:val="20"/>
        </w:rPr>
      </w:pPr>
      <w:r w:rsidRPr="00E726D3">
        <w:rPr>
          <w:color w:val="0070C0"/>
          <w:sz w:val="20"/>
          <w:szCs w:val="20"/>
        </w:rPr>
        <w:t xml:space="preserve">3.4.2.2.6.2 </w:t>
      </w:r>
      <w:r w:rsidRPr="00E726D3">
        <w:rPr>
          <w:color w:val="0070C0"/>
          <w:sz w:val="20"/>
          <w:szCs w:val="20"/>
        </w:rPr>
        <w:tab/>
        <w:t xml:space="preserve">Read-across using analogue or category approaches requires sufficiently reliable test data on similar substance(s) and justification of the similarity of the tested substance(s) with the substance(s) to be classified. Where adequate justification of the read-across approach is provided, it has in general higher weight than (Q)SARs. </w:t>
      </w:r>
    </w:p>
    <w:p w14:paraId="531EEB50" w14:textId="77777777" w:rsidR="00891B72" w:rsidRDefault="00891B72" w:rsidP="00891B72">
      <w:pPr>
        <w:pStyle w:val="GHSHeading5"/>
        <w:spacing w:before="240" w:after="240"/>
        <w:rPr>
          <w:snapToGrid/>
          <w:color w:val="0070C0"/>
          <w:sz w:val="20"/>
          <w:szCs w:val="20"/>
        </w:rPr>
      </w:pPr>
      <w:r w:rsidRPr="00E726D3">
        <w:rPr>
          <w:color w:val="0070C0"/>
          <w:sz w:val="20"/>
          <w:szCs w:val="20"/>
        </w:rPr>
        <w:t xml:space="preserve">3.4.2.2.6.3 </w:t>
      </w:r>
      <w:r w:rsidRPr="00E726D3">
        <w:rPr>
          <w:color w:val="0070C0"/>
          <w:sz w:val="20"/>
          <w:szCs w:val="20"/>
        </w:rPr>
        <w:tab/>
        <w:t>Classification based on (Q)SARs requires sufficient data and validation of the model. The validity of the computer models and the prediction should be assessed using internationally recogni</w:t>
      </w:r>
      <w:r>
        <w:rPr>
          <w:color w:val="0070C0"/>
          <w:sz w:val="20"/>
          <w:szCs w:val="20"/>
        </w:rPr>
        <w:t>z</w:t>
      </w:r>
      <w:r w:rsidRPr="00E726D3">
        <w:rPr>
          <w:color w:val="0070C0"/>
          <w:sz w:val="20"/>
          <w:szCs w:val="20"/>
        </w:rPr>
        <w:t>ed principles for the validation of (Q)SARs. With respect to reliability, lack of alerts in a SAR or expert system is not sufficient evidence for no classification.</w:t>
      </w:r>
      <w:r w:rsidRPr="00E726D3">
        <w:rPr>
          <w:snapToGrid/>
          <w:color w:val="0070C0"/>
          <w:sz w:val="20"/>
          <w:szCs w:val="20"/>
        </w:rPr>
        <w:t xml:space="preserve"> </w:t>
      </w:r>
    </w:p>
    <w:p w14:paraId="64363D64" w14:textId="77777777" w:rsidR="00891B72" w:rsidRPr="00A2708F" w:rsidRDefault="00891B72" w:rsidP="00891B72">
      <w:pPr>
        <w:pStyle w:val="GHSHeading5"/>
        <w:spacing w:before="240" w:after="240"/>
        <w:rPr>
          <w:color w:val="0070C0"/>
          <w:sz w:val="20"/>
          <w:szCs w:val="20"/>
        </w:rPr>
      </w:pPr>
      <w:r w:rsidRPr="00A2708F">
        <w:rPr>
          <w:snapToGrid/>
          <w:color w:val="0070C0"/>
          <w:sz w:val="20"/>
          <w:szCs w:val="20"/>
        </w:rPr>
        <w:t>3.4.2.2.6.4</w:t>
      </w:r>
      <w:r w:rsidRPr="00A2708F">
        <w:rPr>
          <w:snapToGrid/>
          <w:color w:val="0070C0"/>
          <w:sz w:val="20"/>
          <w:szCs w:val="20"/>
        </w:rPr>
        <w:tab/>
      </w:r>
      <w:r w:rsidRPr="00A2708F">
        <w:rPr>
          <w:color w:val="0070C0"/>
          <w:sz w:val="20"/>
          <w:szCs w:val="20"/>
        </w:rPr>
        <w:t xml:space="preserve">For conclusions on no classification from read-across and (Q)SARs the adequacy and robustness of the scientific reasoning and of the supporting evidence should be well substantiated and normally requires multiple negative substances with good structural and physical (related to </w:t>
      </w:r>
      <w:proofErr w:type="spellStart"/>
      <w:r w:rsidRPr="00A2708F">
        <w:rPr>
          <w:color w:val="0070C0"/>
          <w:sz w:val="20"/>
          <w:szCs w:val="20"/>
        </w:rPr>
        <w:t>toxicokinetics</w:t>
      </w:r>
      <w:proofErr w:type="spellEnd"/>
      <w:r w:rsidRPr="00A2708F">
        <w:rPr>
          <w:color w:val="0070C0"/>
          <w:sz w:val="20"/>
          <w:szCs w:val="20"/>
        </w:rPr>
        <w:t>) similarity to the substance being classified, as well as a clear absence of positive substances with good structural and physical similarity to the substance being classified.</w:t>
      </w:r>
    </w:p>
    <w:p w14:paraId="0FDE23A9" w14:textId="77777777" w:rsidR="00891B72" w:rsidRPr="00A2708F" w:rsidRDefault="00891B72" w:rsidP="00891B72">
      <w:pPr>
        <w:pStyle w:val="GHSHeading5"/>
        <w:widowControl/>
        <w:tabs>
          <w:tab w:val="clear" w:pos="1418"/>
          <w:tab w:val="clear" w:pos="1985"/>
          <w:tab w:val="clear" w:pos="2552"/>
          <w:tab w:val="clear" w:pos="3119"/>
          <w:tab w:val="clear" w:pos="3686"/>
        </w:tabs>
        <w:spacing w:before="240" w:after="240"/>
        <w:ind w:left="1418" w:hanging="1418"/>
        <w:rPr>
          <w:strike/>
          <w:color w:val="0070C0"/>
          <w:sz w:val="20"/>
          <w:szCs w:val="20"/>
        </w:rPr>
      </w:pPr>
      <w:r w:rsidRPr="00A2708F">
        <w:rPr>
          <w:color w:val="0070C0"/>
          <w:sz w:val="20"/>
          <w:szCs w:val="20"/>
        </w:rPr>
        <w:t>3.4.2.2.7</w:t>
      </w:r>
      <w:r w:rsidRPr="00A2708F">
        <w:rPr>
          <w:color w:val="0070C0"/>
          <w:sz w:val="20"/>
          <w:szCs w:val="20"/>
        </w:rPr>
        <w:tab/>
      </w:r>
      <w:r w:rsidRPr="00A2708F">
        <w:rPr>
          <w:bCs/>
          <w:i/>
          <w:color w:val="0070C0"/>
          <w:sz w:val="20"/>
          <w:szCs w:val="20"/>
        </w:rPr>
        <w:t>Classification in a tiered approach</w:t>
      </w:r>
      <w:r w:rsidRPr="00A2708F">
        <w:rPr>
          <w:bCs/>
          <w:color w:val="0070C0"/>
          <w:sz w:val="20"/>
          <w:szCs w:val="20"/>
        </w:rPr>
        <w:t xml:space="preserve"> </w:t>
      </w:r>
      <w:r w:rsidRPr="00A2708F">
        <w:rPr>
          <w:bCs/>
          <w:i/>
          <w:iCs/>
          <w:color w:val="0070C0"/>
          <w:sz w:val="20"/>
          <w:szCs w:val="20"/>
        </w:rPr>
        <w:t>(Figure 3.4.1)</w:t>
      </w:r>
      <w:r w:rsidRPr="00A2708F">
        <w:rPr>
          <w:strike/>
          <w:color w:val="0070C0"/>
          <w:sz w:val="20"/>
          <w:szCs w:val="20"/>
        </w:rPr>
        <w:t xml:space="preserve"> </w:t>
      </w:r>
    </w:p>
    <w:p w14:paraId="580AC74F" w14:textId="77777777" w:rsidR="00891B72" w:rsidRPr="00A2708F" w:rsidRDefault="00891B72" w:rsidP="00891B72">
      <w:pPr>
        <w:pStyle w:val="GHSHeading5"/>
        <w:widowControl/>
        <w:tabs>
          <w:tab w:val="clear" w:pos="1418"/>
          <w:tab w:val="clear" w:pos="1985"/>
          <w:tab w:val="clear" w:pos="2552"/>
          <w:tab w:val="clear" w:pos="3119"/>
          <w:tab w:val="clear" w:pos="3686"/>
        </w:tabs>
        <w:spacing w:before="240" w:after="240"/>
        <w:rPr>
          <w:color w:val="0070C0"/>
          <w:sz w:val="20"/>
          <w:szCs w:val="20"/>
        </w:rPr>
      </w:pPr>
      <w:r w:rsidRPr="00A2708F">
        <w:rPr>
          <w:color w:val="0070C0"/>
          <w:sz w:val="20"/>
          <w:szCs w:val="20"/>
        </w:rPr>
        <w:t>3.4.2.2.7.1</w:t>
      </w:r>
      <w:r w:rsidRPr="00A2708F">
        <w:rPr>
          <w:color w:val="0070C0"/>
          <w:sz w:val="20"/>
          <w:szCs w:val="20"/>
        </w:rPr>
        <w:tab/>
        <w:t xml:space="preserve">A tiered approach to the evaluation of information should be considered, where applicable (Figure 3.4.1), recognizing that not all </w:t>
      </w:r>
      <w:r w:rsidRPr="00A2708F">
        <w:rPr>
          <w:color w:val="0070C0"/>
          <w:sz w:val="20"/>
          <w:szCs w:val="20"/>
          <w:lang w:val="en-US"/>
        </w:rPr>
        <w:t>tiers as well as information within a tier</w:t>
      </w:r>
      <w:r w:rsidRPr="00A2708F">
        <w:rPr>
          <w:color w:val="0070C0"/>
          <w:sz w:val="20"/>
          <w:szCs w:val="20"/>
        </w:rPr>
        <w:t xml:space="preserve"> may be relevant. However, all available and relevant information of sufficient quality needs to be examined for consistency with respect to the resulting classification.</w:t>
      </w:r>
    </w:p>
    <w:p w14:paraId="308D1564" w14:textId="77777777" w:rsidR="00891B72" w:rsidRPr="00A2708F" w:rsidRDefault="00891B72" w:rsidP="00891B72">
      <w:pPr>
        <w:keepNext/>
        <w:keepLines/>
        <w:spacing w:before="120" w:after="240"/>
        <w:rPr>
          <w:color w:val="0070C0"/>
        </w:rPr>
      </w:pPr>
      <w:r w:rsidRPr="00A2708F">
        <w:rPr>
          <w:color w:val="0070C0"/>
        </w:rPr>
        <w:t>3.4.2.2.7.2</w:t>
      </w:r>
      <w:r w:rsidRPr="00A2708F">
        <w:rPr>
          <w:color w:val="0070C0"/>
        </w:rPr>
        <w:tab/>
      </w:r>
      <w:r w:rsidRPr="00364002">
        <w:rPr>
          <w:color w:val="0070C0"/>
        </w:rPr>
        <w:t xml:space="preserve">Tier 1 - Classification based on human data, standard animal data, defined approaches or stand-alone in </w:t>
      </w:r>
      <w:proofErr w:type="spellStart"/>
      <w:r w:rsidRPr="00364002">
        <w:rPr>
          <w:color w:val="0070C0"/>
        </w:rPr>
        <w:t>chemico</w:t>
      </w:r>
      <w:proofErr w:type="spellEnd"/>
      <w:r w:rsidRPr="00364002">
        <w:rPr>
          <w:color w:val="0070C0"/>
        </w:rPr>
        <w:t>/in vitro methods</w:t>
      </w:r>
      <w:r w:rsidRPr="00A2708F">
        <w:rPr>
          <w:i/>
          <w:color w:val="0070C0"/>
        </w:rPr>
        <w:t xml:space="preserve"> </w:t>
      </w:r>
    </w:p>
    <w:p w14:paraId="2F7A6230" w14:textId="77777777" w:rsidR="00891B72" w:rsidRPr="00A2708F" w:rsidRDefault="00891B72" w:rsidP="00891B72">
      <w:pPr>
        <w:keepNext/>
        <w:keepLines/>
        <w:tabs>
          <w:tab w:val="left" w:pos="1418"/>
        </w:tabs>
        <w:spacing w:before="120" w:after="240"/>
        <w:rPr>
          <w:color w:val="0070C0"/>
        </w:rPr>
      </w:pPr>
      <w:r>
        <w:tab/>
      </w:r>
      <w:r w:rsidRPr="00A2708F">
        <w:rPr>
          <w:color w:val="0070C0"/>
        </w:rPr>
        <w:t xml:space="preserve">For classification of a substance, evidence in Tier 1 may include data from any or </w:t>
      </w:r>
      <w:proofErr w:type="gramStart"/>
      <w:r w:rsidRPr="00A2708F">
        <w:rPr>
          <w:color w:val="0070C0"/>
        </w:rPr>
        <w:t>all of</w:t>
      </w:r>
      <w:proofErr w:type="gramEnd"/>
      <w:r w:rsidRPr="00A2708F">
        <w:rPr>
          <w:color w:val="0070C0"/>
        </w:rPr>
        <w:t xml:space="preserve"> the following lines of evidence. </w:t>
      </w:r>
      <w:r w:rsidRPr="00A2708F">
        <w:rPr>
          <w:bCs/>
          <w:color w:val="0070C0"/>
        </w:rPr>
        <w:t>Where information from data within Tier 1 is inconsistent and/or conflicting, the conclusion is determined</w:t>
      </w:r>
      <w:r w:rsidRPr="00A2708F">
        <w:rPr>
          <w:color w:val="0070C0"/>
        </w:rPr>
        <w:t xml:space="preserve"> in a weight of evidence assessment: </w:t>
      </w:r>
    </w:p>
    <w:p w14:paraId="0515A282" w14:textId="77777777" w:rsidR="00891B72" w:rsidRPr="005F3A80" w:rsidRDefault="00891B72" w:rsidP="00891B72">
      <w:pPr>
        <w:pStyle w:val="NormalWeb"/>
        <w:numPr>
          <w:ilvl w:val="0"/>
          <w:numId w:val="16"/>
        </w:numPr>
        <w:spacing w:after="240" w:afterAutospacing="0"/>
        <w:ind w:left="1985" w:hanging="567"/>
        <w:jc w:val="both"/>
        <w:rPr>
          <w:snapToGrid w:val="0"/>
          <w:color w:val="0070C0"/>
          <w:sz w:val="20"/>
          <w:szCs w:val="20"/>
          <w:lang w:val="en-GB" w:eastAsia="en-US"/>
        </w:rPr>
      </w:pPr>
      <w:r w:rsidRPr="005F3A80">
        <w:rPr>
          <w:snapToGrid w:val="0"/>
          <w:color w:val="0070C0"/>
          <w:sz w:val="20"/>
          <w:szCs w:val="20"/>
          <w:lang w:val="en-GB" w:eastAsia="en-US"/>
        </w:rPr>
        <w:t>Experimental studies in humans (e.g., predictive patch testing, HRIPT, HMT (see paragraph 1.3.2.4.7, criteria in 3.4.2.2.2.2 (a) and 3.4.2.2.2.3 (a) and guidance 3.4.5.3.2</w:t>
      </w:r>
      <w:proofErr w:type="gramStart"/>
      <w:r w:rsidRPr="005F3A80">
        <w:rPr>
          <w:snapToGrid w:val="0"/>
          <w:color w:val="0070C0"/>
          <w:sz w:val="20"/>
          <w:szCs w:val="20"/>
          <w:lang w:val="en-GB" w:eastAsia="en-US"/>
        </w:rPr>
        <w:t>);</w:t>
      </w:r>
      <w:proofErr w:type="gramEnd"/>
    </w:p>
    <w:p w14:paraId="2A080B40" w14:textId="77777777" w:rsidR="00891B72" w:rsidRPr="00A2708F" w:rsidRDefault="00891B72" w:rsidP="00891B72">
      <w:pPr>
        <w:pStyle w:val="NormalWeb"/>
        <w:numPr>
          <w:ilvl w:val="0"/>
          <w:numId w:val="16"/>
        </w:numPr>
        <w:spacing w:after="240" w:afterAutospacing="0"/>
        <w:ind w:left="1985" w:hanging="567"/>
        <w:jc w:val="both"/>
        <w:rPr>
          <w:snapToGrid w:val="0"/>
          <w:color w:val="0070C0"/>
          <w:sz w:val="20"/>
          <w:szCs w:val="20"/>
          <w:lang w:val="en-GB" w:eastAsia="en-US"/>
        </w:rPr>
      </w:pPr>
      <w:r w:rsidRPr="005F3A80">
        <w:rPr>
          <w:snapToGrid w:val="0"/>
          <w:color w:val="0070C0"/>
          <w:sz w:val="20"/>
          <w:szCs w:val="20"/>
          <w:lang w:val="en-GB" w:eastAsia="en-US"/>
        </w:rPr>
        <w:t>Epidemiological studies (e.g., case control studies, prospective studies</w:t>
      </w:r>
      <w:r w:rsidRPr="00A2708F">
        <w:rPr>
          <w:snapToGrid w:val="0"/>
          <w:color w:val="0070C0"/>
          <w:sz w:val="20"/>
          <w:szCs w:val="20"/>
          <w:lang w:val="en-GB" w:eastAsia="en-US"/>
        </w:rPr>
        <w:t>) assessing allergic contact dermatitis (see paragraph 1.3.2.4.7, criteria in 3.4.2.2.2.2 (b and c) and 3.4.2.2.2.3 (b and c) and guidance 3.4.5.3.2</w:t>
      </w:r>
      <w:proofErr w:type="gramStart"/>
      <w:r w:rsidRPr="00A2708F">
        <w:rPr>
          <w:snapToGrid w:val="0"/>
          <w:color w:val="0070C0"/>
          <w:sz w:val="20"/>
          <w:szCs w:val="20"/>
          <w:lang w:val="en-GB" w:eastAsia="en-US"/>
        </w:rPr>
        <w:t>);</w:t>
      </w:r>
      <w:proofErr w:type="gramEnd"/>
    </w:p>
    <w:p w14:paraId="11A46EAB" w14:textId="77777777" w:rsidR="00891B72" w:rsidRPr="00A2708F" w:rsidRDefault="00891B72" w:rsidP="00891B72">
      <w:pPr>
        <w:pStyle w:val="NormalWeb"/>
        <w:numPr>
          <w:ilvl w:val="0"/>
          <w:numId w:val="16"/>
        </w:numPr>
        <w:spacing w:after="240" w:afterAutospacing="0"/>
        <w:ind w:left="1985" w:hanging="567"/>
        <w:jc w:val="both"/>
        <w:rPr>
          <w:snapToGrid w:val="0"/>
          <w:color w:val="0070C0"/>
          <w:sz w:val="20"/>
          <w:szCs w:val="20"/>
          <w:lang w:val="en-GB" w:eastAsia="en-US"/>
        </w:rPr>
      </w:pPr>
      <w:r w:rsidRPr="00A2708F">
        <w:rPr>
          <w:snapToGrid w:val="0"/>
          <w:color w:val="0070C0"/>
          <w:sz w:val="20"/>
          <w:szCs w:val="20"/>
          <w:lang w:val="en-GB" w:eastAsia="en-US"/>
        </w:rPr>
        <w:t>Well-documented cases of allergic contact dermatitis (see criteria in 3.4.2.2.2.2 (b) and 3.4.2.2.2.3 (b) and guidance 3.4.5.3.2</w:t>
      </w:r>
      <w:proofErr w:type="gramStart"/>
      <w:r w:rsidRPr="00A2708F">
        <w:rPr>
          <w:snapToGrid w:val="0"/>
          <w:color w:val="0070C0"/>
          <w:sz w:val="20"/>
          <w:szCs w:val="20"/>
          <w:lang w:val="en-GB" w:eastAsia="en-US"/>
        </w:rPr>
        <w:t>);</w:t>
      </w:r>
      <w:proofErr w:type="gramEnd"/>
    </w:p>
    <w:p w14:paraId="6C36567B" w14:textId="77777777" w:rsidR="00891B72" w:rsidRPr="00A2708F" w:rsidRDefault="00891B72" w:rsidP="00891B72">
      <w:pPr>
        <w:pStyle w:val="NormalWeb"/>
        <w:numPr>
          <w:ilvl w:val="0"/>
          <w:numId w:val="16"/>
        </w:numPr>
        <w:spacing w:after="240" w:afterAutospacing="0"/>
        <w:ind w:left="1985" w:hanging="567"/>
        <w:jc w:val="both"/>
        <w:rPr>
          <w:snapToGrid w:val="0"/>
          <w:color w:val="0070C0"/>
          <w:sz w:val="20"/>
          <w:szCs w:val="20"/>
          <w:lang w:val="en-GB" w:eastAsia="en-US"/>
        </w:rPr>
      </w:pPr>
      <w:r w:rsidRPr="00A2708F">
        <w:rPr>
          <w:snapToGrid w:val="0"/>
          <w:color w:val="0070C0"/>
          <w:sz w:val="20"/>
          <w:szCs w:val="20"/>
          <w:lang w:val="en-GB" w:eastAsia="en-US"/>
        </w:rPr>
        <w:t>Appropriate animal studies (see criteria in 3.4.2.2.3, and guidance 3.4.5.3.3</w:t>
      </w:r>
      <w:proofErr w:type="gramStart"/>
      <w:r w:rsidRPr="00A2708F">
        <w:rPr>
          <w:snapToGrid w:val="0"/>
          <w:color w:val="0070C0"/>
          <w:sz w:val="20"/>
          <w:szCs w:val="20"/>
          <w:lang w:val="en-GB" w:eastAsia="en-US"/>
        </w:rPr>
        <w:t>);</w:t>
      </w:r>
      <w:proofErr w:type="gramEnd"/>
    </w:p>
    <w:p w14:paraId="7BA0AE02" w14:textId="77777777" w:rsidR="00891B72" w:rsidRPr="00A2708F" w:rsidRDefault="00891B72" w:rsidP="00891B72">
      <w:pPr>
        <w:pStyle w:val="NormalWeb"/>
        <w:numPr>
          <w:ilvl w:val="0"/>
          <w:numId w:val="16"/>
        </w:numPr>
        <w:spacing w:after="240" w:afterAutospacing="0"/>
        <w:ind w:left="1985" w:hanging="567"/>
        <w:jc w:val="both"/>
        <w:rPr>
          <w:snapToGrid w:val="0"/>
          <w:color w:val="0070C0"/>
          <w:sz w:val="20"/>
          <w:szCs w:val="20"/>
          <w:lang w:val="en-GB" w:eastAsia="en-US"/>
        </w:rPr>
      </w:pPr>
      <w:r w:rsidRPr="00A2708F">
        <w:rPr>
          <w:snapToGrid w:val="0"/>
          <w:color w:val="0070C0"/>
          <w:sz w:val="20"/>
          <w:szCs w:val="20"/>
          <w:lang w:val="en-GB" w:eastAsia="en-US"/>
        </w:rPr>
        <w:t>Defined approaches validated according to international procedures (see 3.4.2.2.4, guidance 3.4.5.3.4, and Table 3.4.6</w:t>
      </w:r>
      <w:proofErr w:type="gramStart"/>
      <w:r w:rsidRPr="00A2708F">
        <w:rPr>
          <w:snapToGrid w:val="0"/>
          <w:color w:val="0070C0"/>
          <w:sz w:val="20"/>
          <w:szCs w:val="20"/>
          <w:lang w:val="en-GB" w:eastAsia="en-US"/>
        </w:rPr>
        <w:t>);</w:t>
      </w:r>
      <w:proofErr w:type="gramEnd"/>
    </w:p>
    <w:p w14:paraId="5E407058" w14:textId="77777777" w:rsidR="00891B72" w:rsidRPr="00A2708F" w:rsidRDefault="00891B72" w:rsidP="00891B72">
      <w:pPr>
        <w:pStyle w:val="NormalWeb"/>
        <w:numPr>
          <w:ilvl w:val="0"/>
          <w:numId w:val="16"/>
        </w:numPr>
        <w:spacing w:after="240" w:afterAutospacing="0"/>
        <w:ind w:left="1985" w:hanging="567"/>
        <w:jc w:val="both"/>
        <w:rPr>
          <w:snapToGrid w:val="0"/>
          <w:color w:val="0070C0"/>
          <w:sz w:val="20"/>
          <w:szCs w:val="20"/>
          <w:lang w:val="en-GB" w:eastAsia="en-US"/>
        </w:rPr>
      </w:pPr>
      <w:r w:rsidRPr="00A2708F">
        <w:rPr>
          <w:snapToGrid w:val="0"/>
          <w:color w:val="0070C0"/>
          <w:sz w:val="20"/>
          <w:szCs w:val="20"/>
          <w:lang w:val="en-GB" w:eastAsia="en-US"/>
        </w:rPr>
        <w:t xml:space="preserve">Stand-alone </w:t>
      </w:r>
      <w:r w:rsidRPr="00A2708F">
        <w:rPr>
          <w:i/>
          <w:snapToGrid w:val="0"/>
          <w:color w:val="0070C0"/>
          <w:sz w:val="20"/>
          <w:szCs w:val="20"/>
          <w:lang w:val="en-GB" w:eastAsia="en-US"/>
        </w:rPr>
        <w:t xml:space="preserve">in </w:t>
      </w:r>
      <w:proofErr w:type="spellStart"/>
      <w:r w:rsidRPr="00A2708F">
        <w:rPr>
          <w:i/>
          <w:snapToGrid w:val="0"/>
          <w:color w:val="0070C0"/>
          <w:sz w:val="20"/>
          <w:szCs w:val="20"/>
          <w:lang w:val="en-GB" w:eastAsia="en-US"/>
        </w:rPr>
        <w:t>chemico</w:t>
      </w:r>
      <w:proofErr w:type="spellEnd"/>
      <w:r w:rsidRPr="00A2708F">
        <w:rPr>
          <w:i/>
          <w:snapToGrid w:val="0"/>
          <w:color w:val="0070C0"/>
          <w:sz w:val="20"/>
          <w:szCs w:val="20"/>
          <w:lang w:val="en-GB" w:eastAsia="en-US"/>
        </w:rPr>
        <w:t>/in vitro</w:t>
      </w:r>
      <w:r w:rsidRPr="00A2708F">
        <w:rPr>
          <w:snapToGrid w:val="0"/>
          <w:color w:val="0070C0"/>
          <w:sz w:val="20"/>
          <w:szCs w:val="20"/>
          <w:lang w:val="en-GB" w:eastAsia="en-US"/>
        </w:rPr>
        <w:t xml:space="preserve"> methods validated according to international procedures (see 3.4.2.2.5, guidance 3.4.5.3.5, and Table 3.4.7).</w:t>
      </w:r>
    </w:p>
    <w:p w14:paraId="6922D647" w14:textId="77777777" w:rsidR="00891B72" w:rsidRPr="00364002" w:rsidRDefault="00891B72" w:rsidP="00891B72">
      <w:pPr>
        <w:keepNext/>
        <w:keepLines/>
        <w:tabs>
          <w:tab w:val="left" w:pos="1418"/>
        </w:tabs>
        <w:spacing w:after="240"/>
        <w:jc w:val="both"/>
        <w:rPr>
          <w:color w:val="0070C0"/>
        </w:rPr>
      </w:pPr>
      <w:r w:rsidRPr="00A2708F">
        <w:rPr>
          <w:color w:val="0070C0"/>
        </w:rPr>
        <w:t xml:space="preserve">3.4.2.2.7.3 </w:t>
      </w:r>
      <w:r w:rsidRPr="00A2708F">
        <w:rPr>
          <w:color w:val="0070C0"/>
        </w:rPr>
        <w:tab/>
      </w:r>
      <w:r w:rsidRPr="00364002">
        <w:rPr>
          <w:color w:val="0070C0"/>
        </w:rPr>
        <w:t xml:space="preserve">Tier 2 - </w:t>
      </w:r>
      <w:r w:rsidRPr="00364002">
        <w:rPr>
          <w:bCs/>
          <w:color w:val="0070C0"/>
        </w:rPr>
        <w:t xml:space="preserve">Classification based on inconclusive data from Tier 1, non-stand alone in </w:t>
      </w:r>
      <w:proofErr w:type="spellStart"/>
      <w:r w:rsidRPr="00364002">
        <w:rPr>
          <w:bCs/>
          <w:color w:val="0070C0"/>
        </w:rPr>
        <w:t>chemico</w:t>
      </w:r>
      <w:proofErr w:type="spellEnd"/>
      <w:r w:rsidRPr="00364002">
        <w:rPr>
          <w:bCs/>
          <w:color w:val="0070C0"/>
        </w:rPr>
        <w:t xml:space="preserve">/in vitro methods, non-test methods or low confidence/inconclusive results from defined approaches </w:t>
      </w:r>
    </w:p>
    <w:p w14:paraId="78835AB9" w14:textId="77777777" w:rsidR="00891B72" w:rsidRPr="003F417C" w:rsidRDefault="00891B72" w:rsidP="00891B72">
      <w:pPr>
        <w:keepNext/>
        <w:keepLines/>
        <w:tabs>
          <w:tab w:val="left" w:pos="1418"/>
        </w:tabs>
        <w:spacing w:after="240"/>
        <w:jc w:val="both"/>
        <w:rPr>
          <w:color w:val="4F81BD" w:themeColor="accent1"/>
        </w:rPr>
      </w:pPr>
      <w:r>
        <w:rPr>
          <w:color w:val="4F81BD" w:themeColor="accent1"/>
        </w:rPr>
        <w:tab/>
      </w:r>
      <w:r w:rsidRPr="003F417C">
        <w:rPr>
          <w:color w:val="4F81BD" w:themeColor="accent1"/>
        </w:rPr>
        <w:t>In case a definitive conclusion on classification, including sub-categorization where required by a competent authority, cannot be derived from Tier 1, additional lines of evidence shall be considered in a weight-of-evidence in Tier 2. These may include:</w:t>
      </w:r>
    </w:p>
    <w:p w14:paraId="623C71DA" w14:textId="77777777" w:rsidR="00891B72" w:rsidRPr="003F417C" w:rsidRDefault="00891B72" w:rsidP="00891B72">
      <w:pPr>
        <w:keepNext/>
        <w:keepLines/>
        <w:numPr>
          <w:ilvl w:val="0"/>
          <w:numId w:val="15"/>
        </w:numPr>
        <w:tabs>
          <w:tab w:val="left" w:pos="1418"/>
        </w:tabs>
        <w:suppressAutoHyphens w:val="0"/>
        <w:spacing w:after="240" w:line="240" w:lineRule="auto"/>
        <w:ind w:left="1985" w:hanging="567"/>
        <w:jc w:val="both"/>
        <w:rPr>
          <w:bCs/>
          <w:color w:val="4F81BD" w:themeColor="accent1"/>
        </w:rPr>
      </w:pPr>
      <w:r w:rsidRPr="003F417C">
        <w:rPr>
          <w:bCs/>
          <w:color w:val="4F81BD" w:themeColor="accent1"/>
        </w:rPr>
        <w:t xml:space="preserve">Data from non-stand alone </w:t>
      </w:r>
      <w:r w:rsidRPr="007A351A">
        <w:rPr>
          <w:bCs/>
          <w:i/>
          <w:color w:val="4F81BD" w:themeColor="accent1"/>
        </w:rPr>
        <w:t>in</w:t>
      </w:r>
      <w:r w:rsidRPr="003F417C">
        <w:rPr>
          <w:bCs/>
          <w:color w:val="4F81BD" w:themeColor="accent1"/>
        </w:rPr>
        <w:t xml:space="preserve"> </w:t>
      </w:r>
      <w:proofErr w:type="spellStart"/>
      <w:r w:rsidRPr="003F417C">
        <w:rPr>
          <w:bCs/>
          <w:i/>
          <w:iCs/>
          <w:color w:val="4F81BD" w:themeColor="accent1"/>
        </w:rPr>
        <w:t>chemico</w:t>
      </w:r>
      <w:proofErr w:type="spellEnd"/>
      <w:r w:rsidRPr="003F417C">
        <w:rPr>
          <w:bCs/>
          <w:i/>
          <w:iCs/>
          <w:color w:val="4F81BD" w:themeColor="accent1"/>
        </w:rPr>
        <w:t>/in vitro</w:t>
      </w:r>
      <w:r w:rsidRPr="003F417C">
        <w:rPr>
          <w:bCs/>
          <w:color w:val="4F81BD" w:themeColor="accent1"/>
        </w:rPr>
        <w:t xml:space="preserve"> methods (see 3.4.2.2.5 and 3.4.5.3.5</w:t>
      </w:r>
      <w:proofErr w:type="gramStart"/>
      <w:r w:rsidRPr="003F417C">
        <w:rPr>
          <w:bCs/>
          <w:color w:val="4F81BD" w:themeColor="accent1"/>
        </w:rPr>
        <w:t>)</w:t>
      </w:r>
      <w:r>
        <w:rPr>
          <w:bCs/>
          <w:color w:val="4F81BD" w:themeColor="accent1"/>
        </w:rPr>
        <w:t>;</w:t>
      </w:r>
      <w:proofErr w:type="gramEnd"/>
    </w:p>
    <w:p w14:paraId="43E8A1C5" w14:textId="77777777" w:rsidR="00891B72" w:rsidRPr="003F417C" w:rsidRDefault="00891B72" w:rsidP="00891B72">
      <w:pPr>
        <w:keepNext/>
        <w:keepLines/>
        <w:numPr>
          <w:ilvl w:val="0"/>
          <w:numId w:val="15"/>
        </w:numPr>
        <w:tabs>
          <w:tab w:val="left" w:pos="1418"/>
        </w:tabs>
        <w:suppressAutoHyphens w:val="0"/>
        <w:spacing w:after="240" w:line="240" w:lineRule="auto"/>
        <w:ind w:left="1985" w:hanging="567"/>
        <w:jc w:val="both"/>
        <w:rPr>
          <w:bCs/>
          <w:color w:val="4F81BD" w:themeColor="accent1"/>
        </w:rPr>
      </w:pPr>
      <w:r w:rsidRPr="003F417C">
        <w:rPr>
          <w:bCs/>
          <w:color w:val="4F81BD" w:themeColor="accent1"/>
        </w:rPr>
        <w:t>Data from non-test methods (see 3.2.2.2.6</w:t>
      </w:r>
      <w:proofErr w:type="gramStart"/>
      <w:r w:rsidRPr="003F417C">
        <w:rPr>
          <w:bCs/>
          <w:color w:val="4F81BD" w:themeColor="accent1"/>
        </w:rPr>
        <w:t>)</w:t>
      </w:r>
      <w:r>
        <w:rPr>
          <w:bCs/>
          <w:color w:val="4F81BD" w:themeColor="accent1"/>
        </w:rPr>
        <w:t>;</w:t>
      </w:r>
      <w:proofErr w:type="gramEnd"/>
    </w:p>
    <w:p w14:paraId="4E92D9C8" w14:textId="77777777" w:rsidR="00891B72" w:rsidRPr="003F417C" w:rsidRDefault="00891B72" w:rsidP="00891B72">
      <w:pPr>
        <w:keepNext/>
        <w:keepLines/>
        <w:numPr>
          <w:ilvl w:val="0"/>
          <w:numId w:val="15"/>
        </w:numPr>
        <w:tabs>
          <w:tab w:val="left" w:pos="1418"/>
        </w:tabs>
        <w:suppressAutoHyphens w:val="0"/>
        <w:spacing w:after="240" w:line="240" w:lineRule="auto"/>
        <w:ind w:left="1985" w:hanging="567"/>
        <w:jc w:val="both"/>
        <w:rPr>
          <w:bCs/>
          <w:color w:val="4F81BD" w:themeColor="accent1"/>
        </w:rPr>
      </w:pPr>
      <w:r w:rsidRPr="003F417C">
        <w:rPr>
          <w:bCs/>
          <w:color w:val="4F81BD" w:themeColor="accent1"/>
        </w:rPr>
        <w:t xml:space="preserve">Low confidence/inconclusive results from defined approaches (see </w:t>
      </w:r>
      <w:r w:rsidRPr="003F417C">
        <w:rPr>
          <w:color w:val="4F81BD" w:themeColor="accent1"/>
        </w:rPr>
        <w:t>3.4.2.2.4.2</w:t>
      </w:r>
      <w:r w:rsidRPr="003F417C">
        <w:rPr>
          <w:bCs/>
          <w:color w:val="4F81BD" w:themeColor="accent1"/>
        </w:rPr>
        <w:t>)</w:t>
      </w:r>
      <w:r>
        <w:rPr>
          <w:bCs/>
          <w:color w:val="4F81BD" w:themeColor="accent1"/>
        </w:rPr>
        <w:t>.</w:t>
      </w:r>
    </w:p>
    <w:p w14:paraId="72B9B7FA" w14:textId="77777777" w:rsidR="00891B72" w:rsidRPr="00213012" w:rsidRDefault="00891B72" w:rsidP="00891B72">
      <w:pPr>
        <w:keepNext/>
        <w:keepLines/>
        <w:tabs>
          <w:tab w:val="left" w:pos="1418"/>
        </w:tabs>
        <w:spacing w:after="240"/>
        <w:rPr>
          <w:color w:val="4F81BD" w:themeColor="accent1"/>
        </w:rPr>
      </w:pPr>
      <w:r w:rsidRPr="00213012">
        <w:rPr>
          <w:color w:val="4F81BD" w:themeColor="accent1"/>
        </w:rPr>
        <w:t>3.4.2.2.7.4</w:t>
      </w:r>
      <w:r w:rsidRPr="00213012">
        <w:rPr>
          <w:color w:val="4F81BD" w:themeColor="accent1"/>
        </w:rPr>
        <w:tab/>
        <w:t xml:space="preserve">Evidence from non-stand alone </w:t>
      </w:r>
      <w:r w:rsidRPr="00213012">
        <w:rPr>
          <w:i/>
          <w:iCs/>
          <w:color w:val="4F81BD" w:themeColor="accent1"/>
        </w:rPr>
        <w:t xml:space="preserve">in </w:t>
      </w:r>
      <w:proofErr w:type="spellStart"/>
      <w:r w:rsidRPr="00213012">
        <w:rPr>
          <w:i/>
          <w:iCs/>
          <w:color w:val="4F81BD" w:themeColor="accent1"/>
        </w:rPr>
        <w:t>chemico</w:t>
      </w:r>
      <w:proofErr w:type="spellEnd"/>
      <w:r w:rsidRPr="00213012">
        <w:rPr>
          <w:i/>
          <w:iCs/>
          <w:color w:val="4F81BD" w:themeColor="accent1"/>
        </w:rPr>
        <w:t>/in vitro</w:t>
      </w:r>
      <w:r w:rsidRPr="00213012">
        <w:rPr>
          <w:color w:val="4F81BD" w:themeColor="accent1"/>
        </w:rPr>
        <w:t xml:space="preserve"> methods and from non-test methods should not be considered at this stage if this data is already used in a defined approach under 3.4.2.2.7.2</w:t>
      </w:r>
      <w:r w:rsidRPr="00213012">
        <w:rPr>
          <w:color w:val="FF0000"/>
        </w:rPr>
        <w:t xml:space="preserve">. </w:t>
      </w:r>
    </w:p>
    <w:p w14:paraId="3185D2B0" w14:textId="77777777" w:rsidR="00891B72" w:rsidRPr="00D6769C" w:rsidRDefault="00891B72" w:rsidP="00891B72">
      <w:pPr>
        <w:keepNext/>
        <w:keepLines/>
        <w:tabs>
          <w:tab w:val="left" w:pos="1418"/>
        </w:tabs>
        <w:spacing w:after="240"/>
        <w:jc w:val="both"/>
        <w:rPr>
          <w:iCs/>
          <w:color w:val="4F81BD" w:themeColor="accent1"/>
        </w:rPr>
      </w:pPr>
      <w:r w:rsidRPr="00D6769C">
        <w:rPr>
          <w:iCs/>
          <w:color w:val="4F81BD" w:themeColor="accent1"/>
        </w:rPr>
        <w:t>3.4.2.2.7.5</w:t>
      </w:r>
      <w:r>
        <w:rPr>
          <w:iCs/>
          <w:color w:val="4F81BD" w:themeColor="accent1"/>
        </w:rPr>
        <w:tab/>
      </w:r>
      <w:r w:rsidRPr="00D6769C">
        <w:rPr>
          <w:iCs/>
          <w:color w:val="4F81BD" w:themeColor="accent1"/>
        </w:rPr>
        <w:t xml:space="preserve">Individual non-stand alone </w:t>
      </w:r>
      <w:r w:rsidRPr="00D6769C">
        <w:rPr>
          <w:i/>
          <w:iCs/>
          <w:color w:val="4F81BD" w:themeColor="accent1"/>
        </w:rPr>
        <w:t xml:space="preserve">in </w:t>
      </w:r>
      <w:proofErr w:type="spellStart"/>
      <w:r w:rsidRPr="00D6769C">
        <w:rPr>
          <w:i/>
          <w:iCs/>
          <w:color w:val="4F81BD" w:themeColor="accent1"/>
        </w:rPr>
        <w:t>chemico</w:t>
      </w:r>
      <w:proofErr w:type="spellEnd"/>
      <w:r w:rsidRPr="00D6769C">
        <w:rPr>
          <w:i/>
          <w:iCs/>
          <w:color w:val="4F81BD" w:themeColor="accent1"/>
        </w:rPr>
        <w:t>/in vitro</w:t>
      </w:r>
      <w:r w:rsidRPr="00D6769C">
        <w:rPr>
          <w:iCs/>
          <w:color w:val="4F81BD" w:themeColor="accent1"/>
        </w:rPr>
        <w:t xml:space="preserve"> methods validated according to international procedures, non-test methods (including read-across) and low confidence/inconclusive data from defined approaches can be applied in a weight-of-evidence assessment together with inconclusive data from</w:t>
      </w:r>
      <w:r w:rsidRPr="00D6769C">
        <w:rPr>
          <w:iCs/>
          <w:strike/>
          <w:color w:val="4F81BD" w:themeColor="accent1"/>
        </w:rPr>
        <w:t xml:space="preserve"> </w:t>
      </w:r>
      <w:r w:rsidRPr="00D6769C">
        <w:rPr>
          <w:iCs/>
          <w:color w:val="4F81BD" w:themeColor="accent1"/>
        </w:rPr>
        <w:t>Tier 1 and should be used in this second Tier because they can usually not be used as stand-alone (</w:t>
      </w:r>
      <w:proofErr w:type="gramStart"/>
      <w:r w:rsidRPr="00D6769C">
        <w:rPr>
          <w:iCs/>
          <w:color w:val="4F81BD" w:themeColor="accent1"/>
        </w:rPr>
        <w:t>with the exception of</w:t>
      </w:r>
      <w:proofErr w:type="gramEnd"/>
      <w:r w:rsidRPr="00D6769C">
        <w:rPr>
          <w:iCs/>
          <w:color w:val="4F81BD" w:themeColor="accent1"/>
        </w:rPr>
        <w:t xml:space="preserve"> good quality read</w:t>
      </w:r>
      <w:r>
        <w:rPr>
          <w:iCs/>
          <w:color w:val="4F81BD" w:themeColor="accent1"/>
        </w:rPr>
        <w:t>-</w:t>
      </w:r>
      <w:r w:rsidRPr="00D6769C">
        <w:rPr>
          <w:iCs/>
          <w:color w:val="4F81BD" w:themeColor="accent1"/>
        </w:rPr>
        <w:t xml:space="preserve">across). However, a competent authority may decide that a positive result with one of </w:t>
      </w:r>
      <w:proofErr w:type="gramStart"/>
      <w:r w:rsidRPr="00D6769C">
        <w:rPr>
          <w:iCs/>
          <w:color w:val="4F81BD" w:themeColor="accent1"/>
        </w:rPr>
        <w:t>these non-stand</w:t>
      </w:r>
      <w:proofErr w:type="gramEnd"/>
      <w:r w:rsidRPr="00D6769C">
        <w:rPr>
          <w:iCs/>
          <w:color w:val="4F81BD" w:themeColor="accent1"/>
        </w:rPr>
        <w:t xml:space="preserve"> alone </w:t>
      </w:r>
      <w:r w:rsidRPr="00BE4FA0">
        <w:rPr>
          <w:i/>
          <w:color w:val="4F81BD" w:themeColor="accent1"/>
        </w:rPr>
        <w:t>in</w:t>
      </w:r>
      <w:r w:rsidRPr="00D6769C">
        <w:rPr>
          <w:iCs/>
          <w:color w:val="4F81BD" w:themeColor="accent1"/>
        </w:rPr>
        <w:t xml:space="preserve"> </w:t>
      </w:r>
      <w:proofErr w:type="spellStart"/>
      <w:r w:rsidRPr="00D6769C">
        <w:rPr>
          <w:i/>
          <w:color w:val="4F81BD" w:themeColor="accent1"/>
        </w:rPr>
        <w:t>chemico</w:t>
      </w:r>
      <w:proofErr w:type="spellEnd"/>
      <w:r w:rsidRPr="00D6769C">
        <w:rPr>
          <w:i/>
          <w:color w:val="4F81BD" w:themeColor="accent1"/>
        </w:rPr>
        <w:t>/in vitro</w:t>
      </w:r>
      <w:r w:rsidRPr="00D6769C">
        <w:rPr>
          <w:iCs/>
          <w:color w:val="4F81BD" w:themeColor="accent1"/>
        </w:rPr>
        <w:t xml:space="preserve"> methods, may be used on its own to classify in category 1 (see Table 3.4.</w:t>
      </w:r>
      <w:r w:rsidRPr="003231AB">
        <w:rPr>
          <w:iCs/>
          <w:color w:val="FF0000"/>
        </w:rPr>
        <w:t>7</w:t>
      </w:r>
      <w:r w:rsidRPr="00D6769C">
        <w:rPr>
          <w:iCs/>
          <w:color w:val="4F81BD" w:themeColor="accent1"/>
        </w:rPr>
        <w:t>).</w:t>
      </w:r>
    </w:p>
    <w:p w14:paraId="75F0656D" w14:textId="77777777" w:rsidR="00891B72" w:rsidRPr="00364002" w:rsidRDefault="00891B72" w:rsidP="00891B72">
      <w:pPr>
        <w:tabs>
          <w:tab w:val="left" w:pos="1418"/>
        </w:tabs>
        <w:spacing w:after="240"/>
        <w:rPr>
          <w:color w:val="4F81BD" w:themeColor="accent1"/>
        </w:rPr>
      </w:pPr>
      <w:r w:rsidRPr="00E362D9">
        <w:rPr>
          <w:color w:val="4F81BD" w:themeColor="accent1"/>
        </w:rPr>
        <w:t>3.4.2.2.7.6</w:t>
      </w:r>
      <w:r w:rsidRPr="00E362D9">
        <w:rPr>
          <w:color w:val="4F81BD" w:themeColor="accent1"/>
        </w:rPr>
        <w:tab/>
      </w:r>
      <w:r w:rsidRPr="00364002">
        <w:rPr>
          <w:color w:val="0070C0"/>
        </w:rPr>
        <w:t xml:space="preserve">Tier 3 - </w:t>
      </w:r>
      <w:r w:rsidRPr="00364002">
        <w:rPr>
          <w:bCs/>
          <w:color w:val="0070C0"/>
        </w:rPr>
        <w:t xml:space="preserve">Classification based on overall weight-of-evidence, including additional indicators </w:t>
      </w:r>
    </w:p>
    <w:p w14:paraId="22700F58" w14:textId="77777777" w:rsidR="00891B72" w:rsidRPr="00210979" w:rsidRDefault="00891B72" w:rsidP="00891B72">
      <w:pPr>
        <w:tabs>
          <w:tab w:val="left" w:pos="1418"/>
        </w:tabs>
        <w:spacing w:after="240"/>
        <w:jc w:val="both"/>
        <w:rPr>
          <w:strike/>
          <w:color w:val="000000"/>
        </w:rPr>
      </w:pPr>
      <w:r>
        <w:rPr>
          <w:color w:val="4F81BD" w:themeColor="accent1"/>
        </w:rPr>
        <w:tab/>
      </w:r>
      <w:r w:rsidRPr="00E362D9">
        <w:rPr>
          <w:color w:val="4F81BD" w:themeColor="accent1"/>
        </w:rPr>
        <w:t>In case a definitive conclusion on classification including sub-categorization where required by a competent authority, cannot be derived from the previous tiers, an overall weight-of-evidence assessment using expert judgment should be used that may include a combination of two or more indicators of skin sensitization as listed below</w:t>
      </w:r>
      <w:r>
        <w:rPr>
          <w:color w:val="4F81BD" w:themeColor="accent1"/>
        </w:rPr>
        <w:t>.</w:t>
      </w:r>
      <w:r w:rsidRPr="00402D4B">
        <w:t xml:space="preserve"> </w:t>
      </w:r>
    </w:p>
    <w:p w14:paraId="4009697A" w14:textId="77777777" w:rsidR="00891B72" w:rsidRPr="00402D4B" w:rsidRDefault="00891B72" w:rsidP="00891B72">
      <w:pPr>
        <w:pStyle w:val="GHSSubparas1"/>
      </w:pPr>
      <w:r w:rsidRPr="00402D4B">
        <w:t>(a)</w:t>
      </w:r>
      <w:r w:rsidRPr="00402D4B">
        <w:tab/>
        <w:t xml:space="preserve">Isolated episodes of allergic contact </w:t>
      </w:r>
      <w:proofErr w:type="gramStart"/>
      <w:r w:rsidRPr="00402D4B">
        <w:t>dermatitis;</w:t>
      </w:r>
      <w:proofErr w:type="gramEnd"/>
    </w:p>
    <w:p w14:paraId="4420443D" w14:textId="77777777" w:rsidR="00891B72" w:rsidRPr="00402D4B" w:rsidRDefault="00891B72" w:rsidP="00891B72">
      <w:pPr>
        <w:pStyle w:val="GHSSubparas1"/>
      </w:pPr>
      <w:r w:rsidRPr="00402D4B">
        <w:t>(b)</w:t>
      </w:r>
      <w:r w:rsidRPr="00402D4B">
        <w:tab/>
        <w:t xml:space="preserve">Epidemiological studies of limited power, </w:t>
      </w:r>
      <w:proofErr w:type="gramStart"/>
      <w:r w:rsidRPr="00402D4B">
        <w:t>e.g.</w:t>
      </w:r>
      <w:proofErr w:type="gramEnd"/>
      <w:r w:rsidRPr="00402D4B">
        <w:t xml:space="preserve"> where chance, bias or confounders have not been ruled out fully with reasonable confidence;</w:t>
      </w:r>
    </w:p>
    <w:p w14:paraId="24E6A69D" w14:textId="77777777" w:rsidR="00891B72" w:rsidRPr="00210979" w:rsidRDefault="00891B72" w:rsidP="00891B72">
      <w:pPr>
        <w:pStyle w:val="GHSSubparas1"/>
      </w:pPr>
      <w:r w:rsidRPr="00210979">
        <w:t>(c)</w:t>
      </w:r>
      <w:r w:rsidRPr="00210979">
        <w:tab/>
        <w:t xml:space="preserve">Data from animal tests, performed according to existing guidelines, which do not meet the criteria for a positive result described in 3.4.2.2.3, but which are sufficiently close to the limit to be considered </w:t>
      </w:r>
      <w:proofErr w:type="gramStart"/>
      <w:r w:rsidRPr="00210979">
        <w:t>significant;</w:t>
      </w:r>
      <w:proofErr w:type="gramEnd"/>
    </w:p>
    <w:p w14:paraId="3F928F54" w14:textId="77777777" w:rsidR="00891B72" w:rsidRDefault="00891B72" w:rsidP="00891B72">
      <w:pPr>
        <w:pStyle w:val="GHSSubparas1"/>
      </w:pPr>
      <w:r w:rsidRPr="00210979">
        <w:rPr>
          <w:color w:val="auto"/>
        </w:rPr>
        <w:t>(d)</w:t>
      </w:r>
      <w:r w:rsidRPr="00402D4B">
        <w:tab/>
      </w:r>
      <w:r>
        <w:t>D</w:t>
      </w:r>
      <w:r w:rsidRPr="00402D4B">
        <w:t xml:space="preserve">ata from non-standard </w:t>
      </w:r>
      <w:proofErr w:type="gramStart"/>
      <w:r w:rsidRPr="00402D4B">
        <w:t>methods;</w:t>
      </w:r>
      <w:proofErr w:type="gramEnd"/>
    </w:p>
    <w:p w14:paraId="74916F7D" w14:textId="77777777" w:rsidR="00891B72" w:rsidRPr="005A5DD7" w:rsidRDefault="00891B72" w:rsidP="00891B72">
      <w:pPr>
        <w:pStyle w:val="GHSSubparas1"/>
        <w:rPr>
          <w:strike/>
        </w:rPr>
      </w:pPr>
      <w:r w:rsidRPr="005A5DD7">
        <w:rPr>
          <w:strike/>
          <w:color w:val="auto"/>
        </w:rPr>
        <w:t>(e)</w:t>
      </w:r>
      <w:r w:rsidRPr="005A5DD7">
        <w:rPr>
          <w:strike/>
          <w:color w:val="auto"/>
        </w:rPr>
        <w:tab/>
        <w:t>Positive results from close structural analogies.</w:t>
      </w:r>
    </w:p>
    <w:p w14:paraId="0A6F16C9" w14:textId="77777777" w:rsidR="00891B72" w:rsidRDefault="00891B72" w:rsidP="00891B72">
      <w:pPr>
        <w:autoSpaceDE w:val="0"/>
        <w:autoSpaceDN w:val="0"/>
        <w:adjustRightInd w:val="0"/>
        <w:jc w:val="both"/>
        <w:rPr>
          <w:b/>
          <w:bCs/>
          <w:color w:val="FF0000"/>
        </w:rPr>
      </w:pPr>
      <w:r w:rsidRPr="00E362D9">
        <w:rPr>
          <w:color w:val="4F81BD" w:themeColor="accent1"/>
        </w:rPr>
        <w:t xml:space="preserve">3.4.2.2.7.7 </w:t>
      </w:r>
      <w:r w:rsidRPr="00290286">
        <w:rPr>
          <w:color w:val="FF0000"/>
        </w:rPr>
        <w:tab/>
      </w:r>
      <w:r w:rsidRPr="00A72D64">
        <w:rPr>
          <w:color w:val="4F81BD" w:themeColor="accent1"/>
        </w:rPr>
        <w:t>Where information from the various tiers is inconsistent and/or conflicting with respect to the resulting classification, information of sufficient quality from a higher tier is generally given a higher weight than information from a lower tier. However, when information from a lower tier would result in a stricter classification than information from a higher tier and there is concern for misclassification, then classification is determined by an overall weight of evidence assessment (</w:t>
      </w:r>
      <w:proofErr w:type="gramStart"/>
      <w:r w:rsidRPr="00A72D64">
        <w:rPr>
          <w:color w:val="4F81BD" w:themeColor="accent1"/>
        </w:rPr>
        <w:t>i.e.</w:t>
      </w:r>
      <w:proofErr w:type="gramEnd"/>
      <w:r w:rsidRPr="00A72D64">
        <w:rPr>
          <w:color w:val="4F81BD" w:themeColor="accent1"/>
        </w:rPr>
        <w:t xml:space="preserve"> in Tier 3). </w:t>
      </w:r>
      <w:r w:rsidRPr="00E362D9">
        <w:rPr>
          <w:color w:val="4F81BD" w:themeColor="accent1"/>
        </w:rPr>
        <w:t xml:space="preserve">For example, having consulted the guidance in 3.4.5.3 as appropriate, </w:t>
      </w:r>
      <w:r w:rsidRPr="00E362D9">
        <w:rPr>
          <w:rFonts w:eastAsiaTheme="minorEastAsia"/>
          <w:color w:val="4F81BD" w:themeColor="accent1"/>
          <w:lang w:eastAsia="zh-CN"/>
        </w:rPr>
        <w:t xml:space="preserve">classifiers concerned with a negative result for </w:t>
      </w:r>
      <w:r>
        <w:rPr>
          <w:rFonts w:eastAsiaTheme="minorEastAsia"/>
          <w:color w:val="4F81BD" w:themeColor="accent1"/>
          <w:lang w:eastAsia="zh-CN"/>
        </w:rPr>
        <w:t>skin sensitization</w:t>
      </w:r>
      <w:r w:rsidRPr="00E362D9">
        <w:rPr>
          <w:rFonts w:eastAsiaTheme="minorEastAsia"/>
          <w:color w:val="4F81BD" w:themeColor="accent1"/>
          <w:lang w:eastAsia="zh-CN"/>
        </w:rPr>
        <w:t xml:space="preserve"> in a Buehler</w:t>
      </w:r>
      <w:r w:rsidRPr="00E362D9">
        <w:rPr>
          <w:rFonts w:eastAsiaTheme="minorEastAsia"/>
          <w:i/>
          <w:iCs/>
          <w:color w:val="4F81BD" w:themeColor="accent1"/>
          <w:lang w:eastAsia="zh-CN"/>
        </w:rPr>
        <w:t xml:space="preserve"> </w:t>
      </w:r>
      <w:r w:rsidRPr="00E362D9">
        <w:rPr>
          <w:rFonts w:eastAsiaTheme="minorEastAsia"/>
          <w:color w:val="4F81BD" w:themeColor="accent1"/>
          <w:lang w:eastAsia="zh-CN"/>
        </w:rPr>
        <w:t xml:space="preserve">study when there is a clear positive result in humans for very similar substances (from </w:t>
      </w:r>
      <w:proofErr w:type="gramStart"/>
      <w:r w:rsidRPr="00E362D9">
        <w:rPr>
          <w:rFonts w:eastAsiaTheme="minorEastAsia"/>
          <w:color w:val="4F81BD" w:themeColor="accent1"/>
          <w:lang w:eastAsia="zh-CN"/>
        </w:rPr>
        <w:t>read</w:t>
      </w:r>
      <w:r>
        <w:rPr>
          <w:rFonts w:eastAsiaTheme="minorEastAsia"/>
          <w:color w:val="4F81BD" w:themeColor="accent1"/>
          <w:lang w:eastAsia="zh-CN"/>
        </w:rPr>
        <w:t>-</w:t>
      </w:r>
      <w:r w:rsidRPr="00E362D9">
        <w:rPr>
          <w:rFonts w:eastAsiaTheme="minorEastAsia"/>
          <w:color w:val="4F81BD" w:themeColor="accent1"/>
          <w:lang w:eastAsia="zh-CN"/>
        </w:rPr>
        <w:t>across</w:t>
      </w:r>
      <w:proofErr w:type="gramEnd"/>
      <w:r w:rsidRPr="00E362D9">
        <w:rPr>
          <w:rFonts w:eastAsiaTheme="minorEastAsia"/>
          <w:color w:val="4F81BD" w:themeColor="accent1"/>
          <w:lang w:eastAsia="zh-CN"/>
        </w:rPr>
        <w:t>) would utilise an overall weight of evidence approach.</w:t>
      </w:r>
    </w:p>
    <w:p w14:paraId="62C9C09C" w14:textId="77777777" w:rsidR="00891B72" w:rsidRPr="003B2F7A" w:rsidRDefault="00891B72" w:rsidP="00891B72">
      <w:pPr>
        <w:tabs>
          <w:tab w:val="left" w:pos="1418"/>
        </w:tabs>
        <w:autoSpaceDE w:val="0"/>
        <w:autoSpaceDN w:val="0"/>
        <w:adjustRightInd w:val="0"/>
        <w:rPr>
          <w:b/>
          <w:bCs/>
          <w:color w:val="FF0000"/>
        </w:rPr>
      </w:pPr>
    </w:p>
    <w:p w14:paraId="70EF0539" w14:textId="77777777" w:rsidR="00891B72" w:rsidRPr="00290286" w:rsidRDefault="00891B72" w:rsidP="00891B72">
      <w:pPr>
        <w:pStyle w:val="GHSHeading5"/>
        <w:keepNext w:val="0"/>
        <w:keepLines w:val="0"/>
        <w:tabs>
          <w:tab w:val="clear" w:pos="1985"/>
          <w:tab w:val="clear" w:pos="2552"/>
          <w:tab w:val="clear" w:pos="3119"/>
          <w:tab w:val="clear" w:pos="3686"/>
        </w:tabs>
        <w:spacing w:after="240"/>
        <w:rPr>
          <w:sz w:val="20"/>
          <w:szCs w:val="20"/>
        </w:rPr>
      </w:pPr>
      <w:r w:rsidRPr="00290286">
        <w:rPr>
          <w:sz w:val="20"/>
          <w:szCs w:val="20"/>
        </w:rPr>
        <w:t>3.4.2.2.</w:t>
      </w:r>
      <w:r w:rsidRPr="00E362D9">
        <w:rPr>
          <w:color w:val="4F81BD" w:themeColor="accent1"/>
          <w:sz w:val="20"/>
          <w:szCs w:val="20"/>
        </w:rPr>
        <w:t>8</w:t>
      </w:r>
      <w:r w:rsidRPr="00290286">
        <w:rPr>
          <w:sz w:val="20"/>
          <w:szCs w:val="20"/>
        </w:rPr>
        <w:tab/>
      </w:r>
      <w:r w:rsidRPr="00290286">
        <w:rPr>
          <w:iCs/>
          <w:sz w:val="20"/>
          <w:szCs w:val="20"/>
        </w:rPr>
        <w:t>Immunological contact urticaria</w:t>
      </w:r>
    </w:p>
    <w:p w14:paraId="1CA852C5" w14:textId="77777777" w:rsidR="00891B72" w:rsidRPr="00402D4B" w:rsidRDefault="00891B72" w:rsidP="00891B72">
      <w:pPr>
        <w:pStyle w:val="GHS1stline"/>
        <w:tabs>
          <w:tab w:val="clear" w:pos="1985"/>
        </w:tabs>
        <w:ind w:firstLine="0"/>
      </w:pPr>
      <w:r w:rsidRPr="00A015B3">
        <w:rPr>
          <w:color w:val="0070C0"/>
        </w:rPr>
        <w:t>3.4.2.2.8.1</w:t>
      </w:r>
      <w:r>
        <w:tab/>
      </w:r>
      <w:r w:rsidRPr="00402D4B">
        <w:t>Substances meeting the criteria for classification as respiratory sensitizers may in addition cause immunological contact urticaria. Consideration should be given to classifying these substances also as skin sensitizers. Substances which cause immunological contact urticaria without meeting the criteria</w:t>
      </w:r>
      <w:r w:rsidRPr="00402D4B">
        <w:rPr>
          <w:b/>
        </w:rPr>
        <w:t xml:space="preserve"> </w:t>
      </w:r>
      <w:r w:rsidRPr="00402D4B">
        <w:t>for</w:t>
      </w:r>
      <w:r w:rsidRPr="00402D4B">
        <w:rPr>
          <w:b/>
        </w:rPr>
        <w:t xml:space="preserve"> </w:t>
      </w:r>
      <w:r w:rsidRPr="00402D4B">
        <w:t>respiratory sensitizers</w:t>
      </w:r>
      <w:r w:rsidRPr="00402D4B">
        <w:rPr>
          <w:b/>
        </w:rPr>
        <w:t xml:space="preserve"> </w:t>
      </w:r>
      <w:r w:rsidRPr="00402D4B">
        <w:t>should also be considered for classification as skin sensitizers.</w:t>
      </w:r>
    </w:p>
    <w:p w14:paraId="007C1B2C" w14:textId="48C10D7A" w:rsidR="00891B72" w:rsidRDefault="00891B72" w:rsidP="00891B72">
      <w:pPr>
        <w:pStyle w:val="GHS1stline"/>
        <w:ind w:firstLine="0"/>
        <w:rPr>
          <w:b/>
          <w:bCs/>
          <w:color w:val="4F81BD" w:themeColor="accent1"/>
        </w:rPr>
      </w:pPr>
      <w:r w:rsidRPr="00A015B3">
        <w:rPr>
          <w:color w:val="0070C0"/>
        </w:rPr>
        <w:t>3.4.2.2.8.2</w:t>
      </w:r>
      <w:r>
        <w:tab/>
      </w:r>
      <w:r w:rsidRPr="00402D4B">
        <w:t xml:space="preserve">There is no recognized animal model available to identify substances which cause immunological contact urticaria. Therefore, classification will normally be based on human evidence which will be </w:t>
      </w:r>
      <w:proofErr w:type="gramStart"/>
      <w:r w:rsidRPr="00402D4B">
        <w:t>similar to</w:t>
      </w:r>
      <w:proofErr w:type="gramEnd"/>
      <w:r w:rsidRPr="00402D4B">
        <w:t xml:space="preserve"> that for skin sensitization.</w:t>
      </w:r>
      <w:r>
        <w:t xml:space="preserve"> </w:t>
      </w:r>
    </w:p>
    <w:p w14:paraId="342B2507" w14:textId="104AD0E5" w:rsidR="00891B72" w:rsidRPr="006E7457" w:rsidRDefault="00FE7747" w:rsidP="00FE7747">
      <w:pPr>
        <w:tabs>
          <w:tab w:val="left" w:pos="495"/>
          <w:tab w:val="center" w:pos="4819"/>
        </w:tabs>
        <w:spacing w:after="200" w:line="276" w:lineRule="auto"/>
        <w:rPr>
          <w:b/>
          <w:bCs/>
          <w:color w:val="4F81BD" w:themeColor="accent1"/>
        </w:rPr>
      </w:pPr>
      <w:r>
        <w:rPr>
          <w:b/>
          <w:bCs/>
          <w:color w:val="4F81BD" w:themeColor="accent1"/>
        </w:rPr>
        <w:tab/>
      </w:r>
      <w:r>
        <w:rPr>
          <w:b/>
          <w:bCs/>
          <w:color w:val="4F81BD" w:themeColor="accent1"/>
        </w:rPr>
        <w:tab/>
      </w:r>
      <w:r w:rsidR="00891B72" w:rsidRPr="006E7457">
        <w:rPr>
          <w:b/>
          <w:bCs/>
          <w:color w:val="4F81BD" w:themeColor="accent1"/>
        </w:rPr>
        <w:t xml:space="preserve">Figure 3.4.1: Application of the tiered approach for skin </w:t>
      </w:r>
      <w:proofErr w:type="spellStart"/>
      <w:r w:rsidR="00891B72" w:rsidRPr="006E7457">
        <w:rPr>
          <w:b/>
          <w:bCs/>
          <w:color w:val="4F81BD" w:themeColor="accent1"/>
        </w:rPr>
        <w:t>sensitization</w:t>
      </w:r>
      <w:r w:rsidR="00891B72" w:rsidRPr="006E7457">
        <w:rPr>
          <w:b/>
          <w:bCs/>
          <w:color w:val="4F81BD" w:themeColor="accent1"/>
          <w:vertAlign w:val="superscript"/>
        </w:rPr>
        <w:t>a</w:t>
      </w:r>
      <w:proofErr w:type="spellEnd"/>
    </w:p>
    <w:p w14:paraId="6707CF9B" w14:textId="31F96C6B" w:rsidR="00891B72" w:rsidRPr="006E7457" w:rsidRDefault="00D00DAA" w:rsidP="00D00DAA">
      <w:pPr>
        <w:spacing w:after="200" w:line="276" w:lineRule="auto"/>
        <w:rPr>
          <w:color w:val="4F81BD" w:themeColor="accent1"/>
        </w:rPr>
      </w:pPr>
      <w:r>
        <w:object w:dxaOrig="10276" w:dyaOrig="7575" w14:anchorId="5D5EF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8pt;height:368.5pt" o:ole="">
            <v:imagedata r:id="rId11" o:title=""/>
          </v:shape>
          <o:OLEObject Type="Embed" ProgID="Visio.Drawing.15" ShapeID="_x0000_i1025" DrawAspect="Content" ObjectID="_1724761925" r:id="rId12"/>
        </w:object>
      </w:r>
    </w:p>
    <w:p w14:paraId="31B458AF" w14:textId="77777777" w:rsidR="00891B72" w:rsidRPr="006E7457" w:rsidRDefault="00891B72" w:rsidP="00D00DAA">
      <w:pPr>
        <w:spacing w:after="160" w:line="240" w:lineRule="auto"/>
        <w:rPr>
          <w:i/>
          <w:color w:val="4F81BD" w:themeColor="accent1"/>
        </w:rPr>
      </w:pPr>
      <w:r w:rsidRPr="006E7457">
        <w:rPr>
          <w:b/>
          <w:color w:val="4F81BD" w:themeColor="accent1"/>
          <w:vertAlign w:val="superscript"/>
        </w:rPr>
        <w:t>a</w:t>
      </w:r>
      <w:r w:rsidRPr="006E7457">
        <w:rPr>
          <w:color w:val="4F81BD" w:themeColor="accent1"/>
        </w:rPr>
        <w:tab/>
      </w:r>
      <w:r w:rsidRPr="006E7457">
        <w:rPr>
          <w:i/>
          <w:color w:val="4F81BD" w:themeColor="accent1"/>
        </w:rPr>
        <w:t>Before applying the approach, the explanatory text in 3.4.2.2.7 as well as the guidance in 3.4.5.3 should be consulted. Only adequate and reliable data of sufficient quality should be included in applying the tiered approach.</w:t>
      </w:r>
    </w:p>
    <w:p w14:paraId="6EBAF036" w14:textId="77777777" w:rsidR="00891B72" w:rsidRPr="006E7457" w:rsidRDefault="00891B72" w:rsidP="00D00DAA">
      <w:pPr>
        <w:spacing w:after="160" w:line="240" w:lineRule="auto"/>
        <w:rPr>
          <w:i/>
          <w:color w:val="4F81BD" w:themeColor="accent1"/>
        </w:rPr>
      </w:pPr>
      <w:r w:rsidRPr="006E7457">
        <w:rPr>
          <w:b/>
          <w:color w:val="4F81BD" w:themeColor="accent1"/>
          <w:vertAlign w:val="superscript"/>
        </w:rPr>
        <w:t>b</w:t>
      </w:r>
      <w:r w:rsidRPr="006E7457">
        <w:rPr>
          <w:color w:val="4F81BD" w:themeColor="accent1"/>
        </w:rPr>
        <w:tab/>
      </w:r>
      <w:r w:rsidRPr="006E7457">
        <w:rPr>
          <w:i/>
          <w:color w:val="4F81BD" w:themeColor="accent1"/>
        </w:rPr>
        <w:t>Information may be inconclusive for various reasons, e.g.:</w:t>
      </w:r>
    </w:p>
    <w:p w14:paraId="149E4221" w14:textId="77777777" w:rsidR="00891B72" w:rsidRPr="006E7457" w:rsidRDefault="00891B72" w:rsidP="00D00DAA">
      <w:pPr>
        <w:numPr>
          <w:ilvl w:val="0"/>
          <w:numId w:val="14"/>
        </w:numPr>
        <w:suppressAutoHyphens w:val="0"/>
        <w:spacing w:after="160" w:line="240" w:lineRule="auto"/>
        <w:rPr>
          <w:i/>
          <w:color w:val="4F81BD" w:themeColor="accent1"/>
        </w:rPr>
      </w:pPr>
      <w:r w:rsidRPr="006E7457">
        <w:rPr>
          <w:i/>
          <w:color w:val="4F81BD" w:themeColor="accent1"/>
        </w:rPr>
        <w:t xml:space="preserve">The available data may be of insufficient quality, or otherwise insufficient/inadequate for the purpose of classification, </w:t>
      </w:r>
      <w:proofErr w:type="gramStart"/>
      <w:r w:rsidRPr="006E7457">
        <w:rPr>
          <w:i/>
          <w:color w:val="4F81BD" w:themeColor="accent1"/>
        </w:rPr>
        <w:t>e.g.</w:t>
      </w:r>
      <w:proofErr w:type="gramEnd"/>
      <w:r w:rsidRPr="006E7457">
        <w:rPr>
          <w:i/>
          <w:color w:val="4F81BD" w:themeColor="accent1"/>
        </w:rPr>
        <w:t xml:space="preserve"> due to quality issues related to experimental design and/or reporting;</w:t>
      </w:r>
    </w:p>
    <w:p w14:paraId="165B9EDE" w14:textId="77777777" w:rsidR="00891B72" w:rsidRPr="006E7457" w:rsidRDefault="00891B72" w:rsidP="00891B72">
      <w:pPr>
        <w:numPr>
          <w:ilvl w:val="0"/>
          <w:numId w:val="14"/>
        </w:numPr>
        <w:suppressAutoHyphens w:val="0"/>
        <w:spacing w:after="200" w:line="276" w:lineRule="auto"/>
        <w:rPr>
          <w:i/>
          <w:color w:val="4F81BD" w:themeColor="accent1"/>
        </w:rPr>
      </w:pPr>
      <w:r w:rsidRPr="006E7457">
        <w:rPr>
          <w:i/>
          <w:color w:val="4F81BD" w:themeColor="accent1"/>
        </w:rPr>
        <w:t>Where competent authorities make use of the skin sensiti</w:t>
      </w:r>
      <w:r>
        <w:rPr>
          <w:i/>
          <w:color w:val="4F81BD" w:themeColor="accent1"/>
        </w:rPr>
        <w:t>z</w:t>
      </w:r>
      <w:r w:rsidRPr="006E7457">
        <w:rPr>
          <w:i/>
          <w:color w:val="4F81BD" w:themeColor="accent1"/>
        </w:rPr>
        <w:t>ation sub-categories 1A and 1B, the available data may not be capable of distinguishing between sub-category 1A and sub-category 1B.</w:t>
      </w:r>
    </w:p>
    <w:p w14:paraId="53EA6AF0" w14:textId="77777777" w:rsidR="00891B72" w:rsidRPr="00402D4B" w:rsidRDefault="00891B72" w:rsidP="00891B72">
      <w:pPr>
        <w:pStyle w:val="GHSHeading3"/>
        <w:keepLines/>
        <w:tabs>
          <w:tab w:val="clear" w:pos="1418"/>
        </w:tabs>
        <w:spacing w:after="240"/>
        <w:ind w:left="1418" w:hanging="1418"/>
        <w:rPr>
          <w:sz w:val="20"/>
          <w:szCs w:val="20"/>
        </w:rPr>
      </w:pPr>
      <w:r w:rsidRPr="00402D4B">
        <w:rPr>
          <w:sz w:val="20"/>
          <w:szCs w:val="20"/>
        </w:rPr>
        <w:t>3.4.3</w:t>
      </w:r>
      <w:r w:rsidRPr="00402D4B">
        <w:rPr>
          <w:sz w:val="20"/>
          <w:szCs w:val="20"/>
        </w:rPr>
        <w:tab/>
        <w:t>Classification criteria for mixtures</w:t>
      </w:r>
    </w:p>
    <w:p w14:paraId="63154D2E" w14:textId="77777777" w:rsidR="00891B72" w:rsidRPr="00402D4B" w:rsidRDefault="00891B72" w:rsidP="00891B72">
      <w:pPr>
        <w:pStyle w:val="StyleGHSHeading410pt"/>
      </w:pPr>
      <w:r w:rsidRPr="00402D4B">
        <w:t>3.4.3.1</w:t>
      </w:r>
      <w:r w:rsidRPr="00402D4B">
        <w:tab/>
      </w:r>
      <w:r w:rsidRPr="00402D4B">
        <w:rPr>
          <w:i/>
          <w:iCs/>
        </w:rPr>
        <w:t>Classification of mixtures when data are available for the complete mixture</w:t>
      </w:r>
    </w:p>
    <w:p w14:paraId="433ECF4D" w14:textId="77777777" w:rsidR="00891B72" w:rsidRPr="00402D4B" w:rsidRDefault="00891B72" w:rsidP="00891B72">
      <w:pPr>
        <w:pStyle w:val="GHS1stline"/>
        <w:keepNext/>
        <w:keepLines/>
      </w:pPr>
      <w:r w:rsidRPr="00402D4B">
        <w:t>When reliable and good quality evidence from human experience or appropriate studies in experimental animals, as described in the criteria for substances, is available for the mixture, then the mixture can be classified by weight of evidence evaluation of these data. Care should be exercised in evaluating data on mixtures that the dose used does not render the results inconclusive. (For special labelling required by some competent authorities, see the note to Table 3.4.</w:t>
      </w:r>
      <w:r w:rsidRPr="00486746">
        <w:rPr>
          <w:color w:val="0070C0"/>
        </w:rPr>
        <w:t>4</w:t>
      </w:r>
      <w:r w:rsidRPr="00402D4B">
        <w:t xml:space="preserve"> of this chapter and </w:t>
      </w:r>
      <w:r w:rsidRPr="00111587">
        <w:t>3.4.4.2</w:t>
      </w:r>
      <w:r w:rsidRPr="00402D4B">
        <w:t>.)</w:t>
      </w:r>
    </w:p>
    <w:p w14:paraId="5BA3A4E6" w14:textId="77777777" w:rsidR="00891B72" w:rsidRPr="00402D4B" w:rsidRDefault="00891B72" w:rsidP="00891B72">
      <w:pPr>
        <w:pStyle w:val="StyleGHSHeading410pt"/>
      </w:pPr>
      <w:r w:rsidRPr="00402D4B">
        <w:t>3.4.3.2</w:t>
      </w:r>
      <w:r w:rsidRPr="00402D4B">
        <w:tab/>
      </w:r>
      <w:r w:rsidRPr="00402D4B">
        <w:rPr>
          <w:i/>
          <w:iCs/>
        </w:rPr>
        <w:t xml:space="preserve">Classification of mixtures when data are not available for the complete mixture: </w:t>
      </w:r>
      <w:r w:rsidRPr="00402D4B">
        <w:rPr>
          <w:i/>
          <w:iCs/>
        </w:rPr>
        <w:br/>
        <w:t>bridging principles</w:t>
      </w:r>
    </w:p>
    <w:p w14:paraId="2FF9E2EC" w14:textId="77777777" w:rsidR="00891B72" w:rsidRPr="00402D4B" w:rsidRDefault="00891B72" w:rsidP="00891B72">
      <w:pPr>
        <w:tabs>
          <w:tab w:val="left" w:pos="1418"/>
        </w:tabs>
        <w:spacing w:after="240"/>
        <w:jc w:val="both"/>
      </w:pPr>
      <w:r w:rsidRPr="00402D4B">
        <w:t>3.4.3.2.1</w:t>
      </w:r>
      <w:r w:rsidRPr="00402D4B">
        <w:tab/>
        <w:t>Where the mixture itself has not been tested to determine its sensitizing properties, but there are sufficient data on both the individual ingredients and similar tested mixtures to adequately characterize the hazards of the mixture, these data will be used in accordance with the following agreed bridging principles. This ensures that the classification process uses the available data to the greatest extent possible in characterizing the hazards of the mixture without the necessity for additional testing in animals.</w:t>
      </w:r>
    </w:p>
    <w:p w14:paraId="208349A2" w14:textId="77777777" w:rsidR="00891B72" w:rsidRPr="00402D4B" w:rsidRDefault="00891B72" w:rsidP="00891B72">
      <w:pPr>
        <w:pStyle w:val="GHSHeading5"/>
        <w:tabs>
          <w:tab w:val="clear" w:pos="1985"/>
          <w:tab w:val="clear" w:pos="2552"/>
          <w:tab w:val="clear" w:pos="3119"/>
          <w:tab w:val="clear" w:pos="3686"/>
        </w:tabs>
        <w:spacing w:after="240"/>
        <w:rPr>
          <w:i/>
          <w:iCs/>
          <w:sz w:val="20"/>
          <w:szCs w:val="20"/>
        </w:rPr>
      </w:pPr>
      <w:r w:rsidRPr="00402D4B">
        <w:rPr>
          <w:sz w:val="20"/>
          <w:szCs w:val="20"/>
        </w:rPr>
        <w:t>3.4.3.2.2</w:t>
      </w:r>
      <w:r w:rsidRPr="00402D4B">
        <w:rPr>
          <w:sz w:val="20"/>
          <w:szCs w:val="20"/>
        </w:rPr>
        <w:tab/>
      </w:r>
      <w:r w:rsidRPr="00402D4B">
        <w:rPr>
          <w:i/>
          <w:iCs/>
          <w:sz w:val="20"/>
          <w:szCs w:val="20"/>
        </w:rPr>
        <w:t>Dilution</w:t>
      </w:r>
    </w:p>
    <w:p w14:paraId="67AC93C8" w14:textId="77777777" w:rsidR="00891B72" w:rsidRPr="00402D4B" w:rsidRDefault="00891B72" w:rsidP="00891B72">
      <w:pPr>
        <w:pStyle w:val="GHS1stline"/>
      </w:pPr>
      <w:r w:rsidRPr="00402D4B">
        <w:t xml:space="preserve">If a tested mixture is diluted with a diluent which is not a sensitizer and which is not expected to affect the sensitization of other ingredients, then the new diluted mixture may be classified as equivalent to the original tested mixture. </w:t>
      </w:r>
    </w:p>
    <w:p w14:paraId="62AE47E1" w14:textId="77777777" w:rsidR="00891B72" w:rsidRPr="00402D4B" w:rsidRDefault="00891B72" w:rsidP="00891B72">
      <w:pPr>
        <w:pStyle w:val="GHSHeading5"/>
        <w:keepNext w:val="0"/>
        <w:keepLines w:val="0"/>
        <w:tabs>
          <w:tab w:val="clear" w:pos="1985"/>
          <w:tab w:val="clear" w:pos="2552"/>
          <w:tab w:val="clear" w:pos="3119"/>
          <w:tab w:val="clear" w:pos="3686"/>
        </w:tabs>
        <w:spacing w:after="240"/>
        <w:rPr>
          <w:sz w:val="20"/>
          <w:szCs w:val="20"/>
        </w:rPr>
      </w:pPr>
      <w:r w:rsidRPr="00402D4B">
        <w:rPr>
          <w:sz w:val="20"/>
          <w:szCs w:val="20"/>
        </w:rPr>
        <w:t>3.4.3.2.3</w:t>
      </w:r>
      <w:r w:rsidRPr="00402D4B">
        <w:rPr>
          <w:sz w:val="20"/>
          <w:szCs w:val="20"/>
        </w:rPr>
        <w:tab/>
      </w:r>
      <w:r w:rsidRPr="00402D4B">
        <w:rPr>
          <w:i/>
          <w:iCs/>
          <w:sz w:val="20"/>
          <w:szCs w:val="20"/>
        </w:rPr>
        <w:t>Batching</w:t>
      </w:r>
    </w:p>
    <w:p w14:paraId="530875FA" w14:textId="77777777" w:rsidR="00891B72" w:rsidRPr="00402D4B" w:rsidRDefault="00891B72" w:rsidP="00891B72">
      <w:pPr>
        <w:pStyle w:val="GHS1stline"/>
      </w:pPr>
      <w:r w:rsidRPr="00402D4B">
        <w:t>The sensitizing properties of a tested production batch of a mixture can be assumed to be substantially equivalent to that of another untested production batch of the same commercial product when produced by or under the control of the same manufacturer, unless there is reason to believe there is significant variation such that the sensitization potential of the untested batch has changed. If the latter occurs, a new classification is necessary.</w:t>
      </w:r>
    </w:p>
    <w:p w14:paraId="06A2DF9A" w14:textId="77777777" w:rsidR="00891B72" w:rsidRPr="00402D4B" w:rsidRDefault="00891B72" w:rsidP="00891B72">
      <w:pPr>
        <w:spacing w:after="240"/>
        <w:ind w:left="1418" w:hanging="1418"/>
      </w:pPr>
      <w:r w:rsidRPr="00402D4B">
        <w:rPr>
          <w:bCs/>
        </w:rPr>
        <w:t>3.4.3.2.4</w:t>
      </w:r>
      <w:r w:rsidRPr="00402D4B">
        <w:tab/>
      </w:r>
      <w:r w:rsidRPr="00402D4B">
        <w:rPr>
          <w:i/>
          <w:iCs/>
          <w:snapToGrid w:val="0"/>
          <w:color w:val="000000"/>
        </w:rPr>
        <w:t>Concentration of mixtures of the highest sensitizing category/sub-category</w:t>
      </w:r>
    </w:p>
    <w:p w14:paraId="3168BA03" w14:textId="77777777" w:rsidR="00891B72" w:rsidRPr="00402D4B" w:rsidRDefault="00891B72" w:rsidP="00891B72">
      <w:pPr>
        <w:pStyle w:val="GHS1stline"/>
      </w:pPr>
      <w:r w:rsidRPr="00402D4B">
        <w:t>If a tested mixture is classified in Category 1 or sub-category 1A, and the concentration of the ingredients of the tested mixture that are in Category 1 and sub-category 1A is increased, the resulting untested mixture should be classified in Category 1 or sub-category 1A without additional testing.</w:t>
      </w:r>
    </w:p>
    <w:p w14:paraId="19B4DF3B" w14:textId="77777777" w:rsidR="00891B72" w:rsidRPr="00402D4B" w:rsidRDefault="00891B72" w:rsidP="00891B72">
      <w:pPr>
        <w:spacing w:after="240"/>
        <w:ind w:left="1418" w:hanging="1418"/>
      </w:pPr>
      <w:r w:rsidRPr="00402D4B">
        <w:rPr>
          <w:bCs/>
        </w:rPr>
        <w:t>3.4.3.2.5</w:t>
      </w:r>
      <w:r w:rsidRPr="00402D4B">
        <w:rPr>
          <w:bCs/>
        </w:rPr>
        <w:tab/>
      </w:r>
      <w:r w:rsidRPr="00402D4B">
        <w:rPr>
          <w:i/>
          <w:iCs/>
          <w:snapToGrid w:val="0"/>
          <w:color w:val="000000"/>
        </w:rPr>
        <w:t>Interpolation within one category/sub-category</w:t>
      </w:r>
    </w:p>
    <w:p w14:paraId="4AE4A19D" w14:textId="77777777" w:rsidR="00891B72" w:rsidRPr="00402D4B" w:rsidRDefault="00891B72" w:rsidP="00891B72">
      <w:pPr>
        <w:pStyle w:val="GHS1stline"/>
      </w:pPr>
      <w:r w:rsidRPr="00402D4B">
        <w:t>For three mixtures (A, B and C) with identical ingredients, where mixtures A and B have been tested and are in the same category/sub-category, and where untested mixture C has the same toxicologically active ingredients as mixtures A and B but has concentrations of toxicologically active ingredients intermediate to the concentrations in mixtures A and B, then mixture C is assumed to be in the same category/sub-category as A and B.</w:t>
      </w:r>
    </w:p>
    <w:p w14:paraId="4018F34E" w14:textId="77777777" w:rsidR="00891B72" w:rsidRPr="00402D4B" w:rsidRDefault="00891B72" w:rsidP="00891B72">
      <w:pPr>
        <w:pStyle w:val="GHSHeading5"/>
        <w:widowControl/>
        <w:tabs>
          <w:tab w:val="clear" w:pos="1418"/>
          <w:tab w:val="clear" w:pos="1985"/>
          <w:tab w:val="clear" w:pos="2552"/>
          <w:tab w:val="clear" w:pos="3119"/>
          <w:tab w:val="clear" w:pos="3686"/>
        </w:tabs>
        <w:spacing w:after="240"/>
        <w:ind w:left="1418" w:hanging="1418"/>
        <w:rPr>
          <w:sz w:val="20"/>
          <w:szCs w:val="20"/>
          <w:u w:val="single"/>
        </w:rPr>
      </w:pPr>
      <w:r w:rsidRPr="00402D4B">
        <w:rPr>
          <w:sz w:val="20"/>
          <w:szCs w:val="20"/>
        </w:rPr>
        <w:t>3.4.3.2.6</w:t>
      </w:r>
      <w:r w:rsidRPr="00402D4B">
        <w:rPr>
          <w:sz w:val="20"/>
          <w:szCs w:val="20"/>
        </w:rPr>
        <w:tab/>
      </w:r>
      <w:r w:rsidRPr="00402D4B">
        <w:rPr>
          <w:i/>
          <w:iCs/>
          <w:sz w:val="20"/>
          <w:szCs w:val="20"/>
        </w:rPr>
        <w:t>Substantially similar mixtures</w:t>
      </w:r>
    </w:p>
    <w:p w14:paraId="183AC710" w14:textId="77777777" w:rsidR="00891B72" w:rsidRPr="00402D4B" w:rsidRDefault="00891B72" w:rsidP="00891B72">
      <w:pPr>
        <w:pStyle w:val="GHS1stline"/>
      </w:pPr>
      <w:r w:rsidRPr="00402D4B">
        <w:t>Given the following:</w:t>
      </w:r>
    </w:p>
    <w:p w14:paraId="21F36E7B" w14:textId="77777777" w:rsidR="00891B72" w:rsidRPr="00402D4B" w:rsidRDefault="00891B72" w:rsidP="00891B72">
      <w:pPr>
        <w:pStyle w:val="GHSSubparas1"/>
        <w:tabs>
          <w:tab w:val="left" w:pos="3686"/>
        </w:tabs>
        <w:spacing w:after="80"/>
      </w:pPr>
      <w:r w:rsidRPr="00402D4B">
        <w:t>(a)</w:t>
      </w:r>
      <w:r w:rsidRPr="00402D4B">
        <w:tab/>
        <w:t>Two mixtures:</w:t>
      </w:r>
      <w:r w:rsidRPr="00402D4B">
        <w:tab/>
        <w:t>(i)</w:t>
      </w:r>
      <w:r w:rsidRPr="00402D4B">
        <w:tab/>
        <w:t xml:space="preserve">A + </w:t>
      </w:r>
      <w:proofErr w:type="gramStart"/>
      <w:r w:rsidRPr="00402D4B">
        <w:t>B;</w:t>
      </w:r>
      <w:proofErr w:type="gramEnd"/>
    </w:p>
    <w:p w14:paraId="12E22AF8" w14:textId="77777777" w:rsidR="00891B72" w:rsidRPr="00402D4B" w:rsidRDefault="00891B72" w:rsidP="00891B72">
      <w:pPr>
        <w:pStyle w:val="NormalIndent"/>
        <w:keepNext/>
        <w:keepLines/>
        <w:tabs>
          <w:tab w:val="left" w:pos="3686"/>
        </w:tabs>
        <w:spacing w:after="160"/>
        <w:ind w:left="1979" w:hanging="1979"/>
        <w:rPr>
          <w:sz w:val="20"/>
          <w:szCs w:val="20"/>
        </w:rPr>
      </w:pPr>
      <w:r w:rsidRPr="00402D4B">
        <w:rPr>
          <w:sz w:val="20"/>
          <w:szCs w:val="20"/>
        </w:rPr>
        <w:tab/>
      </w:r>
      <w:r w:rsidRPr="00402D4B">
        <w:rPr>
          <w:sz w:val="20"/>
          <w:szCs w:val="20"/>
        </w:rPr>
        <w:tab/>
        <w:t>(ii)</w:t>
      </w:r>
      <w:r w:rsidRPr="00402D4B">
        <w:rPr>
          <w:sz w:val="20"/>
          <w:szCs w:val="20"/>
        </w:rPr>
        <w:tab/>
        <w:t xml:space="preserve">C + </w:t>
      </w:r>
      <w:proofErr w:type="gramStart"/>
      <w:r w:rsidRPr="00402D4B">
        <w:rPr>
          <w:sz w:val="20"/>
          <w:szCs w:val="20"/>
        </w:rPr>
        <w:t>B;</w:t>
      </w:r>
      <w:proofErr w:type="gramEnd"/>
    </w:p>
    <w:p w14:paraId="09972E1C" w14:textId="77777777" w:rsidR="00891B72" w:rsidRPr="00402D4B" w:rsidRDefault="00891B72" w:rsidP="00891B72">
      <w:pPr>
        <w:pStyle w:val="GHSSubparas1"/>
      </w:pPr>
      <w:r w:rsidRPr="00402D4B">
        <w:t>(b)</w:t>
      </w:r>
      <w:r w:rsidRPr="00402D4B">
        <w:tab/>
        <w:t xml:space="preserve">The concentration of ingredient B is essentially the same in both </w:t>
      </w:r>
      <w:proofErr w:type="gramStart"/>
      <w:r w:rsidRPr="00402D4B">
        <w:t>mixtures;</w:t>
      </w:r>
      <w:proofErr w:type="gramEnd"/>
    </w:p>
    <w:p w14:paraId="07D09CA0" w14:textId="77777777" w:rsidR="00891B72" w:rsidRPr="00402D4B" w:rsidRDefault="00891B72" w:rsidP="00891B72">
      <w:pPr>
        <w:pStyle w:val="GHSSubparas1"/>
      </w:pPr>
      <w:r w:rsidRPr="00402D4B">
        <w:t>(c)</w:t>
      </w:r>
      <w:r w:rsidRPr="00402D4B">
        <w:tab/>
        <w:t>The concentration of ingredient A in mixture (i) equals that of ingredient C in mixture (ii</w:t>
      </w:r>
      <w:proofErr w:type="gramStart"/>
      <w:r w:rsidRPr="00402D4B">
        <w:t>);</w:t>
      </w:r>
      <w:proofErr w:type="gramEnd"/>
    </w:p>
    <w:p w14:paraId="69155F4B" w14:textId="77777777" w:rsidR="00891B72" w:rsidRPr="00402D4B" w:rsidRDefault="00891B72" w:rsidP="00891B72">
      <w:pPr>
        <w:pStyle w:val="GHSSubparas1"/>
      </w:pPr>
      <w:r w:rsidRPr="00402D4B">
        <w:t>(d)</w:t>
      </w:r>
      <w:r w:rsidRPr="00402D4B">
        <w:tab/>
        <w:t xml:space="preserve">Ingredient B is a sensitizer and ingredients </w:t>
      </w:r>
      <w:proofErr w:type="gramStart"/>
      <w:r w:rsidRPr="00402D4B">
        <w:t>A</w:t>
      </w:r>
      <w:proofErr w:type="gramEnd"/>
      <w:r w:rsidRPr="00402D4B">
        <w:t xml:space="preserve"> and C are not sensitizers;</w:t>
      </w:r>
    </w:p>
    <w:p w14:paraId="73F5B0C9" w14:textId="77777777" w:rsidR="00891B72" w:rsidRPr="00402D4B" w:rsidRDefault="00891B72" w:rsidP="00891B72">
      <w:pPr>
        <w:pStyle w:val="GHSSubparas1"/>
      </w:pPr>
      <w:r w:rsidRPr="00402D4B">
        <w:t>(e)</w:t>
      </w:r>
      <w:r w:rsidRPr="00402D4B">
        <w:tab/>
        <w:t>A and C are not expected to affect the sensitizing properties of B.</w:t>
      </w:r>
    </w:p>
    <w:p w14:paraId="338C087B" w14:textId="77777777" w:rsidR="00891B72" w:rsidRPr="00402D4B" w:rsidRDefault="00891B72" w:rsidP="00891B72">
      <w:pPr>
        <w:pStyle w:val="GHS1stline"/>
      </w:pPr>
      <w:r w:rsidRPr="00402D4B">
        <w:t>If mixture (i) or (ii) is already classified by testing, then the other mixture can be assigned the same hazard category.</w:t>
      </w:r>
    </w:p>
    <w:p w14:paraId="1E2E1B18" w14:textId="77777777" w:rsidR="00891B72" w:rsidRPr="00402D4B" w:rsidRDefault="00891B72" w:rsidP="00891B72">
      <w:pPr>
        <w:pStyle w:val="GHSHeading5"/>
        <w:keepNext w:val="0"/>
        <w:keepLines w:val="0"/>
        <w:tabs>
          <w:tab w:val="clear" w:pos="1418"/>
          <w:tab w:val="clear" w:pos="1985"/>
          <w:tab w:val="clear" w:pos="2552"/>
          <w:tab w:val="clear" w:pos="3119"/>
          <w:tab w:val="clear" w:pos="3686"/>
        </w:tabs>
        <w:spacing w:after="240"/>
        <w:ind w:left="1418" w:hanging="1418"/>
        <w:rPr>
          <w:sz w:val="20"/>
          <w:szCs w:val="20"/>
        </w:rPr>
      </w:pPr>
      <w:r w:rsidRPr="00402D4B">
        <w:rPr>
          <w:sz w:val="20"/>
          <w:szCs w:val="20"/>
        </w:rPr>
        <w:t>3.4.3.2.7</w:t>
      </w:r>
      <w:r w:rsidRPr="00402D4B">
        <w:rPr>
          <w:sz w:val="20"/>
          <w:szCs w:val="20"/>
        </w:rPr>
        <w:tab/>
      </w:r>
      <w:r w:rsidRPr="00402D4B">
        <w:rPr>
          <w:i/>
          <w:iCs/>
          <w:sz w:val="20"/>
          <w:szCs w:val="20"/>
        </w:rPr>
        <w:t>Aerosols</w:t>
      </w:r>
    </w:p>
    <w:p w14:paraId="69D23B56" w14:textId="77777777" w:rsidR="00891B72" w:rsidRPr="00402D4B" w:rsidRDefault="00891B72" w:rsidP="00891B72">
      <w:pPr>
        <w:pStyle w:val="GHS1stline"/>
      </w:pPr>
      <w:r w:rsidRPr="00402D4B">
        <w:t>An aerosol form of the mixture may be classified in the same hazard category as the tested non-aerosolized form of the mixture provided that the added propellant does not affect the sensitizing properties of the mixture upon spraying.</w:t>
      </w:r>
    </w:p>
    <w:p w14:paraId="413B475B" w14:textId="77777777" w:rsidR="00891B72" w:rsidRPr="00402D4B" w:rsidRDefault="00891B72" w:rsidP="00891B72">
      <w:pPr>
        <w:pStyle w:val="StyleGHSHeading410pt"/>
      </w:pPr>
      <w:r w:rsidRPr="00402D4B">
        <w:t>3.4.3.3</w:t>
      </w:r>
      <w:r w:rsidRPr="00402D4B">
        <w:tab/>
      </w:r>
      <w:r w:rsidRPr="00402D4B">
        <w:rPr>
          <w:i/>
          <w:iCs/>
        </w:rPr>
        <w:t>Classification of mixtures when data are available for all ingredients or only for some ingredients of the mixture</w:t>
      </w:r>
    </w:p>
    <w:p w14:paraId="1A2D443B" w14:textId="77777777" w:rsidR="00891B72" w:rsidRPr="00402D4B" w:rsidRDefault="00891B72" w:rsidP="00891B72">
      <w:pPr>
        <w:pStyle w:val="GHS1stline"/>
      </w:pPr>
      <w:r w:rsidRPr="00402D4B">
        <w:t>The mixture should be classified as a respiratory or skin sensitizer when at least one ingredient has been classified as a respiratory or skin sensitizer and is present at or above the appropriate cut-off value/concentration limit for the specific endpoint as shown in Table 3.4.</w:t>
      </w:r>
      <w:r w:rsidRPr="00BB3262">
        <w:rPr>
          <w:color w:val="0070C0"/>
        </w:rPr>
        <w:t>4</w:t>
      </w:r>
      <w:r w:rsidRPr="00402D4B">
        <w:t xml:space="preserve"> for solid/liquid and gas respectively.</w:t>
      </w:r>
    </w:p>
    <w:p w14:paraId="559F3A90" w14:textId="77777777" w:rsidR="00891B72" w:rsidRPr="00402D4B" w:rsidRDefault="00891B72" w:rsidP="00891B72">
      <w:pPr>
        <w:keepNext/>
        <w:keepLines/>
        <w:spacing w:after="120"/>
        <w:jc w:val="center"/>
        <w:rPr>
          <w:b/>
        </w:rPr>
      </w:pPr>
      <w:r w:rsidRPr="00402D4B">
        <w:rPr>
          <w:b/>
        </w:rPr>
        <w:t>Table 3.4.</w:t>
      </w:r>
      <w:r w:rsidRPr="00BB3262">
        <w:rPr>
          <w:b/>
          <w:color w:val="0070C0"/>
        </w:rPr>
        <w:t>4</w:t>
      </w:r>
      <w:r w:rsidRPr="00402D4B">
        <w:rPr>
          <w:b/>
        </w:rPr>
        <w:t>:  Cut-off values/concentration limits of ingredients of a mixture classified as either respiratory sensitizers or skin sensitizers that would trigger classification of the mixture</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2088"/>
        <w:gridCol w:w="2052"/>
        <w:gridCol w:w="2394"/>
      </w:tblGrid>
      <w:tr w:rsidR="00891B72" w:rsidRPr="00402D4B" w14:paraId="72305263" w14:textId="77777777" w:rsidTr="007F4632">
        <w:trPr>
          <w:tblHeader/>
          <w:jc w:val="center"/>
        </w:trPr>
        <w:tc>
          <w:tcPr>
            <w:tcW w:w="2902" w:type="dxa"/>
            <w:vMerge w:val="restart"/>
          </w:tcPr>
          <w:p w14:paraId="589689D1" w14:textId="77777777" w:rsidR="00891B72" w:rsidRPr="00402D4B" w:rsidRDefault="00891B72" w:rsidP="007F4632">
            <w:pPr>
              <w:keepNext/>
              <w:keepLines/>
              <w:spacing w:before="16" w:after="16"/>
              <w:rPr>
                <w:b/>
                <w:bCs/>
              </w:rPr>
            </w:pPr>
            <w:r w:rsidRPr="00402D4B">
              <w:rPr>
                <w:b/>
                <w:bCs/>
              </w:rPr>
              <w:t>Ingredient classified as:</w:t>
            </w:r>
          </w:p>
        </w:tc>
        <w:tc>
          <w:tcPr>
            <w:tcW w:w="6534" w:type="dxa"/>
            <w:gridSpan w:val="3"/>
          </w:tcPr>
          <w:p w14:paraId="2231F929" w14:textId="77777777" w:rsidR="00891B72" w:rsidRPr="00402D4B" w:rsidRDefault="00891B72" w:rsidP="007F4632">
            <w:pPr>
              <w:keepNext/>
              <w:keepLines/>
              <w:tabs>
                <w:tab w:val="left" w:pos="1985"/>
                <w:tab w:val="left" w:pos="2552"/>
                <w:tab w:val="left" w:pos="3119"/>
                <w:tab w:val="left" w:pos="3686"/>
              </w:tabs>
              <w:spacing w:before="16" w:after="16"/>
              <w:jc w:val="center"/>
              <w:rPr>
                <w:b/>
                <w:bCs/>
              </w:rPr>
            </w:pPr>
            <w:r w:rsidRPr="00402D4B">
              <w:rPr>
                <w:b/>
                <w:bCs/>
              </w:rPr>
              <w:t xml:space="preserve">Cut-off values/concentration limits </w:t>
            </w:r>
            <w:r w:rsidRPr="00402D4B">
              <w:rPr>
                <w:b/>
                <w:bCs/>
              </w:rPr>
              <w:br/>
              <w:t>triggering classification of a mixture as:</w:t>
            </w:r>
          </w:p>
        </w:tc>
      </w:tr>
      <w:tr w:rsidR="00891B72" w:rsidRPr="00402D4B" w14:paraId="36A379DF" w14:textId="77777777" w:rsidTr="007F4632">
        <w:trPr>
          <w:tblHeader/>
          <w:jc w:val="center"/>
        </w:trPr>
        <w:tc>
          <w:tcPr>
            <w:tcW w:w="2902" w:type="dxa"/>
            <w:vMerge/>
          </w:tcPr>
          <w:p w14:paraId="42D59E85" w14:textId="77777777" w:rsidR="00891B72" w:rsidRPr="00402D4B" w:rsidRDefault="00891B72" w:rsidP="007F4632">
            <w:pPr>
              <w:keepNext/>
              <w:keepLines/>
              <w:spacing w:before="16" w:after="16"/>
              <w:rPr>
                <w:b/>
                <w:bCs/>
              </w:rPr>
            </w:pPr>
          </w:p>
        </w:tc>
        <w:tc>
          <w:tcPr>
            <w:tcW w:w="4140" w:type="dxa"/>
            <w:gridSpan w:val="2"/>
          </w:tcPr>
          <w:p w14:paraId="182F2637" w14:textId="77777777" w:rsidR="00891B72" w:rsidRPr="00402D4B" w:rsidRDefault="00891B72" w:rsidP="007F4632">
            <w:pPr>
              <w:keepNext/>
              <w:keepLines/>
              <w:tabs>
                <w:tab w:val="left" w:pos="1985"/>
                <w:tab w:val="left" w:pos="2552"/>
                <w:tab w:val="left" w:pos="3119"/>
                <w:tab w:val="left" w:pos="3686"/>
              </w:tabs>
              <w:spacing w:before="16" w:after="16"/>
              <w:jc w:val="center"/>
              <w:rPr>
                <w:b/>
              </w:rPr>
            </w:pPr>
            <w:r w:rsidRPr="00402D4B">
              <w:rPr>
                <w:b/>
                <w:bCs/>
              </w:rPr>
              <w:t>respiratory sensitizer</w:t>
            </w:r>
            <w:r w:rsidRPr="00402D4B">
              <w:rPr>
                <w:b/>
              </w:rPr>
              <w:t xml:space="preserve"> </w:t>
            </w:r>
            <w:r w:rsidRPr="00402D4B">
              <w:rPr>
                <w:b/>
              </w:rPr>
              <w:br/>
              <w:t>Category 1</w:t>
            </w:r>
          </w:p>
        </w:tc>
        <w:tc>
          <w:tcPr>
            <w:tcW w:w="2394" w:type="dxa"/>
          </w:tcPr>
          <w:p w14:paraId="63D9D3E9" w14:textId="77777777" w:rsidR="00891B72" w:rsidRPr="00402D4B" w:rsidRDefault="00891B72" w:rsidP="007F4632">
            <w:pPr>
              <w:keepNext/>
              <w:keepLines/>
              <w:tabs>
                <w:tab w:val="left" w:pos="1985"/>
                <w:tab w:val="left" w:pos="2552"/>
                <w:tab w:val="left" w:pos="3119"/>
                <w:tab w:val="left" w:pos="3686"/>
              </w:tabs>
              <w:spacing w:before="16" w:after="16"/>
              <w:jc w:val="center"/>
              <w:rPr>
                <w:b/>
              </w:rPr>
            </w:pPr>
            <w:r w:rsidRPr="00402D4B">
              <w:rPr>
                <w:b/>
              </w:rPr>
              <w:t xml:space="preserve">skin sensitizer </w:t>
            </w:r>
            <w:r w:rsidRPr="00402D4B">
              <w:rPr>
                <w:b/>
              </w:rPr>
              <w:br/>
              <w:t>Category 1</w:t>
            </w:r>
          </w:p>
        </w:tc>
      </w:tr>
      <w:tr w:rsidR="00891B72" w:rsidRPr="00402D4B" w14:paraId="4C8FB4EA" w14:textId="77777777" w:rsidTr="007F4632">
        <w:trPr>
          <w:trHeight w:val="175"/>
          <w:tblHeader/>
          <w:jc w:val="center"/>
        </w:trPr>
        <w:tc>
          <w:tcPr>
            <w:tcW w:w="2902" w:type="dxa"/>
            <w:vMerge/>
          </w:tcPr>
          <w:p w14:paraId="38872CE4" w14:textId="77777777" w:rsidR="00891B72" w:rsidRPr="00402D4B" w:rsidRDefault="00891B72" w:rsidP="007F4632">
            <w:pPr>
              <w:keepNext/>
              <w:keepLines/>
              <w:spacing w:before="16" w:after="16"/>
              <w:rPr>
                <w:b/>
                <w:bCs/>
              </w:rPr>
            </w:pPr>
          </w:p>
        </w:tc>
        <w:tc>
          <w:tcPr>
            <w:tcW w:w="2088" w:type="dxa"/>
          </w:tcPr>
          <w:p w14:paraId="34D1E83E" w14:textId="77777777" w:rsidR="00891B72" w:rsidRPr="00402D4B" w:rsidRDefault="00891B72" w:rsidP="007F4632">
            <w:pPr>
              <w:keepNext/>
              <w:keepLines/>
              <w:tabs>
                <w:tab w:val="left" w:pos="1985"/>
                <w:tab w:val="left" w:pos="2552"/>
                <w:tab w:val="left" w:pos="3119"/>
                <w:tab w:val="left" w:pos="3686"/>
              </w:tabs>
              <w:spacing w:before="16" w:after="16"/>
              <w:jc w:val="center"/>
              <w:rPr>
                <w:b/>
              </w:rPr>
            </w:pPr>
            <w:r w:rsidRPr="00402D4B">
              <w:rPr>
                <w:b/>
              </w:rPr>
              <w:t>Solid/Liquid</w:t>
            </w:r>
          </w:p>
        </w:tc>
        <w:tc>
          <w:tcPr>
            <w:tcW w:w="2052" w:type="dxa"/>
          </w:tcPr>
          <w:p w14:paraId="73C75BF3" w14:textId="77777777" w:rsidR="00891B72" w:rsidRPr="00402D4B" w:rsidRDefault="00891B72" w:rsidP="007F4632">
            <w:pPr>
              <w:keepNext/>
              <w:keepLines/>
              <w:tabs>
                <w:tab w:val="left" w:pos="1985"/>
                <w:tab w:val="left" w:pos="2552"/>
                <w:tab w:val="left" w:pos="3119"/>
                <w:tab w:val="left" w:pos="3686"/>
              </w:tabs>
              <w:spacing w:before="16" w:after="16"/>
              <w:jc w:val="center"/>
              <w:rPr>
                <w:b/>
              </w:rPr>
            </w:pPr>
            <w:r w:rsidRPr="00402D4B">
              <w:rPr>
                <w:b/>
              </w:rPr>
              <w:t>Gas</w:t>
            </w:r>
          </w:p>
        </w:tc>
        <w:tc>
          <w:tcPr>
            <w:tcW w:w="2394" w:type="dxa"/>
          </w:tcPr>
          <w:p w14:paraId="421F79C8" w14:textId="77777777" w:rsidR="00891B72" w:rsidRPr="00402D4B" w:rsidRDefault="00891B72" w:rsidP="007F4632">
            <w:pPr>
              <w:keepNext/>
              <w:keepLines/>
              <w:tabs>
                <w:tab w:val="left" w:pos="1985"/>
                <w:tab w:val="left" w:pos="2552"/>
                <w:tab w:val="left" w:pos="3119"/>
                <w:tab w:val="left" w:pos="3686"/>
              </w:tabs>
              <w:spacing w:before="16" w:after="16"/>
              <w:jc w:val="center"/>
              <w:rPr>
                <w:b/>
              </w:rPr>
            </w:pPr>
            <w:r w:rsidRPr="00402D4B">
              <w:rPr>
                <w:b/>
              </w:rPr>
              <w:t>All physical states</w:t>
            </w:r>
          </w:p>
        </w:tc>
      </w:tr>
      <w:tr w:rsidR="00891B72" w:rsidRPr="00402D4B" w14:paraId="093A18C9" w14:textId="77777777" w:rsidTr="007F4632">
        <w:trPr>
          <w:trHeight w:val="208"/>
          <w:jc w:val="center"/>
        </w:trPr>
        <w:tc>
          <w:tcPr>
            <w:tcW w:w="2902" w:type="dxa"/>
            <w:vMerge w:val="restart"/>
          </w:tcPr>
          <w:p w14:paraId="401C44E2" w14:textId="77777777" w:rsidR="00891B72" w:rsidRPr="00402D4B" w:rsidRDefault="00891B72" w:rsidP="007F4632">
            <w:pPr>
              <w:keepNext/>
              <w:keepLines/>
              <w:spacing w:before="16" w:after="16"/>
              <w:rPr>
                <w:b/>
                <w:bCs/>
              </w:rPr>
            </w:pPr>
            <w:r w:rsidRPr="00402D4B">
              <w:rPr>
                <w:b/>
                <w:bCs/>
              </w:rPr>
              <w:t>Respiratory sensitizer</w:t>
            </w:r>
            <w:r w:rsidRPr="00402D4B">
              <w:rPr>
                <w:b/>
                <w:bCs/>
              </w:rPr>
              <w:br/>
              <w:t>Category 1</w:t>
            </w:r>
          </w:p>
        </w:tc>
        <w:tc>
          <w:tcPr>
            <w:tcW w:w="2088" w:type="dxa"/>
          </w:tcPr>
          <w:p w14:paraId="178B5DB5"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sym w:font="Symbol" w:char="F0B3"/>
            </w:r>
            <w:r w:rsidRPr="00402D4B">
              <w:t xml:space="preserve"> 0.1</w:t>
            </w:r>
            <w:r>
              <w:t> </w:t>
            </w:r>
            <w:r w:rsidRPr="00402D4B">
              <w:t>% (see note)</w:t>
            </w:r>
          </w:p>
        </w:tc>
        <w:tc>
          <w:tcPr>
            <w:tcW w:w="2052" w:type="dxa"/>
          </w:tcPr>
          <w:p w14:paraId="5896A6CB"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sym w:font="Symbol" w:char="F0B3"/>
            </w:r>
            <w:r w:rsidRPr="00402D4B">
              <w:t xml:space="preserve"> 0.1</w:t>
            </w:r>
            <w:r>
              <w:t> </w:t>
            </w:r>
            <w:r w:rsidRPr="00402D4B">
              <w:t>% (see note)</w:t>
            </w:r>
          </w:p>
        </w:tc>
        <w:tc>
          <w:tcPr>
            <w:tcW w:w="2394" w:type="dxa"/>
            <w:vMerge w:val="restart"/>
            <w:tcBorders>
              <w:right w:val="single" w:sz="4" w:space="0" w:color="auto"/>
            </w:tcBorders>
            <w:vAlign w:val="center"/>
          </w:tcPr>
          <w:p w14:paraId="2689A2DF"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t>--</w:t>
            </w:r>
          </w:p>
        </w:tc>
      </w:tr>
      <w:tr w:rsidR="00891B72" w:rsidRPr="00402D4B" w14:paraId="00A37168" w14:textId="77777777" w:rsidTr="007F4632">
        <w:trPr>
          <w:trHeight w:val="139"/>
          <w:jc w:val="center"/>
        </w:trPr>
        <w:tc>
          <w:tcPr>
            <w:tcW w:w="2902" w:type="dxa"/>
            <w:vMerge/>
          </w:tcPr>
          <w:p w14:paraId="14D58D58" w14:textId="77777777" w:rsidR="00891B72" w:rsidRPr="00402D4B" w:rsidRDefault="00891B72" w:rsidP="007F4632">
            <w:pPr>
              <w:keepNext/>
              <w:keepLines/>
              <w:spacing w:before="16" w:after="16"/>
              <w:rPr>
                <w:b/>
                <w:bCs/>
              </w:rPr>
            </w:pPr>
          </w:p>
        </w:tc>
        <w:tc>
          <w:tcPr>
            <w:tcW w:w="2088" w:type="dxa"/>
          </w:tcPr>
          <w:p w14:paraId="5F9C36E4" w14:textId="77777777" w:rsidR="00891B72" w:rsidRPr="00402D4B" w:rsidRDefault="00891B72" w:rsidP="007F4632">
            <w:pPr>
              <w:keepNext/>
              <w:keepLines/>
              <w:tabs>
                <w:tab w:val="left" w:pos="1985"/>
                <w:tab w:val="left" w:pos="2552"/>
                <w:tab w:val="left" w:pos="3119"/>
                <w:tab w:val="left" w:pos="3686"/>
              </w:tabs>
              <w:spacing w:before="16" w:after="16"/>
              <w:jc w:val="center"/>
              <w:rPr>
                <w:b/>
              </w:rPr>
            </w:pPr>
            <w:r w:rsidRPr="00402D4B">
              <w:sym w:font="Symbol" w:char="F0B3"/>
            </w:r>
            <w:r w:rsidRPr="00402D4B">
              <w:t xml:space="preserve"> 1.0</w:t>
            </w:r>
            <w:r>
              <w:t> </w:t>
            </w:r>
            <w:r w:rsidRPr="00402D4B">
              <w:t>%</w:t>
            </w:r>
          </w:p>
        </w:tc>
        <w:tc>
          <w:tcPr>
            <w:tcW w:w="2052" w:type="dxa"/>
          </w:tcPr>
          <w:p w14:paraId="06F2C570" w14:textId="77777777" w:rsidR="00891B72" w:rsidRPr="00402D4B" w:rsidRDefault="00891B72" w:rsidP="007F4632">
            <w:pPr>
              <w:keepNext/>
              <w:keepLines/>
              <w:tabs>
                <w:tab w:val="left" w:pos="1985"/>
                <w:tab w:val="left" w:pos="2552"/>
                <w:tab w:val="left" w:pos="3119"/>
                <w:tab w:val="left" w:pos="3686"/>
              </w:tabs>
              <w:spacing w:before="16" w:after="16"/>
              <w:jc w:val="center"/>
              <w:rPr>
                <w:b/>
              </w:rPr>
            </w:pPr>
            <w:r w:rsidRPr="00402D4B">
              <w:sym w:font="Symbol" w:char="F0B3"/>
            </w:r>
            <w:r w:rsidRPr="00402D4B">
              <w:t xml:space="preserve"> 0.2</w:t>
            </w:r>
            <w:r>
              <w:t> </w:t>
            </w:r>
            <w:r w:rsidRPr="00402D4B">
              <w:t>%</w:t>
            </w:r>
          </w:p>
        </w:tc>
        <w:tc>
          <w:tcPr>
            <w:tcW w:w="2394" w:type="dxa"/>
            <w:vMerge/>
            <w:tcBorders>
              <w:right w:val="single" w:sz="4" w:space="0" w:color="auto"/>
            </w:tcBorders>
          </w:tcPr>
          <w:p w14:paraId="2A8D0FCA" w14:textId="77777777" w:rsidR="00891B72" w:rsidRPr="00402D4B" w:rsidRDefault="00891B72" w:rsidP="007F4632">
            <w:pPr>
              <w:keepNext/>
              <w:keepLines/>
              <w:tabs>
                <w:tab w:val="left" w:pos="1985"/>
                <w:tab w:val="left" w:pos="2552"/>
                <w:tab w:val="left" w:pos="3119"/>
                <w:tab w:val="left" w:pos="3686"/>
              </w:tabs>
              <w:spacing w:before="16" w:after="16"/>
              <w:jc w:val="center"/>
              <w:rPr>
                <w:b/>
              </w:rPr>
            </w:pPr>
          </w:p>
        </w:tc>
      </w:tr>
      <w:tr w:rsidR="00891B72" w:rsidRPr="00402D4B" w14:paraId="302C34F9" w14:textId="77777777" w:rsidTr="007F4632">
        <w:trPr>
          <w:trHeight w:val="328"/>
          <w:jc w:val="center"/>
        </w:trPr>
        <w:tc>
          <w:tcPr>
            <w:tcW w:w="2902" w:type="dxa"/>
          </w:tcPr>
          <w:p w14:paraId="19425F07" w14:textId="77777777" w:rsidR="00891B72" w:rsidRPr="00402D4B" w:rsidRDefault="00891B72" w:rsidP="007F4632">
            <w:pPr>
              <w:keepNext/>
              <w:keepLines/>
              <w:spacing w:before="16" w:after="16"/>
              <w:rPr>
                <w:b/>
                <w:bCs/>
              </w:rPr>
            </w:pPr>
            <w:r w:rsidRPr="00402D4B">
              <w:rPr>
                <w:b/>
                <w:bCs/>
              </w:rPr>
              <w:t>Respiratory sensitizer</w:t>
            </w:r>
            <w:r w:rsidRPr="00402D4B">
              <w:rPr>
                <w:b/>
                <w:bCs/>
              </w:rPr>
              <w:br/>
              <w:t>sub-category 1A</w:t>
            </w:r>
          </w:p>
        </w:tc>
        <w:tc>
          <w:tcPr>
            <w:tcW w:w="2088" w:type="dxa"/>
          </w:tcPr>
          <w:p w14:paraId="22444485"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sym w:font="Symbol" w:char="F0B3"/>
            </w:r>
            <w:r w:rsidRPr="00402D4B">
              <w:t xml:space="preserve"> 0.1</w:t>
            </w:r>
            <w:r>
              <w:t> </w:t>
            </w:r>
            <w:r w:rsidRPr="00402D4B">
              <w:t>%</w:t>
            </w:r>
          </w:p>
        </w:tc>
        <w:tc>
          <w:tcPr>
            <w:tcW w:w="2052" w:type="dxa"/>
          </w:tcPr>
          <w:p w14:paraId="30057168"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sym w:font="Symbol" w:char="F0B3"/>
            </w:r>
            <w:r w:rsidRPr="00402D4B">
              <w:t xml:space="preserve"> 0.1</w:t>
            </w:r>
            <w:r>
              <w:t> </w:t>
            </w:r>
            <w:r w:rsidRPr="00402D4B">
              <w:t>%</w:t>
            </w:r>
          </w:p>
        </w:tc>
        <w:tc>
          <w:tcPr>
            <w:tcW w:w="2394" w:type="dxa"/>
            <w:vMerge/>
            <w:tcBorders>
              <w:right w:val="single" w:sz="4" w:space="0" w:color="auto"/>
            </w:tcBorders>
          </w:tcPr>
          <w:p w14:paraId="5BDC5EC3" w14:textId="77777777" w:rsidR="00891B72" w:rsidRPr="00402D4B" w:rsidRDefault="00891B72" w:rsidP="007F4632">
            <w:pPr>
              <w:keepNext/>
              <w:keepLines/>
              <w:tabs>
                <w:tab w:val="left" w:pos="1985"/>
                <w:tab w:val="left" w:pos="2552"/>
                <w:tab w:val="left" w:pos="3119"/>
                <w:tab w:val="left" w:pos="3686"/>
              </w:tabs>
              <w:spacing w:before="16" w:after="16"/>
              <w:jc w:val="center"/>
            </w:pPr>
          </w:p>
        </w:tc>
      </w:tr>
      <w:tr w:rsidR="00891B72" w:rsidRPr="00402D4B" w14:paraId="2119DA8A" w14:textId="77777777" w:rsidTr="007F4632">
        <w:trPr>
          <w:jc w:val="center"/>
        </w:trPr>
        <w:tc>
          <w:tcPr>
            <w:tcW w:w="2902" w:type="dxa"/>
          </w:tcPr>
          <w:p w14:paraId="2AF8F340" w14:textId="77777777" w:rsidR="00891B72" w:rsidRPr="00402D4B" w:rsidRDefault="00891B72" w:rsidP="007F4632">
            <w:pPr>
              <w:keepNext/>
              <w:keepLines/>
              <w:spacing w:before="16" w:after="16"/>
              <w:rPr>
                <w:b/>
                <w:bCs/>
              </w:rPr>
            </w:pPr>
            <w:r w:rsidRPr="00402D4B">
              <w:rPr>
                <w:b/>
                <w:bCs/>
              </w:rPr>
              <w:t>Respiratory sensitizer</w:t>
            </w:r>
            <w:r w:rsidRPr="00402D4B">
              <w:rPr>
                <w:b/>
                <w:bCs/>
              </w:rPr>
              <w:br/>
              <w:t>sub-category 1B</w:t>
            </w:r>
          </w:p>
        </w:tc>
        <w:tc>
          <w:tcPr>
            <w:tcW w:w="2088" w:type="dxa"/>
          </w:tcPr>
          <w:p w14:paraId="2B9899F8"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sym w:font="Symbol" w:char="F0B3"/>
            </w:r>
            <w:r w:rsidRPr="00402D4B">
              <w:t xml:space="preserve"> 1.0</w:t>
            </w:r>
            <w:r>
              <w:t> </w:t>
            </w:r>
            <w:r w:rsidRPr="00402D4B">
              <w:t>%</w:t>
            </w:r>
          </w:p>
        </w:tc>
        <w:tc>
          <w:tcPr>
            <w:tcW w:w="2052" w:type="dxa"/>
          </w:tcPr>
          <w:p w14:paraId="18579005"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sym w:font="Symbol" w:char="F0B3"/>
            </w:r>
            <w:r w:rsidRPr="00402D4B">
              <w:t xml:space="preserve"> 0.2</w:t>
            </w:r>
            <w:r>
              <w:t> </w:t>
            </w:r>
            <w:r w:rsidRPr="00402D4B">
              <w:t>%</w:t>
            </w:r>
          </w:p>
        </w:tc>
        <w:tc>
          <w:tcPr>
            <w:tcW w:w="2394" w:type="dxa"/>
            <w:vMerge/>
            <w:tcBorders>
              <w:right w:val="single" w:sz="4" w:space="0" w:color="auto"/>
            </w:tcBorders>
          </w:tcPr>
          <w:p w14:paraId="723CC9E2" w14:textId="77777777" w:rsidR="00891B72" w:rsidRPr="00402D4B" w:rsidRDefault="00891B72" w:rsidP="007F4632">
            <w:pPr>
              <w:keepNext/>
              <w:keepLines/>
              <w:tabs>
                <w:tab w:val="left" w:pos="1985"/>
                <w:tab w:val="left" w:pos="2552"/>
                <w:tab w:val="left" w:pos="3119"/>
                <w:tab w:val="left" w:pos="3686"/>
              </w:tabs>
              <w:spacing w:before="16" w:after="16"/>
              <w:jc w:val="center"/>
            </w:pPr>
          </w:p>
        </w:tc>
      </w:tr>
      <w:tr w:rsidR="00891B72" w:rsidRPr="00402D4B" w14:paraId="25569AAF" w14:textId="77777777" w:rsidTr="007F4632">
        <w:trPr>
          <w:jc w:val="center"/>
        </w:trPr>
        <w:tc>
          <w:tcPr>
            <w:tcW w:w="2902" w:type="dxa"/>
            <w:vMerge w:val="restart"/>
          </w:tcPr>
          <w:p w14:paraId="77E1A849" w14:textId="77777777" w:rsidR="00891B72" w:rsidRPr="00402D4B" w:rsidRDefault="00891B72" w:rsidP="007F4632">
            <w:pPr>
              <w:spacing w:before="16" w:after="16"/>
              <w:rPr>
                <w:b/>
                <w:bCs/>
              </w:rPr>
            </w:pPr>
            <w:r w:rsidRPr="00402D4B">
              <w:rPr>
                <w:b/>
                <w:bCs/>
              </w:rPr>
              <w:t xml:space="preserve">Skin sensitizer </w:t>
            </w:r>
            <w:r w:rsidRPr="00402D4B">
              <w:rPr>
                <w:b/>
                <w:bCs/>
              </w:rPr>
              <w:br/>
              <w:t>Category 1</w:t>
            </w:r>
          </w:p>
        </w:tc>
        <w:tc>
          <w:tcPr>
            <w:tcW w:w="2088" w:type="dxa"/>
          </w:tcPr>
          <w:p w14:paraId="2701F5A7"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t>--</w:t>
            </w:r>
          </w:p>
        </w:tc>
        <w:tc>
          <w:tcPr>
            <w:tcW w:w="2052" w:type="dxa"/>
          </w:tcPr>
          <w:p w14:paraId="1139C856"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t>--</w:t>
            </w:r>
          </w:p>
        </w:tc>
        <w:tc>
          <w:tcPr>
            <w:tcW w:w="2394" w:type="dxa"/>
          </w:tcPr>
          <w:p w14:paraId="70C73559" w14:textId="77777777" w:rsidR="00891B72" w:rsidRPr="00402D4B" w:rsidRDefault="00891B72" w:rsidP="007F4632">
            <w:pPr>
              <w:keepNext/>
              <w:keepLines/>
              <w:tabs>
                <w:tab w:val="left" w:pos="1985"/>
                <w:tab w:val="left" w:pos="2552"/>
                <w:tab w:val="left" w:pos="3119"/>
                <w:tab w:val="left" w:pos="3686"/>
              </w:tabs>
              <w:spacing w:before="16" w:after="16"/>
              <w:jc w:val="center"/>
              <w:rPr>
                <w:b/>
              </w:rPr>
            </w:pPr>
            <w:r w:rsidRPr="00402D4B">
              <w:sym w:font="Symbol" w:char="F0B3"/>
            </w:r>
            <w:r w:rsidRPr="00402D4B">
              <w:t xml:space="preserve"> 0.1</w:t>
            </w:r>
            <w:r>
              <w:t> </w:t>
            </w:r>
            <w:r w:rsidRPr="00402D4B">
              <w:t>% (see note)</w:t>
            </w:r>
          </w:p>
        </w:tc>
      </w:tr>
      <w:tr w:rsidR="00891B72" w:rsidRPr="00402D4B" w14:paraId="3554AC48" w14:textId="77777777" w:rsidTr="007F4632">
        <w:trPr>
          <w:jc w:val="center"/>
        </w:trPr>
        <w:tc>
          <w:tcPr>
            <w:tcW w:w="2902" w:type="dxa"/>
            <w:vMerge/>
          </w:tcPr>
          <w:p w14:paraId="0678EF17" w14:textId="77777777" w:rsidR="00891B72" w:rsidRPr="00402D4B" w:rsidRDefault="00891B72" w:rsidP="007F4632">
            <w:pPr>
              <w:spacing w:before="16" w:after="16"/>
              <w:rPr>
                <w:b/>
                <w:bCs/>
              </w:rPr>
            </w:pPr>
          </w:p>
        </w:tc>
        <w:tc>
          <w:tcPr>
            <w:tcW w:w="2088" w:type="dxa"/>
          </w:tcPr>
          <w:p w14:paraId="6878EBB7"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t>--</w:t>
            </w:r>
          </w:p>
        </w:tc>
        <w:tc>
          <w:tcPr>
            <w:tcW w:w="2052" w:type="dxa"/>
          </w:tcPr>
          <w:p w14:paraId="01F7CBB0"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t>--</w:t>
            </w:r>
          </w:p>
        </w:tc>
        <w:tc>
          <w:tcPr>
            <w:tcW w:w="2394" w:type="dxa"/>
          </w:tcPr>
          <w:p w14:paraId="1A4DCA40"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sym w:font="Symbol" w:char="F0B3"/>
            </w:r>
            <w:r w:rsidRPr="00402D4B">
              <w:t xml:space="preserve"> 1.0</w:t>
            </w:r>
            <w:r>
              <w:t> </w:t>
            </w:r>
            <w:r w:rsidRPr="00402D4B">
              <w:t>%</w:t>
            </w:r>
          </w:p>
        </w:tc>
      </w:tr>
      <w:tr w:rsidR="00891B72" w:rsidRPr="00402D4B" w14:paraId="4C812A0B" w14:textId="77777777" w:rsidTr="007F4632">
        <w:trPr>
          <w:jc w:val="center"/>
        </w:trPr>
        <w:tc>
          <w:tcPr>
            <w:tcW w:w="2902" w:type="dxa"/>
          </w:tcPr>
          <w:p w14:paraId="0C620506" w14:textId="77777777" w:rsidR="00891B72" w:rsidRPr="00402D4B" w:rsidRDefault="00891B72" w:rsidP="007F4632">
            <w:pPr>
              <w:spacing w:before="16" w:after="16"/>
              <w:rPr>
                <w:b/>
                <w:bCs/>
              </w:rPr>
            </w:pPr>
            <w:r w:rsidRPr="00402D4B">
              <w:rPr>
                <w:b/>
                <w:bCs/>
              </w:rPr>
              <w:t xml:space="preserve">Skin sensitizer </w:t>
            </w:r>
            <w:r w:rsidRPr="00402D4B">
              <w:rPr>
                <w:b/>
                <w:bCs/>
              </w:rPr>
              <w:br/>
              <w:t>sub-category 1A</w:t>
            </w:r>
          </w:p>
        </w:tc>
        <w:tc>
          <w:tcPr>
            <w:tcW w:w="2088" w:type="dxa"/>
          </w:tcPr>
          <w:p w14:paraId="276779DE"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t>--</w:t>
            </w:r>
          </w:p>
        </w:tc>
        <w:tc>
          <w:tcPr>
            <w:tcW w:w="2052" w:type="dxa"/>
          </w:tcPr>
          <w:p w14:paraId="47BB0673"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t>--</w:t>
            </w:r>
          </w:p>
        </w:tc>
        <w:tc>
          <w:tcPr>
            <w:tcW w:w="2394" w:type="dxa"/>
          </w:tcPr>
          <w:p w14:paraId="6CF34A95"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sym w:font="Symbol" w:char="F0B3"/>
            </w:r>
            <w:r w:rsidRPr="00402D4B">
              <w:t xml:space="preserve"> 0.1</w:t>
            </w:r>
            <w:r>
              <w:t> </w:t>
            </w:r>
            <w:r w:rsidRPr="00402D4B">
              <w:t>%</w:t>
            </w:r>
          </w:p>
        </w:tc>
      </w:tr>
      <w:tr w:rsidR="00891B72" w:rsidRPr="00402D4B" w14:paraId="3CC5A869" w14:textId="77777777" w:rsidTr="007F4632">
        <w:trPr>
          <w:jc w:val="center"/>
        </w:trPr>
        <w:tc>
          <w:tcPr>
            <w:tcW w:w="2902" w:type="dxa"/>
          </w:tcPr>
          <w:p w14:paraId="1236C1D7" w14:textId="77777777" w:rsidR="00891B72" w:rsidRPr="00402D4B" w:rsidRDefault="00891B72" w:rsidP="007F4632">
            <w:pPr>
              <w:spacing w:before="16" w:after="16"/>
              <w:rPr>
                <w:b/>
                <w:bCs/>
              </w:rPr>
            </w:pPr>
            <w:r w:rsidRPr="00402D4B">
              <w:rPr>
                <w:b/>
                <w:bCs/>
              </w:rPr>
              <w:t xml:space="preserve">Skin sensitizer </w:t>
            </w:r>
            <w:r w:rsidRPr="00402D4B">
              <w:rPr>
                <w:b/>
                <w:bCs/>
              </w:rPr>
              <w:br/>
              <w:t>sub-category 1B</w:t>
            </w:r>
          </w:p>
        </w:tc>
        <w:tc>
          <w:tcPr>
            <w:tcW w:w="2088" w:type="dxa"/>
          </w:tcPr>
          <w:p w14:paraId="59B7006A"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t>--</w:t>
            </w:r>
          </w:p>
        </w:tc>
        <w:tc>
          <w:tcPr>
            <w:tcW w:w="2052" w:type="dxa"/>
          </w:tcPr>
          <w:p w14:paraId="5C97BBE5"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t>--</w:t>
            </w:r>
          </w:p>
        </w:tc>
        <w:tc>
          <w:tcPr>
            <w:tcW w:w="2394" w:type="dxa"/>
          </w:tcPr>
          <w:p w14:paraId="441034C8" w14:textId="77777777" w:rsidR="00891B72" w:rsidRPr="00402D4B" w:rsidRDefault="00891B72" w:rsidP="007F4632">
            <w:pPr>
              <w:keepNext/>
              <w:keepLines/>
              <w:tabs>
                <w:tab w:val="left" w:pos="1985"/>
                <w:tab w:val="left" w:pos="2552"/>
                <w:tab w:val="left" w:pos="3119"/>
                <w:tab w:val="left" w:pos="3686"/>
              </w:tabs>
              <w:spacing w:before="16" w:after="16"/>
              <w:jc w:val="center"/>
            </w:pPr>
            <w:r w:rsidRPr="00402D4B">
              <w:sym w:font="Symbol" w:char="F0B3"/>
            </w:r>
            <w:r w:rsidRPr="00402D4B">
              <w:t xml:space="preserve"> 1.0</w:t>
            </w:r>
            <w:r>
              <w:t> </w:t>
            </w:r>
            <w:r w:rsidRPr="00402D4B">
              <w:t>%</w:t>
            </w:r>
          </w:p>
        </w:tc>
      </w:tr>
    </w:tbl>
    <w:p w14:paraId="05DA9020" w14:textId="77777777" w:rsidR="00891B72" w:rsidRPr="00402D4B" w:rsidRDefault="00891B72" w:rsidP="00891B72">
      <w:pPr>
        <w:tabs>
          <w:tab w:val="left" w:pos="1418"/>
        </w:tabs>
        <w:spacing w:before="160" w:after="240"/>
        <w:jc w:val="both"/>
        <w:rPr>
          <w:b/>
          <w:bCs/>
          <w:i/>
          <w:iCs/>
        </w:rPr>
      </w:pPr>
      <w:r w:rsidRPr="00402D4B">
        <w:rPr>
          <w:b/>
          <w:bCs/>
          <w:i/>
          <w:iCs/>
        </w:rPr>
        <w:t xml:space="preserve">NOTE: </w:t>
      </w:r>
      <w:r w:rsidRPr="00402D4B">
        <w:rPr>
          <w:i/>
          <w:iCs/>
        </w:rPr>
        <w:tab/>
        <w:t>S</w:t>
      </w:r>
      <w:r w:rsidRPr="00402D4B">
        <w:rPr>
          <w:bCs/>
          <w:i/>
          <w:iCs/>
        </w:rPr>
        <w:t>ome competent authorities may require SDS and/or supplemental labelling only, as described in</w:t>
      </w:r>
      <w:r>
        <w:rPr>
          <w:bCs/>
          <w:i/>
          <w:iCs/>
        </w:rPr>
        <w:t> </w:t>
      </w:r>
      <w:r w:rsidRPr="00402D4B">
        <w:rPr>
          <w:bCs/>
          <w:i/>
          <w:iCs/>
        </w:rPr>
        <w:t xml:space="preserve">3.4.4.2 for mixtures containing a sensitizing ingredient at concentrations </w:t>
      </w:r>
      <w:r w:rsidRPr="00402D4B">
        <w:rPr>
          <w:i/>
          <w:iCs/>
        </w:rPr>
        <w:t>between 0.1 and 1.0</w:t>
      </w:r>
      <w:r>
        <w:rPr>
          <w:i/>
          <w:iCs/>
        </w:rPr>
        <w:t> </w:t>
      </w:r>
      <w:r w:rsidRPr="00402D4B">
        <w:rPr>
          <w:i/>
          <w:iCs/>
        </w:rPr>
        <w:t xml:space="preserve">% </w:t>
      </w:r>
      <w:r w:rsidRPr="00402D4B">
        <w:rPr>
          <w:bCs/>
          <w:i/>
          <w:iCs/>
        </w:rPr>
        <w:t>(or between 0.1 and 0.2</w:t>
      </w:r>
      <w:r>
        <w:rPr>
          <w:bCs/>
          <w:i/>
          <w:iCs/>
        </w:rPr>
        <w:t> </w:t>
      </w:r>
      <w:r w:rsidRPr="00402D4B">
        <w:rPr>
          <w:bCs/>
          <w:i/>
          <w:iCs/>
        </w:rPr>
        <w:t>% for a gaseous respiratory sensitizer). While the current cut-off values reflect</w:t>
      </w:r>
      <w:r w:rsidRPr="00402D4B">
        <w:rPr>
          <w:i/>
          <w:iCs/>
        </w:rPr>
        <w:t xml:space="preserve"> existing systems, all recognize that special cases may require information to be conveyed below that level.</w:t>
      </w:r>
    </w:p>
    <w:p w14:paraId="2CD7D625" w14:textId="77777777" w:rsidR="00891B72" w:rsidRPr="00402D4B" w:rsidRDefault="00891B72" w:rsidP="00891B72">
      <w:pPr>
        <w:pStyle w:val="GHSHeading3"/>
        <w:spacing w:after="240"/>
        <w:rPr>
          <w:sz w:val="20"/>
          <w:szCs w:val="20"/>
        </w:rPr>
      </w:pPr>
      <w:r w:rsidRPr="00402D4B">
        <w:rPr>
          <w:sz w:val="20"/>
          <w:szCs w:val="20"/>
        </w:rPr>
        <w:t>3.4.4</w:t>
      </w:r>
      <w:r w:rsidRPr="00402D4B">
        <w:rPr>
          <w:sz w:val="20"/>
          <w:szCs w:val="20"/>
        </w:rPr>
        <w:tab/>
        <w:t>Hazard communication</w:t>
      </w:r>
    </w:p>
    <w:p w14:paraId="6F3F1DF5" w14:textId="77777777" w:rsidR="00891B72" w:rsidRPr="00402D4B" w:rsidRDefault="00891B72" w:rsidP="00891B72">
      <w:pPr>
        <w:keepNext/>
        <w:keepLines/>
        <w:tabs>
          <w:tab w:val="left" w:pos="1418"/>
        </w:tabs>
        <w:spacing w:after="240"/>
        <w:jc w:val="both"/>
      </w:pPr>
      <w:r w:rsidRPr="00402D4B">
        <w:t>3.4.4.1</w:t>
      </w:r>
      <w:r w:rsidRPr="00402D4B">
        <w:tab/>
        <w:t xml:space="preserve">General and specific considerations concerning labelling requirements are provided in </w:t>
      </w:r>
      <w:r w:rsidRPr="00402D4B">
        <w:rPr>
          <w:i/>
          <w:iCs/>
        </w:rPr>
        <w:t>Hazard communication: Labelling</w:t>
      </w:r>
      <w:r w:rsidRPr="00402D4B">
        <w:t xml:space="preserve"> (Chapter 1.4). Annex 1 contains summary tables about classification and labelling. Annex 3 contains examples of precautionary statements and pictograms which can be used where allowed by the competent authority. Table 3.4.</w:t>
      </w:r>
      <w:r w:rsidRPr="001522C3">
        <w:rPr>
          <w:color w:val="0070C0"/>
        </w:rPr>
        <w:t>5</w:t>
      </w:r>
      <w:r w:rsidRPr="00402D4B">
        <w:t xml:space="preserve"> below presents specific label elements for substances and mixtures that are classified as respiratory and skin sensitizers based on the criteria in this chapter.</w:t>
      </w:r>
    </w:p>
    <w:p w14:paraId="636D3C02" w14:textId="77777777" w:rsidR="00891B72" w:rsidRPr="00402D4B" w:rsidRDefault="00891B72" w:rsidP="00891B72">
      <w:pPr>
        <w:keepNext/>
        <w:keepLines/>
        <w:spacing w:after="120"/>
        <w:jc w:val="center"/>
        <w:rPr>
          <w:b/>
        </w:rPr>
      </w:pPr>
      <w:r w:rsidRPr="00402D4B">
        <w:rPr>
          <w:b/>
        </w:rPr>
        <w:t>Table 3.4.</w:t>
      </w:r>
      <w:r w:rsidRPr="001522C3">
        <w:rPr>
          <w:b/>
          <w:color w:val="0070C0"/>
        </w:rPr>
        <w:t>5</w:t>
      </w:r>
      <w:r w:rsidRPr="00402D4B">
        <w:rPr>
          <w:b/>
        </w:rPr>
        <w:t xml:space="preserve">:  Label elements for respiratory or skin sensitization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3832"/>
        <w:gridCol w:w="3826"/>
      </w:tblGrid>
      <w:tr w:rsidR="00891B72" w:rsidRPr="00402D4B" w14:paraId="6A9E003F" w14:textId="77777777" w:rsidTr="007F4632">
        <w:trPr>
          <w:trHeight w:val="508"/>
          <w:jc w:val="center"/>
        </w:trPr>
        <w:tc>
          <w:tcPr>
            <w:tcW w:w="1981" w:type="dxa"/>
          </w:tcPr>
          <w:p w14:paraId="70A40A3E" w14:textId="77777777" w:rsidR="00891B72" w:rsidRPr="00402D4B" w:rsidRDefault="00891B72" w:rsidP="007F4632">
            <w:pPr>
              <w:tabs>
                <w:tab w:val="left" w:pos="1134"/>
                <w:tab w:val="left" w:pos="1418"/>
                <w:tab w:val="left" w:pos="1701"/>
                <w:tab w:val="left" w:pos="1985"/>
                <w:tab w:val="left" w:pos="2268"/>
                <w:tab w:val="left" w:pos="2552"/>
                <w:tab w:val="left" w:pos="2835"/>
                <w:tab w:val="left" w:pos="3119"/>
                <w:tab w:val="left" w:pos="3402"/>
                <w:tab w:val="left" w:pos="3686"/>
                <w:tab w:val="left" w:pos="3969"/>
              </w:tabs>
              <w:spacing w:before="30" w:after="30"/>
              <w:rPr>
                <w:b/>
              </w:rPr>
            </w:pPr>
          </w:p>
        </w:tc>
        <w:tc>
          <w:tcPr>
            <w:tcW w:w="3832" w:type="dxa"/>
          </w:tcPr>
          <w:p w14:paraId="6029CD7B" w14:textId="77777777" w:rsidR="00891B72" w:rsidRPr="00402D4B" w:rsidRDefault="00891B72" w:rsidP="007F4632">
            <w:pPr>
              <w:tabs>
                <w:tab w:val="left" w:pos="1134"/>
                <w:tab w:val="left" w:pos="1418"/>
                <w:tab w:val="left" w:pos="1701"/>
                <w:tab w:val="left" w:pos="1985"/>
                <w:tab w:val="left" w:pos="2268"/>
                <w:tab w:val="left" w:pos="2552"/>
                <w:tab w:val="left" w:pos="2835"/>
                <w:tab w:val="left" w:pos="3119"/>
                <w:tab w:val="left" w:pos="3402"/>
                <w:tab w:val="left" w:pos="3686"/>
                <w:tab w:val="left" w:pos="3969"/>
              </w:tabs>
              <w:spacing w:before="30" w:after="30"/>
              <w:jc w:val="center"/>
            </w:pPr>
            <w:r w:rsidRPr="00402D4B">
              <w:rPr>
                <w:b/>
                <w:bCs/>
              </w:rPr>
              <w:t>Respiratory sensitization</w:t>
            </w:r>
            <w:r w:rsidRPr="00402D4B">
              <w:rPr>
                <w:b/>
                <w:bCs/>
              </w:rPr>
              <w:br/>
              <w:t>Category 1 and sub-categories 1A and 1B</w:t>
            </w:r>
          </w:p>
        </w:tc>
        <w:tc>
          <w:tcPr>
            <w:tcW w:w="3826" w:type="dxa"/>
          </w:tcPr>
          <w:p w14:paraId="3EBCC352" w14:textId="77777777" w:rsidR="00891B72" w:rsidRPr="00402D4B" w:rsidRDefault="00891B72" w:rsidP="007F4632">
            <w:pPr>
              <w:tabs>
                <w:tab w:val="left" w:pos="1134"/>
                <w:tab w:val="left" w:pos="1418"/>
                <w:tab w:val="left" w:pos="1701"/>
                <w:tab w:val="left" w:pos="1985"/>
                <w:tab w:val="left" w:pos="2268"/>
                <w:tab w:val="left" w:pos="2552"/>
                <w:tab w:val="left" w:pos="2835"/>
                <w:tab w:val="left" w:pos="3119"/>
                <w:tab w:val="left" w:pos="3402"/>
                <w:tab w:val="left" w:pos="3686"/>
                <w:tab w:val="left" w:pos="3969"/>
              </w:tabs>
              <w:spacing w:before="30" w:after="30"/>
              <w:jc w:val="center"/>
              <w:rPr>
                <w:b/>
              </w:rPr>
            </w:pPr>
            <w:r w:rsidRPr="00402D4B">
              <w:rPr>
                <w:b/>
              </w:rPr>
              <w:t>Skin sensitization</w:t>
            </w:r>
            <w:r w:rsidRPr="00402D4B">
              <w:rPr>
                <w:b/>
              </w:rPr>
              <w:br/>
              <w:t xml:space="preserve">Category 1 </w:t>
            </w:r>
            <w:r w:rsidRPr="00402D4B">
              <w:rPr>
                <w:b/>
                <w:bCs/>
              </w:rPr>
              <w:t>and sub-categories 1A and 1B</w:t>
            </w:r>
          </w:p>
        </w:tc>
      </w:tr>
      <w:tr w:rsidR="00891B72" w:rsidRPr="00402D4B" w14:paraId="68E3CBD0" w14:textId="77777777" w:rsidTr="007F4632">
        <w:trPr>
          <w:trHeight w:val="70"/>
          <w:jc w:val="center"/>
        </w:trPr>
        <w:tc>
          <w:tcPr>
            <w:tcW w:w="1981" w:type="dxa"/>
          </w:tcPr>
          <w:p w14:paraId="4A7C5A76" w14:textId="77777777" w:rsidR="00891B72" w:rsidRPr="00402D4B" w:rsidRDefault="00891B72" w:rsidP="007F4632">
            <w:pPr>
              <w:tabs>
                <w:tab w:val="left" w:pos="1134"/>
                <w:tab w:val="left" w:pos="1418"/>
                <w:tab w:val="left" w:pos="1701"/>
                <w:tab w:val="left" w:pos="1985"/>
                <w:tab w:val="left" w:pos="2268"/>
                <w:tab w:val="left" w:pos="2552"/>
                <w:tab w:val="left" w:pos="2835"/>
                <w:tab w:val="left" w:pos="3119"/>
                <w:tab w:val="left" w:pos="3402"/>
                <w:tab w:val="left" w:pos="3686"/>
                <w:tab w:val="left" w:pos="3969"/>
              </w:tabs>
              <w:spacing w:before="30" w:after="30"/>
              <w:rPr>
                <w:b/>
              </w:rPr>
            </w:pPr>
            <w:r w:rsidRPr="00402D4B">
              <w:rPr>
                <w:b/>
              </w:rPr>
              <w:t>Symbol</w:t>
            </w:r>
          </w:p>
        </w:tc>
        <w:tc>
          <w:tcPr>
            <w:tcW w:w="3832" w:type="dxa"/>
          </w:tcPr>
          <w:p w14:paraId="1FA73816" w14:textId="77777777" w:rsidR="00891B72" w:rsidRPr="00402D4B" w:rsidRDefault="00891B72" w:rsidP="007F4632">
            <w:pPr>
              <w:tabs>
                <w:tab w:val="left" w:pos="1134"/>
                <w:tab w:val="left" w:pos="1418"/>
                <w:tab w:val="left" w:pos="1701"/>
                <w:tab w:val="left" w:pos="1985"/>
                <w:tab w:val="left" w:pos="2268"/>
                <w:tab w:val="left" w:pos="2552"/>
                <w:tab w:val="left" w:pos="2835"/>
                <w:tab w:val="left" w:pos="3119"/>
                <w:tab w:val="left" w:pos="3402"/>
                <w:tab w:val="left" w:pos="3686"/>
                <w:tab w:val="left" w:pos="3969"/>
              </w:tabs>
              <w:spacing w:before="30" w:after="30"/>
              <w:jc w:val="center"/>
            </w:pPr>
            <w:r w:rsidRPr="00402D4B">
              <w:t>Health hazard</w:t>
            </w:r>
          </w:p>
        </w:tc>
        <w:tc>
          <w:tcPr>
            <w:tcW w:w="3826" w:type="dxa"/>
          </w:tcPr>
          <w:p w14:paraId="6D1F67F3" w14:textId="77777777" w:rsidR="00891B72" w:rsidRPr="00402D4B" w:rsidRDefault="00891B72" w:rsidP="007F4632">
            <w:pPr>
              <w:tabs>
                <w:tab w:val="left" w:pos="1134"/>
                <w:tab w:val="left" w:pos="1418"/>
                <w:tab w:val="left" w:pos="1701"/>
                <w:tab w:val="left" w:pos="1985"/>
                <w:tab w:val="left" w:pos="2268"/>
                <w:tab w:val="left" w:pos="2552"/>
                <w:tab w:val="left" w:pos="2835"/>
                <w:tab w:val="left" w:pos="3119"/>
                <w:tab w:val="left" w:pos="3402"/>
                <w:tab w:val="left" w:pos="3686"/>
                <w:tab w:val="left" w:pos="3969"/>
              </w:tabs>
              <w:spacing w:before="30" w:after="30"/>
              <w:jc w:val="center"/>
            </w:pPr>
            <w:r w:rsidRPr="00402D4B">
              <w:t>Exclamation mark</w:t>
            </w:r>
          </w:p>
        </w:tc>
      </w:tr>
      <w:tr w:rsidR="00891B72" w:rsidRPr="00402D4B" w14:paraId="11A62EED" w14:textId="77777777" w:rsidTr="007F4632">
        <w:trPr>
          <w:trHeight w:val="188"/>
          <w:jc w:val="center"/>
        </w:trPr>
        <w:tc>
          <w:tcPr>
            <w:tcW w:w="1981" w:type="dxa"/>
          </w:tcPr>
          <w:p w14:paraId="060ED231" w14:textId="77777777" w:rsidR="00891B72" w:rsidRPr="00402D4B" w:rsidRDefault="00891B72" w:rsidP="007F4632">
            <w:pPr>
              <w:tabs>
                <w:tab w:val="left" w:pos="1134"/>
                <w:tab w:val="left" w:pos="1418"/>
                <w:tab w:val="left" w:pos="1701"/>
                <w:tab w:val="left" w:pos="1985"/>
                <w:tab w:val="left" w:pos="2268"/>
                <w:tab w:val="left" w:pos="2552"/>
                <w:tab w:val="left" w:pos="2835"/>
                <w:tab w:val="left" w:pos="3119"/>
                <w:tab w:val="left" w:pos="3402"/>
                <w:tab w:val="left" w:pos="3686"/>
                <w:tab w:val="left" w:pos="3969"/>
              </w:tabs>
              <w:spacing w:before="30" w:after="30"/>
              <w:rPr>
                <w:b/>
              </w:rPr>
            </w:pPr>
            <w:r w:rsidRPr="00402D4B">
              <w:rPr>
                <w:b/>
              </w:rPr>
              <w:t>Signal word</w:t>
            </w:r>
          </w:p>
        </w:tc>
        <w:tc>
          <w:tcPr>
            <w:tcW w:w="3832" w:type="dxa"/>
          </w:tcPr>
          <w:p w14:paraId="01A25D4C" w14:textId="77777777" w:rsidR="00891B72" w:rsidRPr="00402D4B" w:rsidRDefault="00891B72" w:rsidP="007F4632">
            <w:pPr>
              <w:tabs>
                <w:tab w:val="left" w:pos="1134"/>
                <w:tab w:val="left" w:pos="1418"/>
                <w:tab w:val="left" w:pos="1701"/>
                <w:tab w:val="left" w:pos="1985"/>
                <w:tab w:val="left" w:pos="2268"/>
                <w:tab w:val="left" w:pos="2552"/>
                <w:tab w:val="left" w:pos="2835"/>
                <w:tab w:val="left" w:pos="3119"/>
                <w:tab w:val="left" w:pos="3402"/>
                <w:tab w:val="left" w:pos="3686"/>
                <w:tab w:val="left" w:pos="3969"/>
              </w:tabs>
              <w:spacing w:before="30" w:after="30"/>
              <w:jc w:val="center"/>
            </w:pPr>
            <w:r w:rsidRPr="00402D4B">
              <w:t>Danger</w:t>
            </w:r>
          </w:p>
        </w:tc>
        <w:tc>
          <w:tcPr>
            <w:tcW w:w="3826" w:type="dxa"/>
          </w:tcPr>
          <w:p w14:paraId="4CE1E8A0" w14:textId="77777777" w:rsidR="00891B72" w:rsidRPr="00402D4B" w:rsidRDefault="00891B72" w:rsidP="007F4632">
            <w:pPr>
              <w:tabs>
                <w:tab w:val="left" w:pos="1134"/>
                <w:tab w:val="left" w:pos="1418"/>
                <w:tab w:val="left" w:pos="1701"/>
                <w:tab w:val="left" w:pos="1985"/>
                <w:tab w:val="left" w:pos="2268"/>
                <w:tab w:val="left" w:pos="2552"/>
                <w:tab w:val="left" w:pos="2835"/>
                <w:tab w:val="left" w:pos="3119"/>
                <w:tab w:val="left" w:pos="3402"/>
                <w:tab w:val="left" w:pos="3686"/>
                <w:tab w:val="left" w:pos="3969"/>
              </w:tabs>
              <w:spacing w:before="30" w:after="30"/>
              <w:jc w:val="center"/>
            </w:pPr>
            <w:r w:rsidRPr="00402D4B">
              <w:t>Warning</w:t>
            </w:r>
          </w:p>
        </w:tc>
      </w:tr>
      <w:tr w:rsidR="00891B72" w:rsidRPr="00402D4B" w14:paraId="06224BBC" w14:textId="77777777" w:rsidTr="007F4632">
        <w:trPr>
          <w:trHeight w:val="382"/>
          <w:jc w:val="center"/>
        </w:trPr>
        <w:tc>
          <w:tcPr>
            <w:tcW w:w="1981" w:type="dxa"/>
          </w:tcPr>
          <w:p w14:paraId="2F62EF26" w14:textId="77777777" w:rsidR="00891B72" w:rsidRPr="00402D4B" w:rsidRDefault="00891B72" w:rsidP="007F4632">
            <w:pPr>
              <w:tabs>
                <w:tab w:val="left" w:pos="1134"/>
                <w:tab w:val="left" w:pos="1418"/>
                <w:tab w:val="left" w:pos="1701"/>
                <w:tab w:val="left" w:pos="1985"/>
                <w:tab w:val="left" w:pos="2268"/>
                <w:tab w:val="left" w:pos="2552"/>
                <w:tab w:val="left" w:pos="2835"/>
                <w:tab w:val="left" w:pos="3119"/>
                <w:tab w:val="left" w:pos="3402"/>
                <w:tab w:val="left" w:pos="3686"/>
                <w:tab w:val="left" w:pos="3969"/>
              </w:tabs>
              <w:spacing w:before="30" w:after="30"/>
              <w:rPr>
                <w:b/>
              </w:rPr>
            </w:pPr>
            <w:r w:rsidRPr="00402D4B">
              <w:rPr>
                <w:b/>
              </w:rPr>
              <w:t>Hazard statement</w:t>
            </w:r>
          </w:p>
        </w:tc>
        <w:tc>
          <w:tcPr>
            <w:tcW w:w="3832" w:type="dxa"/>
          </w:tcPr>
          <w:p w14:paraId="017D4F5D" w14:textId="77777777" w:rsidR="00891B72" w:rsidRPr="00402D4B" w:rsidRDefault="00891B72" w:rsidP="007F4632">
            <w:pPr>
              <w:tabs>
                <w:tab w:val="left" w:pos="1134"/>
                <w:tab w:val="left" w:pos="1418"/>
                <w:tab w:val="left" w:pos="1701"/>
                <w:tab w:val="left" w:pos="1985"/>
                <w:tab w:val="left" w:pos="2268"/>
                <w:tab w:val="left" w:pos="2552"/>
                <w:tab w:val="left" w:pos="2835"/>
                <w:tab w:val="left" w:pos="3119"/>
                <w:tab w:val="left" w:pos="3402"/>
                <w:tab w:val="left" w:pos="3686"/>
                <w:tab w:val="left" w:pos="3969"/>
              </w:tabs>
              <w:spacing w:before="30" w:after="30"/>
              <w:jc w:val="center"/>
            </w:pPr>
            <w:r w:rsidRPr="00402D4B">
              <w:t>May cause allergy or asthma symptoms or breathing difficulties if inhaled</w:t>
            </w:r>
          </w:p>
        </w:tc>
        <w:tc>
          <w:tcPr>
            <w:tcW w:w="3826" w:type="dxa"/>
          </w:tcPr>
          <w:p w14:paraId="3F5A4BFF" w14:textId="77777777" w:rsidR="00891B72" w:rsidRPr="00402D4B" w:rsidRDefault="00891B72" w:rsidP="007F4632">
            <w:pPr>
              <w:pStyle w:val="Style1"/>
              <w:tabs>
                <w:tab w:val="left" w:pos="1134"/>
                <w:tab w:val="left" w:pos="1418"/>
                <w:tab w:val="left" w:pos="1701"/>
                <w:tab w:val="left" w:pos="1985"/>
                <w:tab w:val="left" w:pos="2268"/>
                <w:tab w:val="left" w:pos="2552"/>
                <w:tab w:val="left" w:pos="2835"/>
                <w:tab w:val="left" w:pos="3119"/>
                <w:tab w:val="left" w:pos="3402"/>
                <w:tab w:val="left" w:pos="3686"/>
                <w:tab w:val="left" w:pos="3969"/>
              </w:tabs>
              <w:spacing w:before="30" w:after="30"/>
              <w:jc w:val="center"/>
              <w:rPr>
                <w:sz w:val="20"/>
              </w:rPr>
            </w:pPr>
            <w:r w:rsidRPr="00402D4B">
              <w:rPr>
                <w:sz w:val="20"/>
              </w:rPr>
              <w:t>May cause an allergic skin reaction</w:t>
            </w:r>
          </w:p>
        </w:tc>
      </w:tr>
    </w:tbl>
    <w:p w14:paraId="6CC01EEC" w14:textId="77777777" w:rsidR="00891B72" w:rsidRPr="00402D4B" w:rsidRDefault="00891B72" w:rsidP="00891B72">
      <w:pPr>
        <w:keepNext/>
        <w:keepLines/>
        <w:tabs>
          <w:tab w:val="left" w:pos="1418"/>
          <w:tab w:val="left" w:pos="1985"/>
          <w:tab w:val="left" w:pos="2552"/>
          <w:tab w:val="left" w:pos="3119"/>
          <w:tab w:val="left" w:pos="3686"/>
        </w:tabs>
        <w:spacing w:before="240" w:after="240"/>
        <w:jc w:val="both"/>
      </w:pPr>
      <w:r w:rsidRPr="00402D4B">
        <w:t>3.4.4.2</w:t>
      </w:r>
      <w:r w:rsidRPr="00402D4B">
        <w:tab/>
        <w:t>Some chemicals that are classified as sensitizers may elicit a response, when present in a mixture in quantities below the cut-offs established in Table 3.4.</w:t>
      </w:r>
      <w:r w:rsidRPr="00392A88">
        <w:rPr>
          <w:color w:val="0070C0"/>
        </w:rPr>
        <w:t>4</w:t>
      </w:r>
      <w:r w:rsidRPr="00402D4B">
        <w:t xml:space="preserve">, in individuals who are already sensitized to the chemicals. To protect these individuals, certain authorities may choose to require the name of the ingredients as a supplemental label element </w:t>
      </w:r>
      <w:proofErr w:type="gramStart"/>
      <w:r w:rsidRPr="00402D4B">
        <w:t>whether or not</w:t>
      </w:r>
      <w:proofErr w:type="gramEnd"/>
      <w:r w:rsidRPr="00402D4B">
        <w:t xml:space="preserve"> the mixture as a whole is classified as sensitizer.</w:t>
      </w:r>
    </w:p>
    <w:p w14:paraId="216F2358" w14:textId="77777777" w:rsidR="00891B72" w:rsidRPr="00402D4B" w:rsidRDefault="00891B72" w:rsidP="00891B72">
      <w:pPr>
        <w:pStyle w:val="GHSHeading3"/>
        <w:spacing w:after="240"/>
        <w:rPr>
          <w:sz w:val="20"/>
          <w:szCs w:val="20"/>
        </w:rPr>
      </w:pPr>
      <w:r w:rsidRPr="00402D4B">
        <w:rPr>
          <w:sz w:val="20"/>
          <w:szCs w:val="20"/>
        </w:rPr>
        <w:t>3.4.5</w:t>
      </w:r>
      <w:r w:rsidRPr="00402D4B">
        <w:rPr>
          <w:sz w:val="20"/>
          <w:szCs w:val="20"/>
        </w:rPr>
        <w:tab/>
        <w:t>Decision logic</w:t>
      </w:r>
      <w:r>
        <w:rPr>
          <w:sz w:val="20"/>
          <w:szCs w:val="20"/>
        </w:rPr>
        <w:t xml:space="preserve"> </w:t>
      </w:r>
      <w:r w:rsidRPr="00FA4ACC">
        <w:rPr>
          <w:color w:val="4F81BD" w:themeColor="accent1"/>
          <w:sz w:val="20"/>
          <w:szCs w:val="20"/>
          <w:lang w:eastAsia="en-US"/>
        </w:rPr>
        <w:t>and guidance</w:t>
      </w:r>
    </w:p>
    <w:p w14:paraId="3FABB81E" w14:textId="77777777" w:rsidR="00891B72" w:rsidRPr="00402D4B" w:rsidRDefault="00891B72" w:rsidP="00891B72">
      <w:pPr>
        <w:pStyle w:val="GHS1stline"/>
      </w:pPr>
      <w:r w:rsidRPr="00402D4B">
        <w:t>The decision logics which follow are not part of the harmonized classification system but are provided here as additional guidance. It is strongly recommended that the person responsible for classification study the criteria before and during use of the decision logics.</w:t>
      </w:r>
    </w:p>
    <w:p w14:paraId="39C325E0" w14:textId="273B77D8" w:rsidR="00891B72" w:rsidRPr="00825225" w:rsidRDefault="00891B72" w:rsidP="00891B72">
      <w:pPr>
        <w:pStyle w:val="StyleGHSHeading410ptAuto"/>
        <w:rPr>
          <w:color w:val="FFFFFF" w:themeColor="background1"/>
          <w:szCs w:val="20"/>
        </w:rPr>
      </w:pPr>
      <w:r w:rsidRPr="00B80E36">
        <w:t>3.4.5.1</w:t>
      </w:r>
      <w:r w:rsidRPr="00B80E36">
        <w:tab/>
      </w:r>
      <w:r w:rsidRPr="00B80E36">
        <w:rPr>
          <w:i/>
          <w:iCs/>
        </w:rPr>
        <w:t>Decision logic 3.4.1 for respiratory sensitization</w:t>
      </w:r>
      <w:r w:rsidRPr="00B80E36">
        <w:t xml:space="preserve"> </w:t>
      </w:r>
      <w:r w:rsidRPr="00B80E36">
        <w:tab/>
      </w:r>
      <w:r w:rsidRPr="00825225">
        <w:rPr>
          <w:color w:val="FFFFFF" w:themeColor="background1"/>
        </w:rPr>
        <w:t>Footnotes</w:t>
      </w:r>
      <w:r w:rsidR="00010F65" w:rsidRPr="00825225">
        <w:rPr>
          <w:rStyle w:val="FootnoteReference"/>
          <w:color w:val="FFFFFF" w:themeColor="background1"/>
        </w:rPr>
        <w:footnoteReference w:id="7"/>
      </w:r>
      <w:r w:rsidRPr="00825225">
        <w:rPr>
          <w:color w:val="FFFFFF" w:themeColor="background1"/>
        </w:rPr>
        <w:t xml:space="preserve"> </w:t>
      </w:r>
      <w:r w:rsidR="000F74DE" w:rsidRPr="00825225">
        <w:rPr>
          <w:rStyle w:val="FootnoteReference"/>
          <w:color w:val="FFFFFF" w:themeColor="background1"/>
        </w:rPr>
        <w:footnoteReference w:id="8"/>
      </w:r>
      <w:r w:rsidRPr="00825225">
        <w:rPr>
          <w:color w:val="FFFFFF" w:themeColor="background1"/>
        </w:rPr>
        <w:t xml:space="preserve"> </w:t>
      </w:r>
      <w:r w:rsidR="00825225" w:rsidRPr="00825225">
        <w:rPr>
          <w:rStyle w:val="FootnoteReference"/>
          <w:color w:val="FFFFFF" w:themeColor="background1"/>
        </w:rPr>
        <w:footnoteReference w:id="9"/>
      </w:r>
    </w:p>
    <w:p w14:paraId="0E90C716" w14:textId="79F7E8D8" w:rsidR="00891B72" w:rsidRPr="00402D4B" w:rsidRDefault="005E593D" w:rsidP="00891B72">
      <w:pPr>
        <w:pStyle w:val="GHSHeading4"/>
        <w:tabs>
          <w:tab w:val="clear" w:pos="1418"/>
          <w:tab w:val="clear" w:pos="1985"/>
          <w:tab w:val="clear" w:pos="2552"/>
          <w:tab w:val="clear" w:pos="3119"/>
          <w:tab w:val="clear" w:pos="3686"/>
          <w:tab w:val="left" w:pos="567"/>
        </w:tabs>
        <w:jc w:val="center"/>
        <w:rPr>
          <w:color w:val="FFFFFF"/>
          <w:szCs w:val="20"/>
        </w:rPr>
      </w:pPr>
      <w:r w:rsidRPr="00402D4B">
        <w:rPr>
          <w:noProof/>
        </w:rPr>
        <w:object w:dxaOrig="7669" w:dyaOrig="8197" w14:anchorId="1F5EB090">
          <v:shape id="_x0000_i1026" type="#_x0000_t75" alt="" style="width:385.35pt;height:412.3pt" o:ole="">
            <v:imagedata r:id="rId13" o:title=""/>
          </v:shape>
          <o:OLEObject Type="Embed" ProgID="Visio.Drawing.15" ShapeID="_x0000_i1026" DrawAspect="Content" ObjectID="_1724761926" r:id="rId14"/>
        </w:object>
      </w:r>
    </w:p>
    <w:p w14:paraId="6332601F" w14:textId="1CF815E6" w:rsidR="00891B72" w:rsidRPr="00531DFC" w:rsidRDefault="00891B72" w:rsidP="00891B72">
      <w:pPr>
        <w:pStyle w:val="StyleGHSHeading410ptAuto"/>
        <w:rPr>
          <w:color w:val="FFFFFF" w:themeColor="background1"/>
          <w:szCs w:val="20"/>
        </w:rPr>
      </w:pPr>
      <w:r w:rsidRPr="00402D4B">
        <w:rPr>
          <w:highlight w:val="yellow"/>
        </w:rPr>
        <w:br w:type="page"/>
      </w:r>
      <w:r w:rsidRPr="00531DFC">
        <w:t>3.4.5.2</w:t>
      </w:r>
      <w:r w:rsidRPr="00531DFC">
        <w:tab/>
      </w:r>
      <w:r w:rsidRPr="00531DFC">
        <w:rPr>
          <w:i/>
        </w:rPr>
        <w:t>Decision logic 3.4.2 for skin sensitization</w:t>
      </w:r>
      <w:r w:rsidRPr="00531DFC">
        <w:t xml:space="preserve"> </w:t>
      </w:r>
      <w:r w:rsidRPr="00531DFC">
        <w:tab/>
      </w:r>
      <w:r w:rsidRPr="00531DFC">
        <w:rPr>
          <w:color w:val="FFFFFF" w:themeColor="background1"/>
          <w:szCs w:val="20"/>
        </w:rPr>
        <w:t>Footnotes</w:t>
      </w:r>
      <w:r w:rsidR="00531DFC" w:rsidRPr="00531DFC">
        <w:rPr>
          <w:rStyle w:val="FootnoteReference"/>
          <w:color w:val="FFFFFF" w:themeColor="background1"/>
          <w:szCs w:val="20"/>
        </w:rPr>
        <w:footnoteReference w:customMarkFollows="1" w:id="10"/>
        <w:t>5</w:t>
      </w:r>
      <w:r w:rsidRPr="00531DFC">
        <w:rPr>
          <w:color w:val="FFFFFF" w:themeColor="background1"/>
          <w:szCs w:val="20"/>
        </w:rPr>
        <w:t xml:space="preserve">, </w:t>
      </w:r>
      <w:r w:rsidR="00531DFC" w:rsidRPr="00531DFC">
        <w:rPr>
          <w:rStyle w:val="FootnoteReference"/>
          <w:color w:val="FFFFFF" w:themeColor="background1"/>
          <w:szCs w:val="20"/>
        </w:rPr>
        <w:footnoteReference w:customMarkFollows="1" w:id="11"/>
        <w:t>6</w:t>
      </w:r>
      <w:r w:rsidRPr="00531DFC">
        <w:rPr>
          <w:color w:val="FFFFFF" w:themeColor="background1"/>
          <w:szCs w:val="20"/>
        </w:rPr>
        <w:t xml:space="preserve">, </w:t>
      </w:r>
      <w:r w:rsidR="00531DFC" w:rsidRPr="00531DFC">
        <w:rPr>
          <w:rStyle w:val="FootnoteReference"/>
          <w:color w:val="FFFFFF" w:themeColor="background1"/>
          <w:szCs w:val="20"/>
        </w:rPr>
        <w:footnoteReference w:id="12"/>
      </w:r>
      <w:r w:rsidRPr="00531DFC">
        <w:rPr>
          <w:color w:val="FFFFFF" w:themeColor="background1"/>
          <w:szCs w:val="20"/>
        </w:rPr>
        <w:t xml:space="preserve"> </w:t>
      </w:r>
    </w:p>
    <w:p w14:paraId="1E9E69E5" w14:textId="5552D0F9" w:rsidR="00891B72" w:rsidRPr="00402D4B" w:rsidRDefault="00C77638" w:rsidP="00891B72">
      <w:pPr>
        <w:tabs>
          <w:tab w:val="left" w:pos="540"/>
          <w:tab w:val="left" w:pos="1134"/>
          <w:tab w:val="left" w:pos="1418"/>
          <w:tab w:val="left" w:pos="1701"/>
          <w:tab w:val="left" w:pos="1985"/>
          <w:tab w:val="left" w:pos="2268"/>
          <w:tab w:val="left" w:pos="2552"/>
          <w:tab w:val="left" w:pos="2835"/>
          <w:tab w:val="left" w:pos="3119"/>
          <w:tab w:val="left" w:pos="3402"/>
          <w:tab w:val="left" w:pos="3686"/>
          <w:tab w:val="left" w:pos="3969"/>
        </w:tabs>
        <w:ind w:left="540" w:hanging="540"/>
        <w:jc w:val="center"/>
      </w:pPr>
      <w:r w:rsidRPr="00402D4B">
        <w:rPr>
          <w:noProof/>
        </w:rPr>
        <w:object w:dxaOrig="7669" w:dyaOrig="7393" w14:anchorId="0EA853BD">
          <v:shape id="_x0000_i1027" type="#_x0000_t75" alt="" style="width:385.35pt;height:368.9pt" o:ole="">
            <v:imagedata r:id="rId15" o:title=""/>
          </v:shape>
          <o:OLEObject Type="Embed" ProgID="Visio.Drawing.15" ShapeID="_x0000_i1027" DrawAspect="Content" ObjectID="_1724761927" r:id="rId16"/>
        </w:object>
      </w:r>
    </w:p>
    <w:p w14:paraId="1EEC844F" w14:textId="77777777" w:rsidR="00891B72" w:rsidRPr="00675621" w:rsidRDefault="00891B72" w:rsidP="00891B72">
      <w:pPr>
        <w:pStyle w:val="Heading2"/>
        <w:tabs>
          <w:tab w:val="left" w:pos="1418"/>
        </w:tabs>
        <w:rPr>
          <w:b/>
          <w:bCs/>
          <w:color w:val="0070C0"/>
        </w:rPr>
      </w:pPr>
      <w:r w:rsidRPr="00675621">
        <w:rPr>
          <w:b/>
          <w:bCs/>
          <w:color w:val="0070C0"/>
        </w:rPr>
        <w:t>3.4.5.3</w:t>
      </w:r>
      <w:r w:rsidRPr="00675621">
        <w:rPr>
          <w:b/>
          <w:bCs/>
          <w:color w:val="0070C0"/>
        </w:rPr>
        <w:tab/>
        <w:t>Background guidance</w:t>
      </w:r>
    </w:p>
    <w:p w14:paraId="729C8E0F" w14:textId="77777777" w:rsidR="00891B72" w:rsidRPr="00675621" w:rsidRDefault="00891B72" w:rsidP="00891B72">
      <w:pPr>
        <w:rPr>
          <w:color w:val="0070C0"/>
          <w:lang w:eastAsia="zh-CN"/>
        </w:rPr>
      </w:pPr>
    </w:p>
    <w:p w14:paraId="7B02BA99" w14:textId="77777777" w:rsidR="00891B72" w:rsidRPr="00675621" w:rsidRDefault="00891B72" w:rsidP="00891B72">
      <w:pPr>
        <w:rPr>
          <w:color w:val="0070C0"/>
          <w:lang w:eastAsia="zh-CN"/>
        </w:rPr>
      </w:pPr>
      <w:r w:rsidRPr="00675621">
        <w:rPr>
          <w:color w:val="0070C0"/>
          <w:lang w:eastAsia="zh-CN"/>
        </w:rPr>
        <w:t xml:space="preserve">3.4.5.3.1 </w:t>
      </w:r>
      <w:r w:rsidRPr="00675621">
        <w:rPr>
          <w:color w:val="0070C0"/>
          <w:lang w:eastAsia="zh-CN"/>
        </w:rPr>
        <w:tab/>
      </w:r>
      <w:r w:rsidRPr="00675621">
        <w:rPr>
          <w:bCs/>
          <w:i/>
          <w:color w:val="0070C0"/>
          <w:lang w:eastAsia="zh-CN"/>
        </w:rPr>
        <w:t>Relevant guidance documents</w:t>
      </w:r>
    </w:p>
    <w:p w14:paraId="32BD882D" w14:textId="77777777" w:rsidR="00891B72" w:rsidRPr="00675621" w:rsidRDefault="00891B72" w:rsidP="00891B72">
      <w:pPr>
        <w:rPr>
          <w:color w:val="0070C0"/>
          <w:lang w:eastAsia="zh-CN"/>
        </w:rPr>
      </w:pPr>
    </w:p>
    <w:p w14:paraId="2C1E0549" w14:textId="77777777" w:rsidR="00891B72" w:rsidRPr="00675621" w:rsidRDefault="00891B72" w:rsidP="00891B72">
      <w:pPr>
        <w:tabs>
          <w:tab w:val="left" w:pos="1418"/>
        </w:tabs>
        <w:jc w:val="both"/>
        <w:rPr>
          <w:color w:val="0070C0"/>
          <w:lang w:eastAsia="zh-CN"/>
        </w:rPr>
      </w:pPr>
      <w:r w:rsidRPr="00675621">
        <w:rPr>
          <w:color w:val="0070C0"/>
          <w:lang w:eastAsia="zh-CN"/>
        </w:rPr>
        <w:tab/>
        <w:t xml:space="preserve">Mechanistic information on the process of skin sensitization is available in the OECD document on the Adverse Outcome Pathway for skin sensitization (OECD, 2014). This information can </w:t>
      </w:r>
      <w:proofErr w:type="gramStart"/>
      <w:r w:rsidRPr="00675621">
        <w:rPr>
          <w:color w:val="0070C0"/>
          <w:lang w:eastAsia="zh-CN"/>
        </w:rPr>
        <w:t>be helpful in understanding</w:t>
      </w:r>
      <w:proofErr w:type="gramEnd"/>
      <w:r w:rsidRPr="00675621">
        <w:rPr>
          <w:color w:val="0070C0"/>
          <w:lang w:eastAsia="zh-CN"/>
        </w:rPr>
        <w:t xml:space="preserve"> the value of the individual </w:t>
      </w:r>
      <w:r w:rsidRPr="00675621">
        <w:rPr>
          <w:i/>
          <w:color w:val="0070C0"/>
          <w:lang w:eastAsia="zh-CN"/>
        </w:rPr>
        <w:t xml:space="preserve">in </w:t>
      </w:r>
      <w:proofErr w:type="spellStart"/>
      <w:r w:rsidRPr="00675621">
        <w:rPr>
          <w:i/>
          <w:color w:val="0070C0"/>
          <w:lang w:eastAsia="zh-CN"/>
        </w:rPr>
        <w:t>chemic</w:t>
      </w:r>
      <w:r w:rsidRPr="00675621">
        <w:rPr>
          <w:color w:val="0070C0"/>
          <w:lang w:eastAsia="zh-CN"/>
        </w:rPr>
        <w:t>o</w:t>
      </w:r>
      <w:proofErr w:type="spellEnd"/>
      <w:r w:rsidRPr="00675621">
        <w:rPr>
          <w:color w:val="0070C0"/>
          <w:lang w:eastAsia="zh-CN"/>
        </w:rPr>
        <w:t xml:space="preserve"> and </w:t>
      </w:r>
      <w:r w:rsidRPr="00675621">
        <w:rPr>
          <w:i/>
          <w:color w:val="0070C0"/>
          <w:lang w:eastAsia="zh-CN"/>
        </w:rPr>
        <w:t>in vitro</w:t>
      </w:r>
      <w:r w:rsidRPr="00675621">
        <w:rPr>
          <w:color w:val="0070C0"/>
          <w:lang w:eastAsia="zh-CN"/>
        </w:rPr>
        <w:t xml:space="preserve"> methods compared to the </w:t>
      </w:r>
      <w:r w:rsidRPr="00675621">
        <w:rPr>
          <w:i/>
          <w:color w:val="0070C0"/>
          <w:lang w:eastAsia="zh-CN"/>
        </w:rPr>
        <w:t>in vivo</w:t>
      </w:r>
      <w:r w:rsidRPr="00675621">
        <w:rPr>
          <w:color w:val="0070C0"/>
          <w:lang w:eastAsia="zh-CN"/>
        </w:rPr>
        <w:t xml:space="preserve"> methods.</w:t>
      </w:r>
    </w:p>
    <w:p w14:paraId="16BD7A51" w14:textId="77777777" w:rsidR="00891B72" w:rsidRPr="00675621" w:rsidRDefault="00891B72" w:rsidP="00891B72">
      <w:pPr>
        <w:rPr>
          <w:color w:val="0070C0"/>
          <w:lang w:eastAsia="zh-CN"/>
        </w:rPr>
      </w:pPr>
    </w:p>
    <w:p w14:paraId="7E0A431F" w14:textId="77777777" w:rsidR="00891B72" w:rsidRPr="00675621" w:rsidRDefault="00891B72" w:rsidP="00891B72">
      <w:pPr>
        <w:tabs>
          <w:tab w:val="left" w:pos="1418"/>
        </w:tabs>
        <w:rPr>
          <w:i/>
          <w:color w:val="0070C0"/>
          <w:lang w:eastAsia="zh-CN"/>
        </w:rPr>
      </w:pPr>
      <w:r w:rsidRPr="00675621">
        <w:rPr>
          <w:color w:val="0070C0"/>
          <w:lang w:eastAsia="zh-CN"/>
        </w:rPr>
        <w:t>3.4.5.3.2</w:t>
      </w:r>
      <w:r w:rsidRPr="00675621">
        <w:rPr>
          <w:color w:val="0070C0"/>
          <w:lang w:eastAsia="zh-CN"/>
        </w:rPr>
        <w:tab/>
      </w:r>
      <w:r w:rsidRPr="00675621">
        <w:rPr>
          <w:i/>
          <w:color w:val="0070C0"/>
          <w:lang w:eastAsia="zh-CN"/>
        </w:rPr>
        <w:t>Guidance on the use of human data</w:t>
      </w:r>
    </w:p>
    <w:p w14:paraId="6ABE0A53" w14:textId="77777777" w:rsidR="00891B72" w:rsidRPr="00675621" w:rsidRDefault="00891B72" w:rsidP="00891B72">
      <w:pPr>
        <w:rPr>
          <w:b/>
          <w:color w:val="0070C0"/>
          <w:lang w:eastAsia="zh-CN"/>
        </w:rPr>
      </w:pPr>
    </w:p>
    <w:p w14:paraId="179EFAFB" w14:textId="77777777" w:rsidR="00891B72" w:rsidRPr="00675621" w:rsidRDefault="00891B72" w:rsidP="00891B72">
      <w:pPr>
        <w:tabs>
          <w:tab w:val="left" w:pos="1418"/>
        </w:tabs>
        <w:jc w:val="both"/>
        <w:rPr>
          <w:color w:val="0070C0"/>
          <w:lang w:eastAsia="zh-CN"/>
        </w:rPr>
      </w:pPr>
      <w:r w:rsidRPr="00675621">
        <w:rPr>
          <w:color w:val="0070C0"/>
          <w:lang w:eastAsia="zh-CN"/>
        </w:rPr>
        <w:t>3.4.5.3.2.1</w:t>
      </w:r>
      <w:r w:rsidRPr="00675621">
        <w:rPr>
          <w:color w:val="0070C0"/>
          <w:lang w:eastAsia="zh-CN"/>
        </w:rPr>
        <w:tab/>
        <w:t xml:space="preserve">The classification of a substance can be based on human evidence generated from a variety of sources.  These sources include human predictive patch testing, epidemiological studies, case studies, case reports or histories, diagnostic patch testing and medical surveillance reports, and poison control centre information.  This data may have been generated for consumers, workers, or the general population.  </w:t>
      </w:r>
      <w:r w:rsidRPr="00675621">
        <w:rPr>
          <w:color w:val="0070C0"/>
        </w:rPr>
        <w:t>When considering human evidence, consideration should be given to the size, exposure level, and exposure frequency of the exposed population. Guidance for evaluating human evidence and the criteria in 3.4.2.2.2 are provided by some competent authorities (e.g., ECHA Guidance on the Application of the CLP Criteria, 2017).</w:t>
      </w:r>
    </w:p>
    <w:p w14:paraId="490F2714" w14:textId="77777777" w:rsidR="00891B72" w:rsidRPr="00675621" w:rsidRDefault="00891B72" w:rsidP="00891B72">
      <w:pPr>
        <w:rPr>
          <w:color w:val="0070C0"/>
          <w:lang w:eastAsia="zh-CN"/>
        </w:rPr>
      </w:pPr>
    </w:p>
    <w:p w14:paraId="655B176F" w14:textId="77777777" w:rsidR="00891B72" w:rsidRPr="00675621" w:rsidRDefault="00891B72" w:rsidP="00891B72">
      <w:pPr>
        <w:tabs>
          <w:tab w:val="left" w:pos="1418"/>
        </w:tabs>
        <w:jc w:val="both"/>
        <w:rPr>
          <w:color w:val="0070C0"/>
          <w:lang w:eastAsia="zh-CN"/>
        </w:rPr>
      </w:pPr>
      <w:r w:rsidRPr="00675621">
        <w:rPr>
          <w:color w:val="0070C0"/>
          <w:lang w:eastAsia="zh-CN"/>
        </w:rPr>
        <w:t>3.4.5.3.2.2</w:t>
      </w:r>
      <w:r w:rsidRPr="00675621">
        <w:rPr>
          <w:color w:val="0070C0"/>
          <w:lang w:eastAsia="zh-CN"/>
        </w:rPr>
        <w:tab/>
        <w:t>Positive data from predictive patch testing (HRIPT or HMT) conducted through human experimental and clinical studies, showing allergic contact dermatitis caused by the test substance can be used to classify substances for skin sensitization These studies are generally conducted in controlled clinical settings and the larger the population size, the more reliable the study outcome is. Criteria for evaluating this data are provided in paragraph 3.4.2.2.2.1 and 3.4.2.2.2.</w:t>
      </w:r>
    </w:p>
    <w:p w14:paraId="729EF01D" w14:textId="77777777" w:rsidR="00891B72" w:rsidRPr="00675621" w:rsidRDefault="00891B72" w:rsidP="00891B72">
      <w:pPr>
        <w:rPr>
          <w:color w:val="0070C0"/>
          <w:lang w:eastAsia="zh-CN"/>
        </w:rPr>
      </w:pPr>
    </w:p>
    <w:p w14:paraId="566E6CDD" w14:textId="77777777" w:rsidR="00891B72" w:rsidRPr="00675621" w:rsidRDefault="00891B72" w:rsidP="00891B72">
      <w:pPr>
        <w:tabs>
          <w:tab w:val="left" w:pos="1418"/>
        </w:tabs>
        <w:jc w:val="both"/>
        <w:rPr>
          <w:color w:val="0070C0"/>
          <w:lang w:eastAsia="zh-CN"/>
        </w:rPr>
      </w:pPr>
      <w:r w:rsidRPr="00675621">
        <w:rPr>
          <w:color w:val="0070C0"/>
          <w:lang w:eastAsia="zh-CN"/>
        </w:rPr>
        <w:t>3.4.5.3.2.3</w:t>
      </w:r>
      <w:r w:rsidRPr="00675621">
        <w:rPr>
          <w:color w:val="0070C0"/>
          <w:lang w:eastAsia="zh-CN"/>
        </w:rPr>
        <w:tab/>
        <w:t>Positive data from well-run epidemiological studies (in accordance with WHO COIMS guidelines, 2009) can be used for classifying substances for skin sensitization.  Some examples of epidemiological studies may include case control studies, cohort studies, cross-sectional studies, or longitudinal studies. These studies should have large sample sizes with well-documented exposures to a substance.</w:t>
      </w:r>
    </w:p>
    <w:p w14:paraId="65533C84" w14:textId="77777777" w:rsidR="00891B72" w:rsidRPr="00675621" w:rsidRDefault="00891B72" w:rsidP="00891B72">
      <w:pPr>
        <w:rPr>
          <w:color w:val="0070C0"/>
          <w:lang w:eastAsia="zh-CN"/>
        </w:rPr>
      </w:pPr>
    </w:p>
    <w:p w14:paraId="454572D0" w14:textId="77777777" w:rsidR="00891B72" w:rsidRPr="00675621" w:rsidRDefault="00891B72" w:rsidP="00891B72">
      <w:pPr>
        <w:tabs>
          <w:tab w:val="left" w:pos="1418"/>
        </w:tabs>
        <w:jc w:val="both"/>
        <w:rPr>
          <w:color w:val="0070C0"/>
          <w:lang w:eastAsia="zh-CN"/>
        </w:rPr>
      </w:pPr>
      <w:r w:rsidRPr="00675621">
        <w:rPr>
          <w:color w:val="0070C0"/>
          <w:lang w:eastAsia="zh-CN"/>
        </w:rPr>
        <w:t>3.4.5.3.2.4</w:t>
      </w:r>
      <w:r w:rsidRPr="00675621">
        <w:rPr>
          <w:color w:val="0070C0"/>
          <w:lang w:eastAsia="zh-CN"/>
        </w:rPr>
        <w:tab/>
        <w:t xml:space="preserve">A specific type of epidemiological study (such as randomized control studies or trials) may include information from diagnostic patch testing.  </w:t>
      </w:r>
      <w:r w:rsidRPr="00675621">
        <w:rPr>
          <w:color w:val="0070C0"/>
        </w:rPr>
        <w:t xml:space="preserve">Diagnostic patch testing is considered by some competent authorities to be the gold standard in diagnosing contact allergy in dermatitis patients (Johansen et al, 2015). Importantly, due consideration needs to be given to the appropriate selection of vehicle, </w:t>
      </w:r>
      <w:proofErr w:type="gramStart"/>
      <w:r w:rsidRPr="00675621">
        <w:rPr>
          <w:color w:val="0070C0"/>
        </w:rPr>
        <w:t>substance</w:t>
      </w:r>
      <w:proofErr w:type="gramEnd"/>
      <w:r w:rsidRPr="00675621">
        <w:rPr>
          <w:color w:val="0070C0"/>
        </w:rPr>
        <w:t xml:space="preserve"> and patch test concentrations for the purpose of not causing false negatives, false positives, irritant reactions or inducing contact allergy (skin sensitization).</w:t>
      </w:r>
      <w:r w:rsidRPr="00675621">
        <w:rPr>
          <w:color w:val="0070C0"/>
          <w:lang w:eastAsia="zh-CN"/>
        </w:rPr>
        <w:t xml:space="preserve"> Positive data from experimental/clinical/diagnostic studies in man and/or well-documented episodes of allergic contact dermatitis may be used to classify substances for skin sensitization, when it can be assumed with sufficient likelihood that the tested substance was indeed the most likely cause for induction of sensitisation. Therefore, it should be established that there is at least a general likelihood that the respective patient(s) had been previously exposed to the substance </w:t>
      </w:r>
      <w:r w:rsidRPr="00675621">
        <w:rPr>
          <w:color w:val="0070C0"/>
        </w:rPr>
        <w:t xml:space="preserve">and </w:t>
      </w:r>
      <w:proofErr w:type="spellStart"/>
      <w:r w:rsidRPr="00675621">
        <w:rPr>
          <w:color w:val="0070C0"/>
        </w:rPr>
        <w:t>Kligman</w:t>
      </w:r>
      <w:proofErr w:type="spellEnd"/>
      <w:r w:rsidRPr="00675621">
        <w:rPr>
          <w:color w:val="0070C0"/>
        </w:rPr>
        <w:t>, 1966</w:t>
      </w:r>
      <w:r w:rsidRPr="00675621">
        <w:rPr>
          <w:color w:val="0070C0"/>
          <w:lang w:eastAsia="zh-CN"/>
        </w:rPr>
        <w:t xml:space="preserve">. On the other hand, negative results from such tests are not sufficient to prove that the test substance should not be classified as a skin sensitizer. </w:t>
      </w:r>
    </w:p>
    <w:p w14:paraId="14526DC2" w14:textId="77777777" w:rsidR="00891B72" w:rsidRPr="00675621" w:rsidRDefault="00891B72" w:rsidP="00891B72">
      <w:pPr>
        <w:rPr>
          <w:color w:val="0070C0"/>
          <w:lang w:eastAsia="zh-CN"/>
        </w:rPr>
      </w:pPr>
    </w:p>
    <w:p w14:paraId="394956F0" w14:textId="77777777" w:rsidR="00891B72" w:rsidRPr="00675621" w:rsidRDefault="00891B72" w:rsidP="00891B72">
      <w:pPr>
        <w:tabs>
          <w:tab w:val="left" w:pos="1418"/>
        </w:tabs>
        <w:jc w:val="both"/>
        <w:rPr>
          <w:color w:val="0070C0"/>
          <w:lang w:eastAsia="zh-CN"/>
        </w:rPr>
      </w:pPr>
      <w:r w:rsidRPr="00675621">
        <w:rPr>
          <w:color w:val="0070C0"/>
          <w:lang w:eastAsia="zh-CN"/>
        </w:rPr>
        <w:t>3.4.5.3.2.5</w:t>
      </w:r>
      <w:r w:rsidRPr="00675621">
        <w:rPr>
          <w:color w:val="0070C0"/>
          <w:lang w:eastAsia="zh-CN"/>
        </w:rPr>
        <w:tab/>
        <w:t>Human data not generated in controlled experiments with volunteers for the purpose of hazard classification (</w:t>
      </w:r>
      <w:proofErr w:type="gramStart"/>
      <w:r w:rsidRPr="00675621">
        <w:rPr>
          <w:color w:val="0070C0"/>
          <w:lang w:eastAsia="zh-CN"/>
        </w:rPr>
        <w:t>e.g.</w:t>
      </w:r>
      <w:proofErr w:type="gramEnd"/>
      <w:r w:rsidRPr="00675621">
        <w:rPr>
          <w:color w:val="0070C0"/>
          <w:lang w:eastAsia="zh-CN"/>
        </w:rPr>
        <w:t xml:space="preserve"> case studies, case reports and case histories, and poison control centre information) can be used with caution. Consideration should be given to the frequency of cases, the inherent properties of the substances, as well as factors such as the exposure situation, bioavailability, individual predisposition, cross-</w:t>
      </w:r>
      <w:proofErr w:type="gramStart"/>
      <w:r w:rsidRPr="00675621">
        <w:rPr>
          <w:color w:val="0070C0"/>
          <w:lang w:eastAsia="zh-CN"/>
        </w:rPr>
        <w:t>reactivity</w:t>
      </w:r>
      <w:proofErr w:type="gramEnd"/>
      <w:r w:rsidRPr="00675621">
        <w:rPr>
          <w:color w:val="0070C0"/>
          <w:lang w:eastAsia="zh-CN"/>
        </w:rPr>
        <w:t xml:space="preserve"> and preventive measures taken. </w:t>
      </w:r>
    </w:p>
    <w:p w14:paraId="4D98F626" w14:textId="77777777" w:rsidR="00891B72" w:rsidRPr="00675621" w:rsidRDefault="00891B72" w:rsidP="00891B72">
      <w:pPr>
        <w:rPr>
          <w:color w:val="0070C0"/>
          <w:lang w:eastAsia="zh-CN"/>
        </w:rPr>
      </w:pPr>
    </w:p>
    <w:p w14:paraId="0027FC28" w14:textId="77777777" w:rsidR="00891B72" w:rsidRPr="00675621" w:rsidRDefault="00891B72" w:rsidP="00891B72">
      <w:pPr>
        <w:tabs>
          <w:tab w:val="left" w:pos="1418"/>
        </w:tabs>
        <w:jc w:val="both"/>
        <w:rPr>
          <w:strike/>
          <w:color w:val="0070C0"/>
          <w:lang w:eastAsia="zh-CN"/>
        </w:rPr>
      </w:pPr>
      <w:r w:rsidRPr="00675621">
        <w:rPr>
          <w:color w:val="0070C0"/>
          <w:lang w:eastAsia="zh-CN"/>
        </w:rPr>
        <w:t>3.4.5.3.2.6</w:t>
      </w:r>
      <w:r w:rsidRPr="00675621">
        <w:rPr>
          <w:color w:val="0070C0"/>
          <w:lang w:eastAsia="zh-CN"/>
        </w:rPr>
        <w:tab/>
        <w:t xml:space="preserve">Special consideration should be given to negative human data as full dose-response information is generally not available.  For example, a negative result in an HRIPT or HMT at a low concentration may not allow for the conclusion that the substance does not have skin sensitizing properties as such effect at a higher concentration may not be excluded.  In addition, negative human data should not necessarily be used to negate positive results from animal studies and/or defined </w:t>
      </w:r>
      <w:proofErr w:type="gramStart"/>
      <w:r w:rsidRPr="00675621">
        <w:rPr>
          <w:color w:val="0070C0"/>
          <w:lang w:eastAsia="zh-CN"/>
        </w:rPr>
        <w:t>approaches, but</w:t>
      </w:r>
      <w:proofErr w:type="gramEnd"/>
      <w:r w:rsidRPr="00675621">
        <w:rPr>
          <w:color w:val="0070C0"/>
          <w:lang w:eastAsia="zh-CN"/>
        </w:rPr>
        <w:t xml:space="preserve"> can be used as part of a weight of evidence. For both animal and human data, consideration should be given to the impact of the vehicle (</w:t>
      </w:r>
      <w:proofErr w:type="gramStart"/>
      <w:r w:rsidRPr="00675621">
        <w:rPr>
          <w:color w:val="0070C0"/>
          <w:lang w:eastAsia="zh-CN"/>
        </w:rPr>
        <w:t>e.g.</w:t>
      </w:r>
      <w:proofErr w:type="gramEnd"/>
      <w:r w:rsidRPr="00675621">
        <w:rPr>
          <w:color w:val="0070C0"/>
        </w:rPr>
        <w:t xml:space="preserve"> </w:t>
      </w:r>
      <w:r w:rsidRPr="00675621">
        <w:rPr>
          <w:color w:val="0070C0"/>
          <w:lang w:val="it-IT" w:eastAsia="zh-CN"/>
        </w:rPr>
        <w:t>Wright</w:t>
      </w:r>
      <w:r w:rsidRPr="00675621">
        <w:rPr>
          <w:color w:val="0070C0"/>
          <w:lang w:eastAsia="zh-CN"/>
        </w:rPr>
        <w:t xml:space="preserve"> et al, 2001</w:t>
      </w:r>
      <w:r w:rsidRPr="00675621">
        <w:rPr>
          <w:color w:val="0070C0"/>
        </w:rPr>
        <w:t xml:space="preserve"> and </w:t>
      </w:r>
      <w:proofErr w:type="spellStart"/>
      <w:r w:rsidRPr="00675621">
        <w:rPr>
          <w:color w:val="0070C0"/>
        </w:rPr>
        <w:t>Kligman</w:t>
      </w:r>
      <w:proofErr w:type="spellEnd"/>
      <w:r w:rsidRPr="00675621">
        <w:rPr>
          <w:color w:val="0070C0"/>
        </w:rPr>
        <w:t>, 1966</w:t>
      </w:r>
      <w:r w:rsidRPr="00675621">
        <w:rPr>
          <w:color w:val="0070C0"/>
          <w:lang w:eastAsia="zh-CN"/>
        </w:rPr>
        <w:t xml:space="preserve">). </w:t>
      </w:r>
    </w:p>
    <w:p w14:paraId="190130AC" w14:textId="77777777" w:rsidR="00891B72" w:rsidRPr="00675621" w:rsidRDefault="00891B72" w:rsidP="00891B72">
      <w:pPr>
        <w:rPr>
          <w:color w:val="0070C0"/>
          <w:lang w:eastAsia="zh-CN"/>
        </w:rPr>
      </w:pPr>
      <w:r w:rsidRPr="00675621">
        <w:rPr>
          <w:color w:val="0070C0"/>
          <w:lang w:eastAsia="zh-CN"/>
        </w:rPr>
        <w:t xml:space="preserve"> </w:t>
      </w:r>
    </w:p>
    <w:p w14:paraId="5DB4FB6B" w14:textId="77777777" w:rsidR="00891B72" w:rsidRPr="00675621" w:rsidRDefault="00891B72" w:rsidP="00891B72">
      <w:pPr>
        <w:tabs>
          <w:tab w:val="left" w:pos="1418"/>
        </w:tabs>
        <w:jc w:val="both"/>
        <w:rPr>
          <w:color w:val="0070C0"/>
          <w:lang w:val="en" w:eastAsia="zh-CN"/>
        </w:rPr>
      </w:pPr>
      <w:r w:rsidRPr="00675621">
        <w:rPr>
          <w:color w:val="0070C0"/>
          <w:lang w:eastAsia="zh-CN"/>
        </w:rPr>
        <w:t>3.4.5.3.2.7</w:t>
      </w:r>
      <w:r w:rsidRPr="00675621">
        <w:rPr>
          <w:color w:val="0070C0"/>
          <w:lang w:val="en" w:eastAsia="zh-CN"/>
        </w:rPr>
        <w:tab/>
        <w:t xml:space="preserve">For example, negative results from substances tested in a predictive patch test at DSA (dose per skin area) &lt; 500 </w:t>
      </w:r>
      <w:proofErr w:type="spellStart"/>
      <w:r w:rsidRPr="00675621">
        <w:rPr>
          <w:color w:val="0070C0"/>
          <w:lang w:val="en" w:eastAsia="zh-CN"/>
        </w:rPr>
        <w:t>μg</w:t>
      </w:r>
      <w:proofErr w:type="spellEnd"/>
      <w:r w:rsidRPr="00675621">
        <w:rPr>
          <w:color w:val="0070C0"/>
          <w:lang w:val="en" w:eastAsia="zh-CN"/>
        </w:rPr>
        <w:t>/cm</w:t>
      </w:r>
      <w:r w:rsidRPr="00675621">
        <w:rPr>
          <w:color w:val="0070C0"/>
          <w:vertAlign w:val="superscript"/>
          <w:lang w:val="en" w:eastAsia="zh-CN"/>
        </w:rPr>
        <w:t>2</w:t>
      </w:r>
      <w:r w:rsidRPr="00675621">
        <w:rPr>
          <w:color w:val="0070C0"/>
          <w:lang w:val="en" w:eastAsia="zh-CN"/>
        </w:rPr>
        <w:t xml:space="preserve"> imply that a classification for skin sensitization might not be needed at all, however, classification as category 1A or 1B cannot be ruled, because the concentration tested was not high enough to exclude these possibilities. The same holds for test results for which it is unknown whether the test concentration corresponded to a DSA &lt; 500 </w:t>
      </w:r>
      <w:proofErr w:type="spellStart"/>
      <w:r w:rsidRPr="00675621">
        <w:rPr>
          <w:color w:val="0070C0"/>
          <w:lang w:val="en" w:eastAsia="zh-CN"/>
        </w:rPr>
        <w:t>μg</w:t>
      </w:r>
      <w:proofErr w:type="spellEnd"/>
      <w:r w:rsidRPr="00675621">
        <w:rPr>
          <w:color w:val="0070C0"/>
          <w:lang w:val="en" w:eastAsia="zh-CN"/>
        </w:rPr>
        <w:t>/cm</w:t>
      </w:r>
      <w:r w:rsidRPr="00675621">
        <w:rPr>
          <w:color w:val="0070C0"/>
          <w:vertAlign w:val="superscript"/>
          <w:lang w:val="en" w:eastAsia="zh-CN"/>
        </w:rPr>
        <w:t>2</w:t>
      </w:r>
      <w:r w:rsidRPr="00675621">
        <w:rPr>
          <w:color w:val="0070C0"/>
          <w:lang w:val="en" w:eastAsia="zh-CN"/>
        </w:rPr>
        <w:t xml:space="preserve">. Negative results from substances tested at DSA ≥ 500 </w:t>
      </w:r>
      <w:proofErr w:type="spellStart"/>
      <w:r w:rsidRPr="00675621">
        <w:rPr>
          <w:color w:val="0070C0"/>
          <w:lang w:val="en" w:eastAsia="zh-CN"/>
        </w:rPr>
        <w:t>μg</w:t>
      </w:r>
      <w:proofErr w:type="spellEnd"/>
      <w:r w:rsidRPr="00675621">
        <w:rPr>
          <w:color w:val="0070C0"/>
          <w:lang w:val="en" w:eastAsia="zh-CN"/>
        </w:rPr>
        <w:t>/cm</w:t>
      </w:r>
      <w:r w:rsidRPr="00675621">
        <w:rPr>
          <w:color w:val="0070C0"/>
          <w:vertAlign w:val="superscript"/>
          <w:lang w:val="en" w:eastAsia="zh-CN"/>
        </w:rPr>
        <w:t>2</w:t>
      </w:r>
      <w:r w:rsidRPr="00675621">
        <w:rPr>
          <w:color w:val="0070C0"/>
          <w:lang w:val="en" w:eastAsia="zh-CN"/>
        </w:rPr>
        <w:t xml:space="preserve"> suggest that classification might not be needed. but, while classification as category 1A can be ruled out, classification as category 1B cannot, because a higher test concentration might have resulted in a positive test result. However, a negative test result at a concentration of 100% would indicate that no classification is needed (based on this test). </w:t>
      </w:r>
      <w:r w:rsidRPr="00675621">
        <w:rPr>
          <w:color w:val="0070C0"/>
          <w:lang w:eastAsia="zh-CN"/>
        </w:rPr>
        <w:t>However, negative results at low concentrations may be informative for mixtures containing the substance.</w:t>
      </w:r>
    </w:p>
    <w:p w14:paraId="031E2447" w14:textId="77777777" w:rsidR="00891B72" w:rsidRPr="00675621" w:rsidRDefault="00891B72" w:rsidP="00891B72">
      <w:pPr>
        <w:rPr>
          <w:color w:val="0070C0"/>
          <w:lang w:val="en" w:eastAsia="zh-CN"/>
        </w:rPr>
      </w:pPr>
    </w:p>
    <w:p w14:paraId="36626CC5" w14:textId="77777777" w:rsidR="00891B72" w:rsidRPr="00675621" w:rsidRDefault="00891B72" w:rsidP="00891B72">
      <w:pPr>
        <w:rPr>
          <w:i/>
          <w:iCs/>
          <w:color w:val="0070C0"/>
        </w:rPr>
      </w:pPr>
      <w:r w:rsidRPr="00675621">
        <w:rPr>
          <w:bCs/>
          <w:iCs/>
          <w:color w:val="0070C0"/>
          <w:lang w:eastAsia="zh-CN"/>
        </w:rPr>
        <w:t>3.4.5.3.3</w:t>
      </w:r>
      <w:r w:rsidRPr="00675621">
        <w:rPr>
          <w:bCs/>
          <w:i/>
          <w:color w:val="0070C0"/>
          <w:lang w:eastAsia="zh-CN"/>
        </w:rPr>
        <w:t xml:space="preserve"> </w:t>
      </w:r>
      <w:r w:rsidRPr="00675621">
        <w:rPr>
          <w:bCs/>
          <w:i/>
          <w:color w:val="0070C0"/>
          <w:lang w:eastAsia="zh-CN"/>
        </w:rPr>
        <w:tab/>
      </w:r>
      <w:r w:rsidRPr="00675621">
        <w:rPr>
          <w:i/>
          <w:color w:val="0070C0"/>
          <w:lang w:eastAsia="zh-CN"/>
        </w:rPr>
        <w:t>Guidance on the use of standard animal data</w:t>
      </w:r>
    </w:p>
    <w:p w14:paraId="78F38527" w14:textId="77777777" w:rsidR="00891B72" w:rsidRPr="00675621" w:rsidRDefault="00891B72" w:rsidP="00891B72">
      <w:pPr>
        <w:rPr>
          <w:i/>
          <w:color w:val="0070C0"/>
          <w:lang w:eastAsia="zh-CN"/>
        </w:rPr>
      </w:pPr>
    </w:p>
    <w:p w14:paraId="314813DE" w14:textId="77777777" w:rsidR="00891B72" w:rsidRPr="00675621" w:rsidRDefault="00891B72" w:rsidP="00891B72">
      <w:pPr>
        <w:rPr>
          <w:rStyle w:val="normaltextrun"/>
          <w:rFonts w:eastAsia="SimSun"/>
          <w:color w:val="0070C0"/>
        </w:rPr>
      </w:pPr>
      <w:r w:rsidRPr="00675621">
        <w:rPr>
          <w:rStyle w:val="normaltextrun"/>
          <w:rFonts w:eastAsia="SimSun"/>
          <w:color w:val="0070C0"/>
        </w:rPr>
        <w:tab/>
        <w:t xml:space="preserve">A positive result in a guinea pig test is defined as a score above zero according to the applicable grading scale such as the Magnusson and </w:t>
      </w:r>
      <w:proofErr w:type="spellStart"/>
      <w:r w:rsidRPr="00675621">
        <w:rPr>
          <w:rStyle w:val="spellingerror"/>
          <w:color w:val="0070C0"/>
        </w:rPr>
        <w:t>Kligman</w:t>
      </w:r>
      <w:proofErr w:type="spellEnd"/>
      <w:r w:rsidRPr="00675621">
        <w:rPr>
          <w:rStyle w:val="normaltextrun"/>
          <w:rFonts w:eastAsia="SimSun"/>
          <w:color w:val="0070C0"/>
        </w:rPr>
        <w:t xml:space="preserve"> grading scale for OECD Test Guideline 406 at one or more of the two observations. A score of 0.5, which is sometimes reported, is therefore also considered a positive result.</w:t>
      </w:r>
    </w:p>
    <w:p w14:paraId="352EF84D" w14:textId="77777777" w:rsidR="00891B72" w:rsidRPr="00675621" w:rsidRDefault="00891B72" w:rsidP="00891B72">
      <w:pPr>
        <w:rPr>
          <w:bCs/>
          <w:color w:val="0070C0"/>
          <w:lang w:eastAsia="zh-CN"/>
        </w:rPr>
      </w:pPr>
    </w:p>
    <w:p w14:paraId="65F874D7" w14:textId="77777777" w:rsidR="00891B72" w:rsidRPr="00675621" w:rsidRDefault="00891B72" w:rsidP="00656EEA">
      <w:pPr>
        <w:keepNext/>
        <w:keepLines/>
        <w:tabs>
          <w:tab w:val="left" w:pos="1418"/>
        </w:tabs>
        <w:rPr>
          <w:bCs/>
          <w:i/>
          <w:color w:val="0070C0"/>
          <w:lang w:eastAsia="zh-CN"/>
        </w:rPr>
      </w:pPr>
      <w:r w:rsidRPr="00675621">
        <w:rPr>
          <w:bCs/>
          <w:color w:val="0070C0"/>
          <w:lang w:eastAsia="zh-CN"/>
        </w:rPr>
        <w:t>3.4.5.3.4</w:t>
      </w:r>
      <w:r w:rsidRPr="00675621">
        <w:rPr>
          <w:bCs/>
          <w:color w:val="0070C0"/>
          <w:lang w:eastAsia="zh-CN"/>
        </w:rPr>
        <w:tab/>
      </w:r>
      <w:r w:rsidRPr="00675621">
        <w:rPr>
          <w:bCs/>
          <w:i/>
          <w:iCs/>
          <w:color w:val="0070C0"/>
          <w:lang w:eastAsia="zh-CN"/>
        </w:rPr>
        <w:t>Guidance on the use of</w:t>
      </w:r>
      <w:r w:rsidRPr="00675621">
        <w:rPr>
          <w:bCs/>
          <w:color w:val="0070C0"/>
          <w:lang w:eastAsia="zh-CN"/>
        </w:rPr>
        <w:t xml:space="preserve"> </w:t>
      </w:r>
      <w:r w:rsidRPr="00675621">
        <w:rPr>
          <w:bCs/>
          <w:i/>
          <w:color w:val="0070C0"/>
          <w:lang w:eastAsia="zh-CN"/>
        </w:rPr>
        <w:t>defined approaches</w:t>
      </w:r>
    </w:p>
    <w:p w14:paraId="07A75844" w14:textId="77777777" w:rsidR="00891B72" w:rsidRPr="00675621" w:rsidRDefault="00891B72" w:rsidP="00656EEA">
      <w:pPr>
        <w:keepNext/>
        <w:keepLines/>
        <w:rPr>
          <w:color w:val="0070C0"/>
          <w:lang w:eastAsia="zh-CN"/>
        </w:rPr>
      </w:pPr>
    </w:p>
    <w:p w14:paraId="39F1DB5B" w14:textId="77777777" w:rsidR="00891B72" w:rsidRPr="00675621" w:rsidRDefault="00891B72" w:rsidP="00891B72">
      <w:pPr>
        <w:tabs>
          <w:tab w:val="left" w:pos="1418"/>
        </w:tabs>
        <w:jc w:val="both"/>
        <w:rPr>
          <w:color w:val="0070C0"/>
          <w:lang w:eastAsia="zh-CN"/>
        </w:rPr>
      </w:pPr>
      <w:r w:rsidRPr="00675621">
        <w:rPr>
          <w:color w:val="0070C0"/>
          <w:lang w:eastAsia="zh-CN"/>
        </w:rPr>
        <w:tab/>
        <w:t xml:space="preserve">Defined approaches validated according to international procedures and described in OECD Guideline 497 have been characterized for the level of confidence that can be assigned to the predictions based on the applicability domain of the individual information sources used and the Data Interpretation Procedure applied (see Table 3.4.6). </w:t>
      </w:r>
    </w:p>
    <w:p w14:paraId="0E7903CF" w14:textId="77777777" w:rsidR="00891B72" w:rsidRPr="00675621" w:rsidRDefault="00891B72" w:rsidP="00891B72">
      <w:pPr>
        <w:rPr>
          <w:color w:val="0070C0"/>
          <w:lang w:eastAsia="zh-CN"/>
        </w:rPr>
      </w:pPr>
      <w:r w:rsidRPr="00675621">
        <w:rPr>
          <w:color w:val="0070C0"/>
          <w:lang w:eastAsia="zh-CN"/>
        </w:rPr>
        <w:t xml:space="preserve">Other defined approaches under consideration but not yet validated according to international procedures and described in OECD Guidance Document 256 according to internationally agreed criteria for their reporting (OECD Guidance Document 255) may be accepted by some competent authorities. </w:t>
      </w:r>
    </w:p>
    <w:p w14:paraId="5393D631" w14:textId="77777777" w:rsidR="00891B72" w:rsidRPr="00675621" w:rsidRDefault="00891B72" w:rsidP="00891B72">
      <w:pPr>
        <w:rPr>
          <w:b/>
          <w:color w:val="0070C0"/>
          <w:lang w:eastAsia="zh-CN"/>
        </w:rPr>
      </w:pPr>
    </w:p>
    <w:p w14:paraId="698D0644" w14:textId="77777777" w:rsidR="00891B72" w:rsidRPr="00675621" w:rsidRDefault="00891B72" w:rsidP="00891B72">
      <w:pPr>
        <w:tabs>
          <w:tab w:val="left" w:pos="1418"/>
        </w:tabs>
        <w:rPr>
          <w:bCs/>
          <w:i/>
          <w:iCs/>
          <w:color w:val="0070C0"/>
          <w:lang w:eastAsia="zh-CN"/>
        </w:rPr>
      </w:pPr>
      <w:r w:rsidRPr="00675621">
        <w:rPr>
          <w:bCs/>
          <w:color w:val="0070C0"/>
          <w:lang w:eastAsia="zh-CN"/>
        </w:rPr>
        <w:t>3.4.5.3.5</w:t>
      </w:r>
      <w:r w:rsidRPr="00675621">
        <w:rPr>
          <w:bCs/>
          <w:color w:val="0070C0"/>
          <w:lang w:eastAsia="zh-CN"/>
        </w:rPr>
        <w:tab/>
      </w:r>
      <w:r w:rsidRPr="00675621">
        <w:rPr>
          <w:bCs/>
          <w:i/>
          <w:iCs/>
          <w:color w:val="0070C0"/>
          <w:lang w:eastAsia="zh-CN"/>
        </w:rPr>
        <w:t>Guidance on the use of</w:t>
      </w:r>
      <w:r w:rsidRPr="00675621">
        <w:rPr>
          <w:bCs/>
          <w:color w:val="0070C0"/>
          <w:lang w:eastAsia="zh-CN"/>
        </w:rPr>
        <w:t xml:space="preserve"> </w:t>
      </w:r>
      <w:r w:rsidRPr="00675621">
        <w:rPr>
          <w:bCs/>
          <w:i/>
          <w:iCs/>
          <w:color w:val="0070C0"/>
          <w:lang w:eastAsia="zh-CN"/>
        </w:rPr>
        <w:t xml:space="preserve">non-stand-alone in </w:t>
      </w:r>
      <w:proofErr w:type="spellStart"/>
      <w:r w:rsidRPr="00675621">
        <w:rPr>
          <w:bCs/>
          <w:i/>
          <w:iCs/>
          <w:color w:val="0070C0"/>
          <w:lang w:eastAsia="zh-CN"/>
        </w:rPr>
        <w:t>chemico</w:t>
      </w:r>
      <w:proofErr w:type="spellEnd"/>
      <w:r w:rsidRPr="00675621">
        <w:rPr>
          <w:bCs/>
          <w:i/>
          <w:iCs/>
          <w:color w:val="0070C0"/>
          <w:lang w:eastAsia="zh-CN"/>
        </w:rPr>
        <w:t>/in vitro methods</w:t>
      </w:r>
    </w:p>
    <w:p w14:paraId="62365131" w14:textId="77777777" w:rsidR="00891B72" w:rsidRPr="00675621" w:rsidRDefault="00891B72" w:rsidP="00891B72">
      <w:pPr>
        <w:rPr>
          <w:color w:val="0070C0"/>
          <w:lang w:eastAsia="zh-CN"/>
        </w:rPr>
      </w:pPr>
    </w:p>
    <w:p w14:paraId="58D5B39E" w14:textId="485B383D" w:rsidR="00891B72" w:rsidRPr="00675621" w:rsidRDefault="00891B72" w:rsidP="00891B72">
      <w:pPr>
        <w:tabs>
          <w:tab w:val="left" w:pos="1418"/>
        </w:tabs>
        <w:jc w:val="both"/>
        <w:rPr>
          <w:color w:val="0070C0"/>
          <w:lang w:eastAsia="zh-CN"/>
        </w:rPr>
      </w:pPr>
      <w:r w:rsidRPr="00675621">
        <w:rPr>
          <w:color w:val="0070C0"/>
          <w:lang w:eastAsia="zh-CN"/>
        </w:rPr>
        <w:tab/>
        <w:t xml:space="preserve">Individual </w:t>
      </w:r>
      <w:r w:rsidRPr="00675621">
        <w:rPr>
          <w:i/>
          <w:color w:val="0070C0"/>
          <w:lang w:eastAsia="zh-CN"/>
        </w:rPr>
        <w:t>in</w:t>
      </w:r>
      <w:r w:rsidRPr="00675621">
        <w:rPr>
          <w:color w:val="0070C0"/>
          <w:lang w:eastAsia="zh-CN"/>
        </w:rPr>
        <w:t xml:space="preserve"> </w:t>
      </w:r>
      <w:proofErr w:type="spellStart"/>
      <w:r w:rsidRPr="00675621">
        <w:rPr>
          <w:i/>
          <w:iCs/>
          <w:color w:val="0070C0"/>
          <w:lang w:eastAsia="zh-CN"/>
        </w:rPr>
        <w:t>chemico</w:t>
      </w:r>
      <w:proofErr w:type="spellEnd"/>
      <w:r w:rsidRPr="00675621">
        <w:rPr>
          <w:i/>
          <w:iCs/>
          <w:color w:val="0070C0"/>
          <w:lang w:eastAsia="zh-CN"/>
        </w:rPr>
        <w:t>/in vitro</w:t>
      </w:r>
      <w:r w:rsidRPr="00675621">
        <w:rPr>
          <w:color w:val="0070C0"/>
          <w:lang w:eastAsia="zh-CN"/>
        </w:rPr>
        <w:t xml:space="preserve"> methods such as those reported in OECD Test Guidelines 442C, 442D and 442E, due to the limited mechanistic coverage, cannot be used on their own to conclude on Category 1 or no classification according to the criteria defined in Table 3.4.7 and further data are necessary for classification in Tier 2. In addition, although some of these methods provides quantitative information, these cannot be used for the purposes of subcategorization into sub-category 1A and subcategory 1B since the criteria have not been validated according to international procedure. Nevertheless, such quantitative information may be accepted by a competent authority when used in weight-of-evidence under Tier 2 for the purpose of subcategorization. This is also in line with the statement in these Test Guidelines that “</w:t>
      </w:r>
      <w:r w:rsidRPr="00675621">
        <w:rPr>
          <w:color w:val="0070C0"/>
        </w:rPr>
        <w:t xml:space="preserve">Depending on the regulatory framework, positive results generated with these methods may be used on their own to classify a chemical into UN GHS Category 1.” Therefore, GHS also allows </w:t>
      </w:r>
      <w:r w:rsidRPr="00675621">
        <w:rPr>
          <w:iCs/>
          <w:color w:val="0070C0"/>
        </w:rPr>
        <w:t xml:space="preserve">a competent authority to decide that a positive result with one of </w:t>
      </w:r>
      <w:proofErr w:type="gramStart"/>
      <w:r w:rsidRPr="00675621">
        <w:rPr>
          <w:iCs/>
          <w:color w:val="0070C0"/>
        </w:rPr>
        <w:t>these non-stand</w:t>
      </w:r>
      <w:proofErr w:type="gramEnd"/>
      <w:r w:rsidRPr="00675621">
        <w:rPr>
          <w:iCs/>
          <w:color w:val="0070C0"/>
        </w:rPr>
        <w:t xml:space="preserve"> alone in </w:t>
      </w:r>
      <w:proofErr w:type="spellStart"/>
      <w:r w:rsidRPr="00675621">
        <w:rPr>
          <w:i/>
          <w:color w:val="0070C0"/>
        </w:rPr>
        <w:t>chemico</w:t>
      </w:r>
      <w:proofErr w:type="spellEnd"/>
      <w:r w:rsidRPr="00675621">
        <w:rPr>
          <w:i/>
          <w:color w:val="0070C0"/>
        </w:rPr>
        <w:t>/in vitro</w:t>
      </w:r>
      <w:r w:rsidRPr="00675621">
        <w:rPr>
          <w:iCs/>
          <w:color w:val="0070C0"/>
        </w:rPr>
        <w:t xml:space="preserve"> methods, may be used on its own to classify in category 1 and whether 442C (appendix III</w:t>
      </w:r>
      <w:r w:rsidRPr="00B2410D">
        <w:rPr>
          <w:iCs/>
          <w:color w:val="0070C0"/>
        </w:rPr>
        <w:t xml:space="preserve">) </w:t>
      </w:r>
      <w:r w:rsidR="00173D05" w:rsidRPr="004A33A6">
        <w:rPr>
          <w:iCs/>
          <w:color w:val="4F81BD" w:themeColor="accent1"/>
        </w:rPr>
        <w:t>kinetic Direct Peptide Reactivity Assay</w:t>
      </w:r>
      <w:r w:rsidR="00173D05" w:rsidRPr="00173D05">
        <w:rPr>
          <w:iCs/>
          <w:color w:val="4F81BD" w:themeColor="accent1"/>
        </w:rPr>
        <w:t xml:space="preserve"> </w:t>
      </w:r>
      <w:r w:rsidRPr="00675621">
        <w:rPr>
          <w:iCs/>
          <w:color w:val="0070C0"/>
        </w:rPr>
        <w:t>(</w:t>
      </w:r>
      <w:proofErr w:type="spellStart"/>
      <w:r w:rsidRPr="00675621">
        <w:rPr>
          <w:iCs/>
          <w:color w:val="0070C0"/>
        </w:rPr>
        <w:t>kDPRA</w:t>
      </w:r>
      <w:proofErr w:type="spellEnd"/>
      <w:r w:rsidRPr="00675621">
        <w:rPr>
          <w:iCs/>
          <w:color w:val="0070C0"/>
        </w:rPr>
        <w:t>) can be used to differentiate between category 1A versus no category 1A.</w:t>
      </w:r>
    </w:p>
    <w:p w14:paraId="1958A70B" w14:textId="77777777" w:rsidR="00891B72" w:rsidRPr="00675621" w:rsidRDefault="00891B72" w:rsidP="00891B72">
      <w:pPr>
        <w:rPr>
          <w:color w:val="0070C0"/>
          <w:lang w:eastAsia="zh-CN"/>
        </w:rPr>
      </w:pPr>
    </w:p>
    <w:p w14:paraId="790D0106" w14:textId="77777777" w:rsidR="00891B72" w:rsidRPr="00675621" w:rsidRDefault="00891B72" w:rsidP="00891B72">
      <w:pPr>
        <w:tabs>
          <w:tab w:val="left" w:pos="1418"/>
        </w:tabs>
        <w:rPr>
          <w:bCs/>
          <w:color w:val="0070C0"/>
          <w:lang w:eastAsia="zh-CN"/>
        </w:rPr>
      </w:pPr>
      <w:r w:rsidRPr="00675621">
        <w:rPr>
          <w:bCs/>
          <w:color w:val="0070C0"/>
          <w:lang w:eastAsia="zh-CN"/>
        </w:rPr>
        <w:t>3.4.5.3.6</w:t>
      </w:r>
      <w:r w:rsidRPr="00675621">
        <w:rPr>
          <w:bCs/>
          <w:color w:val="0070C0"/>
          <w:lang w:eastAsia="zh-CN"/>
        </w:rPr>
        <w:tab/>
      </w:r>
      <w:r w:rsidRPr="00675621">
        <w:rPr>
          <w:bCs/>
          <w:i/>
          <w:iCs/>
          <w:color w:val="0070C0"/>
          <w:lang w:eastAsia="zh-CN"/>
        </w:rPr>
        <w:t>Guidance on the use of non-standard data</w:t>
      </w:r>
    </w:p>
    <w:p w14:paraId="02ED2D95" w14:textId="77777777" w:rsidR="00891B72" w:rsidRPr="00675621" w:rsidRDefault="00891B72" w:rsidP="00891B72">
      <w:pPr>
        <w:rPr>
          <w:color w:val="0070C0"/>
          <w:lang w:eastAsia="zh-CN"/>
        </w:rPr>
      </w:pPr>
    </w:p>
    <w:p w14:paraId="5FFA5DE8" w14:textId="77777777" w:rsidR="00891B72" w:rsidRPr="00675621" w:rsidRDefault="00891B72" w:rsidP="00891B72">
      <w:pPr>
        <w:tabs>
          <w:tab w:val="left" w:pos="1418"/>
        </w:tabs>
        <w:jc w:val="both"/>
        <w:rPr>
          <w:color w:val="0070C0"/>
          <w:lang w:eastAsia="zh-CN"/>
        </w:rPr>
      </w:pPr>
      <w:r w:rsidRPr="00675621">
        <w:rPr>
          <w:color w:val="0070C0"/>
          <w:lang w:eastAsia="zh-CN"/>
        </w:rPr>
        <w:t>3.4.5.3.6.1</w:t>
      </w:r>
      <w:r w:rsidRPr="00675621">
        <w:rPr>
          <w:color w:val="0070C0"/>
          <w:lang w:eastAsia="zh-CN"/>
        </w:rPr>
        <w:tab/>
        <w:t xml:space="preserve">Validated but not yet adopted </w:t>
      </w:r>
      <w:r w:rsidRPr="00675621">
        <w:rPr>
          <w:i/>
          <w:color w:val="0070C0"/>
          <w:lang w:eastAsia="zh-CN"/>
        </w:rPr>
        <w:t>in</w:t>
      </w:r>
      <w:r w:rsidRPr="00675621">
        <w:rPr>
          <w:color w:val="0070C0"/>
          <w:lang w:eastAsia="zh-CN"/>
        </w:rPr>
        <w:t xml:space="preserve"> </w:t>
      </w:r>
      <w:proofErr w:type="spellStart"/>
      <w:r w:rsidRPr="00675621">
        <w:rPr>
          <w:i/>
          <w:iCs/>
          <w:color w:val="0070C0"/>
          <w:lang w:eastAsia="zh-CN"/>
        </w:rPr>
        <w:t>chemico</w:t>
      </w:r>
      <w:proofErr w:type="spellEnd"/>
      <w:r w:rsidRPr="00675621">
        <w:rPr>
          <w:i/>
          <w:iCs/>
          <w:color w:val="0070C0"/>
          <w:lang w:eastAsia="zh-CN"/>
        </w:rPr>
        <w:t>/in vitro</w:t>
      </w:r>
      <w:r w:rsidRPr="00675621">
        <w:rPr>
          <w:color w:val="0070C0"/>
          <w:lang w:eastAsia="zh-CN"/>
        </w:rPr>
        <w:t xml:space="preserve"> methods such as those reported under 3.4.5.3.6.1 as well as </w:t>
      </w:r>
      <w:r w:rsidRPr="00675621">
        <w:rPr>
          <w:i/>
          <w:iCs/>
          <w:color w:val="0070C0"/>
          <w:lang w:eastAsia="zh-CN"/>
        </w:rPr>
        <w:t>in vivo</w:t>
      </w:r>
      <w:r w:rsidRPr="00675621">
        <w:rPr>
          <w:color w:val="0070C0"/>
          <w:lang w:eastAsia="zh-CN"/>
        </w:rPr>
        <w:t xml:space="preserve"> test methods which do not comply with internationally agreed guidelines for the identification of skin sensitizers or assessment of skin sensitizing potency may provide supportive evidence when used in an overall weight-of-evidence assessment (</w:t>
      </w:r>
      <w:proofErr w:type="gramStart"/>
      <w:r w:rsidRPr="00675621">
        <w:rPr>
          <w:color w:val="0070C0"/>
          <w:lang w:eastAsia="zh-CN"/>
        </w:rPr>
        <w:t>i.e.</w:t>
      </w:r>
      <w:proofErr w:type="gramEnd"/>
      <w:r w:rsidRPr="00675621">
        <w:rPr>
          <w:color w:val="0070C0"/>
          <w:lang w:eastAsia="zh-CN"/>
        </w:rPr>
        <w:t xml:space="preserve"> Tier 3). </w:t>
      </w:r>
    </w:p>
    <w:p w14:paraId="22F170A4" w14:textId="77777777" w:rsidR="00891B72" w:rsidRPr="00675621" w:rsidRDefault="00891B72" w:rsidP="00891B72">
      <w:pPr>
        <w:rPr>
          <w:color w:val="0070C0"/>
          <w:lang w:eastAsia="zh-CN"/>
        </w:rPr>
      </w:pPr>
    </w:p>
    <w:p w14:paraId="237B0884" w14:textId="77777777" w:rsidR="00891B72" w:rsidRPr="00675621" w:rsidRDefault="00891B72" w:rsidP="00891B72">
      <w:pPr>
        <w:rPr>
          <w:color w:val="0070C0"/>
          <w:lang w:eastAsia="zh-CN"/>
        </w:rPr>
      </w:pPr>
      <w:r w:rsidRPr="00675621">
        <w:rPr>
          <w:color w:val="0070C0"/>
          <w:lang w:eastAsia="zh-CN"/>
        </w:rPr>
        <w:t>3.4.5.3.6.2</w:t>
      </w:r>
      <w:r w:rsidRPr="00675621">
        <w:rPr>
          <w:color w:val="0070C0"/>
          <w:lang w:eastAsia="zh-CN"/>
        </w:rPr>
        <w:tab/>
        <w:t xml:space="preserve">A non-exhaustive list of other validated </w:t>
      </w:r>
      <w:r w:rsidRPr="00675621">
        <w:rPr>
          <w:i/>
          <w:color w:val="0070C0"/>
          <w:lang w:eastAsia="zh-CN"/>
        </w:rPr>
        <w:t>in</w:t>
      </w:r>
      <w:r w:rsidRPr="00675621">
        <w:rPr>
          <w:color w:val="0070C0"/>
          <w:lang w:eastAsia="zh-CN"/>
        </w:rPr>
        <w:t xml:space="preserve"> </w:t>
      </w:r>
      <w:proofErr w:type="spellStart"/>
      <w:r w:rsidRPr="00675621">
        <w:rPr>
          <w:i/>
          <w:iCs/>
          <w:color w:val="0070C0"/>
          <w:lang w:eastAsia="zh-CN"/>
        </w:rPr>
        <w:t>chemico</w:t>
      </w:r>
      <w:proofErr w:type="spellEnd"/>
      <w:r w:rsidRPr="00675621">
        <w:rPr>
          <w:i/>
          <w:iCs/>
          <w:color w:val="0070C0"/>
          <w:lang w:eastAsia="zh-CN"/>
        </w:rPr>
        <w:t>/in vitro</w:t>
      </w:r>
      <w:r w:rsidRPr="00675621">
        <w:rPr>
          <w:color w:val="0070C0"/>
          <w:lang w:eastAsia="zh-CN"/>
        </w:rPr>
        <w:t xml:space="preserve"> test methods accepted by some competent authorities but not adopted as OECD Test Guidelines is provided below. A competent authority may decide which classification criteria, if any, should be applied for these test methods:</w:t>
      </w:r>
    </w:p>
    <w:p w14:paraId="420267A0" w14:textId="77777777" w:rsidR="00891B72" w:rsidRPr="00675621" w:rsidRDefault="00891B72" w:rsidP="00891B72">
      <w:pPr>
        <w:rPr>
          <w:color w:val="0070C0"/>
          <w:lang w:eastAsia="zh-CN"/>
        </w:rPr>
      </w:pPr>
    </w:p>
    <w:p w14:paraId="714E3D63" w14:textId="77777777" w:rsidR="00891B72" w:rsidRPr="00675621" w:rsidRDefault="00891B72" w:rsidP="00891B72">
      <w:pPr>
        <w:spacing w:after="120" w:line="240" w:lineRule="auto"/>
        <w:ind w:left="1418" w:hanging="567"/>
        <w:jc w:val="both"/>
        <w:rPr>
          <w:color w:val="0070C0"/>
          <w:lang w:eastAsia="zh-CN"/>
        </w:rPr>
      </w:pPr>
      <w:r w:rsidRPr="00675621">
        <w:rPr>
          <w:color w:val="0070C0"/>
          <w:lang w:eastAsia="zh-CN"/>
        </w:rPr>
        <w:t>(a)</w:t>
      </w:r>
      <w:r w:rsidRPr="00675621">
        <w:rPr>
          <w:color w:val="0070C0"/>
          <w:lang w:eastAsia="zh-CN"/>
        </w:rPr>
        <w:tab/>
        <w:t xml:space="preserve">The </w:t>
      </w:r>
      <w:r w:rsidRPr="00675621">
        <w:rPr>
          <w:color w:val="0070C0"/>
        </w:rPr>
        <w:t>Genomic Allergen Rapid Detection (</w:t>
      </w:r>
      <w:r w:rsidRPr="00675621">
        <w:rPr>
          <w:color w:val="0070C0"/>
          <w:lang w:eastAsia="zh-CN"/>
        </w:rPr>
        <w:t>GARD)potency is a transcriptomics-based </w:t>
      </w:r>
      <w:r w:rsidRPr="00675621">
        <w:rPr>
          <w:i/>
          <w:iCs/>
          <w:color w:val="0070C0"/>
          <w:lang w:eastAsia="zh-CN"/>
        </w:rPr>
        <w:t>in vitro</w:t>
      </w:r>
      <w:r w:rsidRPr="00675621">
        <w:rPr>
          <w:color w:val="0070C0"/>
          <w:lang w:eastAsia="zh-CN"/>
        </w:rPr>
        <w:t xml:space="preserve"> assay addressing the third key event of the skin sensitization Adverse Outcome Pathway (activation of dendritic cells) </w:t>
      </w:r>
      <w:proofErr w:type="gramStart"/>
      <w:r w:rsidRPr="00675621">
        <w:rPr>
          <w:color w:val="0070C0"/>
          <w:lang w:eastAsia="zh-CN"/>
        </w:rPr>
        <w:t>similar to</w:t>
      </w:r>
      <w:proofErr w:type="gramEnd"/>
      <w:r w:rsidRPr="00675621">
        <w:rPr>
          <w:color w:val="0070C0"/>
          <w:lang w:eastAsia="zh-CN"/>
        </w:rPr>
        <w:t xml:space="preserve"> the </w:t>
      </w:r>
      <w:proofErr w:type="spellStart"/>
      <w:r w:rsidRPr="00675621">
        <w:rPr>
          <w:color w:val="0070C0"/>
          <w:lang w:eastAsia="zh-CN"/>
        </w:rPr>
        <w:t>GARDskin</w:t>
      </w:r>
      <w:proofErr w:type="spellEnd"/>
      <w:r w:rsidRPr="00675621">
        <w:rPr>
          <w:color w:val="0070C0"/>
          <w:lang w:eastAsia="zh-CN"/>
        </w:rPr>
        <w:t xml:space="preserve"> but uses a different gene signature that provides sub-categorization of skin sensitizers (Gradin et al., 2020; Zeller et al., 2017; </w:t>
      </w:r>
      <w:proofErr w:type="spellStart"/>
      <w:r w:rsidRPr="00675621">
        <w:rPr>
          <w:color w:val="0070C0"/>
          <w:lang w:eastAsia="zh-CN"/>
        </w:rPr>
        <w:t>Corsini</w:t>
      </w:r>
      <w:proofErr w:type="spellEnd"/>
      <w:r w:rsidRPr="00675621">
        <w:rPr>
          <w:color w:val="0070C0"/>
          <w:lang w:eastAsia="zh-CN"/>
        </w:rPr>
        <w:t xml:space="preserve"> et al. 2021).</w:t>
      </w:r>
    </w:p>
    <w:p w14:paraId="6195FE1E" w14:textId="77777777" w:rsidR="00891B72" w:rsidRPr="00675621" w:rsidRDefault="00891B72" w:rsidP="00891B72">
      <w:pPr>
        <w:spacing w:after="120" w:line="240" w:lineRule="auto"/>
        <w:ind w:left="1418" w:hanging="567"/>
        <w:jc w:val="both"/>
        <w:rPr>
          <w:color w:val="0070C0"/>
          <w:lang w:eastAsia="zh-CN"/>
        </w:rPr>
      </w:pPr>
      <w:r w:rsidRPr="00675621">
        <w:rPr>
          <w:color w:val="0070C0"/>
          <w:lang w:eastAsia="zh-CN"/>
        </w:rPr>
        <w:t>(b)</w:t>
      </w:r>
      <w:r w:rsidRPr="00675621">
        <w:rPr>
          <w:color w:val="0070C0"/>
          <w:lang w:eastAsia="zh-CN"/>
        </w:rPr>
        <w:tab/>
        <w:t>The SENS-IS assay is a genomic approach applied to a Reconstructed Human Epidermis (RHE) (</w:t>
      </w:r>
      <w:proofErr w:type="spellStart"/>
      <w:r w:rsidRPr="00675621">
        <w:rPr>
          <w:color w:val="0070C0"/>
          <w:lang w:eastAsia="zh-CN"/>
        </w:rPr>
        <w:t>Cottrez</w:t>
      </w:r>
      <w:proofErr w:type="spellEnd"/>
      <w:r w:rsidRPr="00675621">
        <w:rPr>
          <w:color w:val="0070C0"/>
          <w:lang w:eastAsia="zh-CN"/>
        </w:rPr>
        <w:t xml:space="preserve"> et al., 2015; </w:t>
      </w:r>
      <w:proofErr w:type="spellStart"/>
      <w:r w:rsidRPr="00675621">
        <w:rPr>
          <w:color w:val="0070C0"/>
          <w:lang w:eastAsia="zh-CN"/>
        </w:rPr>
        <w:t>Cottrez</w:t>
      </w:r>
      <w:proofErr w:type="spellEnd"/>
      <w:r w:rsidRPr="00675621">
        <w:rPr>
          <w:color w:val="0070C0"/>
          <w:lang w:eastAsia="zh-CN"/>
        </w:rPr>
        <w:t xml:space="preserve"> et al., 2016).</w:t>
      </w:r>
    </w:p>
    <w:p w14:paraId="5242A82D" w14:textId="77777777" w:rsidR="00891B72" w:rsidRPr="00675621" w:rsidRDefault="00891B72" w:rsidP="00891B72">
      <w:pPr>
        <w:spacing w:after="120" w:line="240" w:lineRule="auto"/>
        <w:ind w:left="1418" w:hanging="567"/>
        <w:jc w:val="both"/>
        <w:rPr>
          <w:color w:val="0070C0"/>
          <w:lang w:eastAsia="zh-CN"/>
        </w:rPr>
      </w:pPr>
      <w:r w:rsidRPr="00675621">
        <w:rPr>
          <w:color w:val="0070C0"/>
          <w:lang w:eastAsia="zh-CN"/>
        </w:rPr>
        <w:t>(c)</w:t>
      </w:r>
      <w:r w:rsidRPr="00675621">
        <w:rPr>
          <w:color w:val="0070C0"/>
          <w:lang w:eastAsia="zh-CN"/>
        </w:rPr>
        <w:tab/>
        <w:t>The Epidermal Sensitization Assay (</w:t>
      </w:r>
      <w:proofErr w:type="spellStart"/>
      <w:r w:rsidRPr="00675621">
        <w:rPr>
          <w:color w:val="0070C0"/>
          <w:lang w:eastAsia="zh-CN"/>
        </w:rPr>
        <w:t>EpisensA</w:t>
      </w:r>
      <w:proofErr w:type="spellEnd"/>
      <w:r w:rsidRPr="00675621">
        <w:rPr>
          <w:color w:val="0070C0"/>
          <w:lang w:eastAsia="zh-CN"/>
        </w:rPr>
        <w:t>) is based on the measurement of the upregulation of four genes   in a reconstructed human epidermis (</w:t>
      </w:r>
      <w:proofErr w:type="spellStart"/>
      <w:r w:rsidRPr="00675621">
        <w:rPr>
          <w:color w:val="0070C0"/>
          <w:lang w:eastAsia="zh-CN"/>
        </w:rPr>
        <w:t>RhE</w:t>
      </w:r>
      <w:proofErr w:type="spellEnd"/>
      <w:r w:rsidRPr="00675621">
        <w:rPr>
          <w:color w:val="0070C0"/>
          <w:lang w:eastAsia="zh-CN"/>
        </w:rPr>
        <w:t>) to discriminate between sensitisers and non-sensitisers (Saito et al., 2017).</w:t>
      </w:r>
    </w:p>
    <w:p w14:paraId="623ABA09" w14:textId="77777777" w:rsidR="00891B72" w:rsidRPr="00675621" w:rsidRDefault="00891B72" w:rsidP="00891B72">
      <w:pPr>
        <w:suppressAutoHyphens w:val="0"/>
        <w:spacing w:line="240" w:lineRule="auto"/>
        <w:jc w:val="both"/>
        <w:rPr>
          <w:color w:val="0070C0"/>
          <w:lang w:eastAsia="zh-CN"/>
        </w:rPr>
      </w:pPr>
    </w:p>
    <w:p w14:paraId="01FFD67F" w14:textId="1D2DEA85" w:rsidR="00891B72" w:rsidRPr="00675621" w:rsidRDefault="00891B72" w:rsidP="00891B72">
      <w:pPr>
        <w:tabs>
          <w:tab w:val="left" w:pos="1276"/>
        </w:tabs>
        <w:rPr>
          <w:bCs/>
          <w:color w:val="0070C0"/>
        </w:rPr>
      </w:pPr>
      <w:r w:rsidRPr="00675621">
        <w:rPr>
          <w:bCs/>
          <w:color w:val="0070C0"/>
        </w:rPr>
        <w:t>3.4.5.3.7</w:t>
      </w:r>
      <w:r w:rsidRPr="00675621">
        <w:rPr>
          <w:bCs/>
          <w:color w:val="0070C0"/>
        </w:rPr>
        <w:tab/>
        <w:t xml:space="preserve"> </w:t>
      </w:r>
      <w:r w:rsidRPr="00675621">
        <w:rPr>
          <w:bCs/>
          <w:i/>
          <w:iCs/>
          <w:color w:val="0070C0"/>
        </w:rPr>
        <w:t xml:space="preserve">Guidance on the </w:t>
      </w:r>
      <w:r w:rsidR="00B21CEB">
        <w:rPr>
          <w:bCs/>
          <w:i/>
          <w:iCs/>
          <w:color w:val="0070C0"/>
        </w:rPr>
        <w:t>w</w:t>
      </w:r>
      <w:r w:rsidRPr="00675621">
        <w:rPr>
          <w:bCs/>
          <w:i/>
          <w:iCs/>
          <w:color w:val="0070C0"/>
        </w:rPr>
        <w:t xml:space="preserve">eight of </w:t>
      </w:r>
      <w:r w:rsidR="00B21CEB">
        <w:rPr>
          <w:bCs/>
          <w:i/>
          <w:iCs/>
          <w:color w:val="0070C0"/>
        </w:rPr>
        <w:t>e</w:t>
      </w:r>
      <w:r w:rsidRPr="00675621">
        <w:rPr>
          <w:bCs/>
          <w:i/>
          <w:iCs/>
          <w:color w:val="0070C0"/>
        </w:rPr>
        <w:t>vidence assessment</w:t>
      </w:r>
    </w:p>
    <w:p w14:paraId="4ED476D7" w14:textId="77777777" w:rsidR="00891B72" w:rsidRPr="00675621" w:rsidRDefault="00891B72" w:rsidP="00891B72">
      <w:pPr>
        <w:rPr>
          <w:color w:val="0070C0"/>
        </w:rPr>
      </w:pPr>
    </w:p>
    <w:p w14:paraId="47DFF27F" w14:textId="38A8AF81" w:rsidR="00891B72" w:rsidRPr="00675621" w:rsidRDefault="00891B72" w:rsidP="00891B72">
      <w:pPr>
        <w:pStyle w:val="GHStext"/>
        <w:tabs>
          <w:tab w:val="left" w:pos="1418"/>
        </w:tabs>
        <w:ind w:right="1134"/>
        <w:rPr>
          <w:color w:val="0070C0"/>
        </w:rPr>
      </w:pPr>
      <w:r w:rsidRPr="00675621">
        <w:rPr>
          <w:color w:val="0070C0"/>
          <w:szCs w:val="20"/>
          <w:lang w:eastAsia="zh-CN"/>
        </w:rPr>
        <w:tab/>
      </w:r>
      <w:r w:rsidRPr="00675621">
        <w:rPr>
          <w:color w:val="0070C0"/>
          <w:szCs w:val="20"/>
          <w:lang w:eastAsia="zh-CN"/>
        </w:rPr>
        <w:tab/>
        <w:t xml:space="preserve">In </w:t>
      </w:r>
      <w:proofErr w:type="spellStart"/>
      <w:r w:rsidRPr="00675621">
        <w:rPr>
          <w:color w:val="0070C0"/>
          <w:szCs w:val="20"/>
          <w:lang w:eastAsia="zh-CN"/>
        </w:rPr>
        <w:t>some</w:t>
      </w:r>
      <w:proofErr w:type="spellEnd"/>
      <w:r w:rsidRPr="00675621">
        <w:rPr>
          <w:color w:val="0070C0"/>
          <w:szCs w:val="20"/>
          <w:lang w:eastAsia="zh-CN"/>
        </w:rPr>
        <w:t xml:space="preserve"> </w:t>
      </w:r>
      <w:proofErr w:type="spellStart"/>
      <w:r w:rsidRPr="00675621">
        <w:rPr>
          <w:color w:val="0070C0"/>
          <w:szCs w:val="20"/>
          <w:lang w:eastAsia="zh-CN"/>
        </w:rPr>
        <w:t>situations</w:t>
      </w:r>
      <w:proofErr w:type="spellEnd"/>
      <w:r w:rsidRPr="00675621">
        <w:rPr>
          <w:color w:val="0070C0"/>
          <w:szCs w:val="20"/>
          <w:lang w:eastAsia="zh-CN"/>
        </w:rPr>
        <w:t xml:space="preserve"> </w:t>
      </w:r>
      <w:proofErr w:type="spellStart"/>
      <w:r w:rsidRPr="00675621">
        <w:rPr>
          <w:color w:val="0070C0"/>
          <w:szCs w:val="20"/>
          <w:lang w:eastAsia="zh-CN"/>
        </w:rPr>
        <w:t>where</w:t>
      </w:r>
      <w:proofErr w:type="spellEnd"/>
      <w:r w:rsidRPr="00675621">
        <w:rPr>
          <w:color w:val="0070C0"/>
          <w:szCs w:val="20"/>
          <w:lang w:eastAsia="zh-CN"/>
        </w:rPr>
        <w:t xml:space="preserve"> </w:t>
      </w:r>
      <w:proofErr w:type="spellStart"/>
      <w:r w:rsidRPr="00675621">
        <w:rPr>
          <w:color w:val="0070C0"/>
          <w:szCs w:val="20"/>
          <w:lang w:eastAsia="zh-CN"/>
        </w:rPr>
        <w:t>several</w:t>
      </w:r>
      <w:proofErr w:type="spellEnd"/>
      <w:r w:rsidRPr="00675621">
        <w:rPr>
          <w:color w:val="0070C0"/>
          <w:szCs w:val="20"/>
          <w:lang w:eastAsia="zh-CN"/>
        </w:rPr>
        <w:t xml:space="preserve"> </w:t>
      </w:r>
      <w:proofErr w:type="spellStart"/>
      <w:r w:rsidRPr="00675621">
        <w:rPr>
          <w:color w:val="0070C0"/>
          <w:szCs w:val="20"/>
          <w:lang w:eastAsia="zh-CN"/>
        </w:rPr>
        <w:t>results</w:t>
      </w:r>
      <w:proofErr w:type="spellEnd"/>
      <w:r w:rsidRPr="00675621">
        <w:rPr>
          <w:color w:val="0070C0"/>
          <w:szCs w:val="20"/>
          <w:lang w:eastAsia="zh-CN"/>
        </w:rPr>
        <w:t xml:space="preserve"> </w:t>
      </w:r>
      <w:proofErr w:type="spellStart"/>
      <w:r w:rsidRPr="00675621">
        <w:rPr>
          <w:color w:val="0070C0"/>
          <w:szCs w:val="20"/>
          <w:lang w:eastAsia="zh-CN"/>
        </w:rPr>
        <w:t>from</w:t>
      </w:r>
      <w:proofErr w:type="spellEnd"/>
      <w:r w:rsidRPr="00675621">
        <w:rPr>
          <w:color w:val="0070C0"/>
          <w:szCs w:val="20"/>
          <w:lang w:eastAsia="zh-CN"/>
        </w:rPr>
        <w:t xml:space="preserve"> test </w:t>
      </w:r>
      <w:proofErr w:type="spellStart"/>
      <w:r w:rsidRPr="00675621">
        <w:rPr>
          <w:color w:val="0070C0"/>
          <w:szCs w:val="20"/>
          <w:lang w:eastAsia="zh-CN"/>
        </w:rPr>
        <w:t>or</w:t>
      </w:r>
      <w:proofErr w:type="spellEnd"/>
      <w:r w:rsidRPr="00675621">
        <w:rPr>
          <w:color w:val="0070C0"/>
          <w:szCs w:val="20"/>
          <w:lang w:eastAsia="zh-CN"/>
        </w:rPr>
        <w:t xml:space="preserve"> non-test </w:t>
      </w:r>
      <w:proofErr w:type="spellStart"/>
      <w:r w:rsidRPr="00675621">
        <w:rPr>
          <w:color w:val="0070C0"/>
          <w:szCs w:val="20"/>
          <w:lang w:eastAsia="zh-CN"/>
        </w:rPr>
        <w:t>methods</w:t>
      </w:r>
      <w:proofErr w:type="spellEnd"/>
      <w:r w:rsidRPr="00675621">
        <w:rPr>
          <w:color w:val="0070C0"/>
          <w:szCs w:val="20"/>
          <w:lang w:eastAsia="zh-CN"/>
        </w:rPr>
        <w:t xml:space="preserve"> are </w:t>
      </w:r>
      <w:proofErr w:type="spellStart"/>
      <w:r w:rsidRPr="00675621">
        <w:rPr>
          <w:color w:val="0070C0"/>
          <w:szCs w:val="20"/>
          <w:lang w:eastAsia="zh-CN"/>
        </w:rPr>
        <w:t>available</w:t>
      </w:r>
      <w:proofErr w:type="spellEnd"/>
      <w:r w:rsidRPr="00675621">
        <w:rPr>
          <w:color w:val="0070C0"/>
          <w:szCs w:val="20"/>
          <w:lang w:eastAsia="zh-CN"/>
        </w:rPr>
        <w:t xml:space="preserve"> and in </w:t>
      </w:r>
      <w:proofErr w:type="spellStart"/>
      <w:r w:rsidRPr="00675621">
        <w:rPr>
          <w:color w:val="0070C0"/>
          <w:szCs w:val="20"/>
          <w:lang w:eastAsia="zh-CN"/>
        </w:rPr>
        <w:t>disagreement</w:t>
      </w:r>
      <w:proofErr w:type="spellEnd"/>
      <w:r w:rsidRPr="00675621">
        <w:rPr>
          <w:color w:val="0070C0"/>
          <w:szCs w:val="20"/>
          <w:lang w:eastAsia="zh-CN"/>
        </w:rPr>
        <w:t xml:space="preserve"> </w:t>
      </w:r>
      <w:proofErr w:type="spellStart"/>
      <w:r w:rsidRPr="00675621">
        <w:rPr>
          <w:color w:val="0070C0"/>
          <w:szCs w:val="20"/>
          <w:lang w:eastAsia="zh-CN"/>
        </w:rPr>
        <w:t>with</w:t>
      </w:r>
      <w:proofErr w:type="spellEnd"/>
      <w:r w:rsidRPr="00675621">
        <w:rPr>
          <w:color w:val="0070C0"/>
          <w:szCs w:val="20"/>
          <w:lang w:eastAsia="zh-CN"/>
        </w:rPr>
        <w:t xml:space="preserve"> </w:t>
      </w:r>
      <w:proofErr w:type="spellStart"/>
      <w:r w:rsidRPr="00675621">
        <w:rPr>
          <w:color w:val="0070C0"/>
          <w:szCs w:val="20"/>
          <w:lang w:eastAsia="zh-CN"/>
        </w:rPr>
        <w:t>each</w:t>
      </w:r>
      <w:proofErr w:type="spellEnd"/>
      <w:r w:rsidRPr="00675621">
        <w:rPr>
          <w:color w:val="0070C0"/>
          <w:szCs w:val="20"/>
          <w:lang w:eastAsia="zh-CN"/>
        </w:rPr>
        <w:t xml:space="preserve"> </w:t>
      </w:r>
      <w:proofErr w:type="spellStart"/>
      <w:r w:rsidRPr="00675621">
        <w:rPr>
          <w:color w:val="0070C0"/>
          <w:szCs w:val="20"/>
          <w:lang w:eastAsia="zh-CN"/>
        </w:rPr>
        <w:t>other</w:t>
      </w:r>
      <w:proofErr w:type="spellEnd"/>
      <w:r w:rsidRPr="00675621">
        <w:rPr>
          <w:color w:val="0070C0"/>
          <w:szCs w:val="20"/>
          <w:lang w:eastAsia="zh-CN"/>
        </w:rPr>
        <w:t xml:space="preserve"> </w:t>
      </w:r>
      <w:proofErr w:type="spellStart"/>
      <w:r w:rsidRPr="00675621">
        <w:rPr>
          <w:color w:val="0070C0"/>
          <w:szCs w:val="20"/>
          <w:lang w:eastAsia="zh-CN"/>
        </w:rPr>
        <w:t>with</w:t>
      </w:r>
      <w:proofErr w:type="spellEnd"/>
      <w:r w:rsidRPr="00675621">
        <w:rPr>
          <w:color w:val="0070C0"/>
          <w:szCs w:val="20"/>
          <w:lang w:eastAsia="zh-CN"/>
        </w:rPr>
        <w:t xml:space="preserve"> </w:t>
      </w:r>
      <w:proofErr w:type="spellStart"/>
      <w:r w:rsidRPr="00675621">
        <w:rPr>
          <w:color w:val="0070C0"/>
          <w:szCs w:val="20"/>
          <w:lang w:eastAsia="zh-CN"/>
        </w:rPr>
        <w:t>respect</w:t>
      </w:r>
      <w:proofErr w:type="spellEnd"/>
      <w:r w:rsidRPr="00675621">
        <w:rPr>
          <w:color w:val="0070C0"/>
          <w:szCs w:val="20"/>
          <w:lang w:eastAsia="zh-CN"/>
        </w:rPr>
        <w:t xml:space="preserve"> </w:t>
      </w:r>
      <w:proofErr w:type="spellStart"/>
      <w:r w:rsidRPr="00675621">
        <w:rPr>
          <w:color w:val="0070C0"/>
          <w:szCs w:val="20"/>
          <w:lang w:eastAsia="zh-CN"/>
        </w:rPr>
        <w:t>to</w:t>
      </w:r>
      <w:proofErr w:type="spellEnd"/>
      <w:r w:rsidRPr="00675621">
        <w:rPr>
          <w:color w:val="0070C0"/>
          <w:szCs w:val="20"/>
          <w:lang w:eastAsia="zh-CN"/>
        </w:rPr>
        <w:t xml:space="preserve"> </w:t>
      </w:r>
      <w:proofErr w:type="spellStart"/>
      <w:r w:rsidRPr="00675621">
        <w:rPr>
          <w:color w:val="0070C0"/>
          <w:szCs w:val="20"/>
          <w:lang w:eastAsia="zh-CN"/>
        </w:rPr>
        <w:t>the</w:t>
      </w:r>
      <w:proofErr w:type="spellEnd"/>
      <w:r w:rsidRPr="00675621">
        <w:rPr>
          <w:color w:val="0070C0"/>
          <w:szCs w:val="20"/>
          <w:lang w:eastAsia="zh-CN"/>
        </w:rPr>
        <w:t xml:space="preserve"> </w:t>
      </w:r>
      <w:proofErr w:type="spellStart"/>
      <w:r w:rsidRPr="00675621">
        <w:rPr>
          <w:color w:val="0070C0"/>
          <w:szCs w:val="20"/>
          <w:lang w:eastAsia="zh-CN"/>
        </w:rPr>
        <w:t>classification</w:t>
      </w:r>
      <w:proofErr w:type="spellEnd"/>
      <w:r w:rsidRPr="00675621">
        <w:rPr>
          <w:color w:val="0070C0"/>
          <w:szCs w:val="20"/>
          <w:lang w:eastAsia="zh-CN"/>
        </w:rPr>
        <w:t xml:space="preserve"> </w:t>
      </w:r>
      <w:proofErr w:type="spellStart"/>
      <w:r w:rsidRPr="00675621">
        <w:rPr>
          <w:color w:val="0070C0"/>
          <w:szCs w:val="20"/>
          <w:lang w:eastAsia="zh-CN"/>
        </w:rPr>
        <w:t>outcome</w:t>
      </w:r>
      <w:proofErr w:type="spellEnd"/>
      <w:r w:rsidRPr="00675621">
        <w:rPr>
          <w:color w:val="0070C0"/>
          <w:szCs w:val="20"/>
          <w:lang w:eastAsia="zh-CN"/>
        </w:rPr>
        <w:t xml:space="preserve">, </w:t>
      </w:r>
      <w:proofErr w:type="spellStart"/>
      <w:r w:rsidRPr="00675621">
        <w:rPr>
          <w:color w:val="0070C0"/>
          <w:szCs w:val="20"/>
          <w:lang w:eastAsia="zh-CN"/>
        </w:rPr>
        <w:t>the</w:t>
      </w:r>
      <w:proofErr w:type="spellEnd"/>
      <w:r w:rsidRPr="00675621">
        <w:rPr>
          <w:color w:val="0070C0"/>
          <w:szCs w:val="20"/>
          <w:lang w:eastAsia="zh-CN"/>
        </w:rPr>
        <w:t xml:space="preserve"> </w:t>
      </w:r>
      <w:proofErr w:type="spellStart"/>
      <w:r w:rsidRPr="00675621">
        <w:rPr>
          <w:color w:val="0070C0"/>
          <w:szCs w:val="20"/>
          <w:lang w:eastAsia="zh-CN"/>
        </w:rPr>
        <w:t>tiered</w:t>
      </w:r>
      <w:proofErr w:type="spellEnd"/>
      <w:r w:rsidRPr="00675621">
        <w:rPr>
          <w:color w:val="0070C0"/>
          <w:szCs w:val="20"/>
          <w:lang w:eastAsia="zh-CN"/>
        </w:rPr>
        <w:t xml:space="preserve"> </w:t>
      </w:r>
      <w:proofErr w:type="spellStart"/>
      <w:r w:rsidRPr="00675621">
        <w:rPr>
          <w:color w:val="0070C0"/>
          <w:szCs w:val="20"/>
          <w:lang w:eastAsia="zh-CN"/>
        </w:rPr>
        <w:t>approach</w:t>
      </w:r>
      <w:proofErr w:type="spellEnd"/>
      <w:r w:rsidRPr="00675621">
        <w:rPr>
          <w:color w:val="0070C0"/>
          <w:szCs w:val="20"/>
          <w:lang w:eastAsia="zh-CN"/>
        </w:rPr>
        <w:t xml:space="preserve"> </w:t>
      </w:r>
      <w:proofErr w:type="spellStart"/>
      <w:r w:rsidRPr="00675621">
        <w:rPr>
          <w:color w:val="0070C0"/>
          <w:szCs w:val="20"/>
          <w:lang w:eastAsia="zh-CN"/>
        </w:rPr>
        <w:t>to</w:t>
      </w:r>
      <w:proofErr w:type="spellEnd"/>
      <w:r w:rsidRPr="00675621">
        <w:rPr>
          <w:color w:val="0070C0"/>
          <w:szCs w:val="20"/>
          <w:lang w:eastAsia="zh-CN"/>
        </w:rPr>
        <w:t xml:space="preserve"> </w:t>
      </w:r>
      <w:proofErr w:type="spellStart"/>
      <w:r w:rsidRPr="00675621">
        <w:rPr>
          <w:color w:val="0070C0"/>
          <w:szCs w:val="20"/>
          <w:lang w:eastAsia="zh-CN"/>
        </w:rPr>
        <w:t>classification</w:t>
      </w:r>
      <w:proofErr w:type="spellEnd"/>
      <w:r w:rsidRPr="00675621">
        <w:rPr>
          <w:color w:val="0070C0"/>
          <w:szCs w:val="20"/>
          <w:lang w:eastAsia="zh-CN"/>
        </w:rPr>
        <w:t xml:space="preserve"> </w:t>
      </w:r>
      <w:proofErr w:type="spellStart"/>
      <w:r w:rsidRPr="00675621">
        <w:rPr>
          <w:color w:val="0070C0"/>
          <w:szCs w:val="20"/>
          <w:lang w:eastAsia="zh-CN"/>
        </w:rPr>
        <w:t>for</w:t>
      </w:r>
      <w:proofErr w:type="spellEnd"/>
      <w:r w:rsidRPr="00675621">
        <w:rPr>
          <w:color w:val="0070C0"/>
          <w:szCs w:val="20"/>
          <w:lang w:eastAsia="zh-CN"/>
        </w:rPr>
        <w:t xml:space="preserve"> skin </w:t>
      </w:r>
      <w:proofErr w:type="spellStart"/>
      <w:r w:rsidRPr="00675621">
        <w:rPr>
          <w:color w:val="0070C0"/>
          <w:szCs w:val="20"/>
          <w:lang w:eastAsia="zh-CN"/>
        </w:rPr>
        <w:t>sensitisation</w:t>
      </w:r>
      <w:proofErr w:type="spellEnd"/>
      <w:r w:rsidRPr="00675621">
        <w:rPr>
          <w:color w:val="0070C0"/>
          <w:szCs w:val="20"/>
          <w:lang w:eastAsia="zh-CN"/>
        </w:rPr>
        <w:t xml:space="preserve"> </w:t>
      </w:r>
      <w:proofErr w:type="spellStart"/>
      <w:r w:rsidRPr="00675621">
        <w:rPr>
          <w:color w:val="0070C0"/>
          <w:szCs w:val="20"/>
          <w:lang w:eastAsia="zh-CN"/>
        </w:rPr>
        <w:t>requires</w:t>
      </w:r>
      <w:proofErr w:type="spellEnd"/>
      <w:r w:rsidRPr="00675621">
        <w:rPr>
          <w:color w:val="0070C0"/>
          <w:szCs w:val="20"/>
          <w:lang w:eastAsia="zh-CN"/>
        </w:rPr>
        <w:t xml:space="preserve"> a </w:t>
      </w:r>
      <w:proofErr w:type="spellStart"/>
      <w:r w:rsidRPr="00675621">
        <w:rPr>
          <w:color w:val="0070C0"/>
          <w:szCs w:val="20"/>
          <w:lang w:eastAsia="zh-CN"/>
        </w:rPr>
        <w:t>weight</w:t>
      </w:r>
      <w:proofErr w:type="spellEnd"/>
      <w:r w:rsidRPr="00675621">
        <w:rPr>
          <w:color w:val="0070C0"/>
          <w:szCs w:val="20"/>
          <w:lang w:eastAsia="zh-CN"/>
        </w:rPr>
        <w:t>-of-</w:t>
      </w:r>
      <w:proofErr w:type="spellStart"/>
      <w:r w:rsidRPr="00675621">
        <w:rPr>
          <w:color w:val="0070C0"/>
          <w:szCs w:val="20"/>
          <w:lang w:eastAsia="zh-CN"/>
        </w:rPr>
        <w:t>evidence</w:t>
      </w:r>
      <w:proofErr w:type="spellEnd"/>
      <w:r w:rsidRPr="00675621">
        <w:rPr>
          <w:color w:val="0070C0"/>
          <w:szCs w:val="20"/>
          <w:lang w:eastAsia="zh-CN"/>
        </w:rPr>
        <w:t xml:space="preserve"> </w:t>
      </w:r>
      <w:proofErr w:type="spellStart"/>
      <w:r w:rsidRPr="00675621">
        <w:rPr>
          <w:color w:val="0070C0"/>
          <w:szCs w:val="20"/>
          <w:lang w:eastAsia="zh-CN"/>
        </w:rPr>
        <w:t>assessment</w:t>
      </w:r>
      <w:proofErr w:type="spellEnd"/>
      <w:r w:rsidRPr="00675621">
        <w:rPr>
          <w:color w:val="0070C0"/>
          <w:szCs w:val="20"/>
          <w:lang w:eastAsia="zh-CN"/>
        </w:rPr>
        <w:t>.”</w:t>
      </w:r>
    </w:p>
    <w:p w14:paraId="1E10006D" w14:textId="77777777" w:rsidR="00D660CB" w:rsidRDefault="00D660CB"/>
    <w:p w14:paraId="7346D221" w14:textId="77777777" w:rsidR="00D660CB" w:rsidRDefault="00D660CB">
      <w:pPr>
        <w:sectPr w:rsidR="00D660CB" w:rsidSect="00DB3DC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pPr>
    </w:p>
    <w:p w14:paraId="7368FDD7" w14:textId="77777777" w:rsidR="00396C56" w:rsidRPr="00EA091F" w:rsidRDefault="00396C56" w:rsidP="00396C56">
      <w:pPr>
        <w:jc w:val="center"/>
        <w:rPr>
          <w:b/>
          <w:color w:val="0070C0"/>
        </w:rPr>
      </w:pPr>
      <w:r w:rsidRPr="00EA091F">
        <w:rPr>
          <w:b/>
          <w:color w:val="0070C0"/>
        </w:rPr>
        <w:t>Table 3.4.6: Criteria for defined approaches</w:t>
      </w:r>
    </w:p>
    <w:p w14:paraId="1DDF1852" w14:textId="77777777" w:rsidR="00396C56" w:rsidRPr="00161B0F" w:rsidRDefault="00396C56" w:rsidP="00396C56">
      <w:pPr>
        <w:rPr>
          <w:color w:val="0070C0"/>
          <w:sz w:val="18"/>
          <w:szCs w:val="18"/>
        </w:rPr>
      </w:pPr>
    </w:p>
    <w:tbl>
      <w:tblPr>
        <w:tblW w:w="135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6520"/>
        <w:gridCol w:w="6052"/>
      </w:tblGrid>
      <w:tr w:rsidR="00396C56" w:rsidRPr="00161B0F" w14:paraId="0D1EDD34" w14:textId="77777777" w:rsidTr="003E1BD4">
        <w:trPr>
          <w:trHeight w:val="1387"/>
        </w:trPr>
        <w:tc>
          <w:tcPr>
            <w:tcW w:w="993"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B4B4F8" w14:textId="77777777" w:rsidR="00396C56" w:rsidRPr="00161B0F" w:rsidRDefault="00396C56" w:rsidP="007F4632">
            <w:pPr>
              <w:spacing w:before="40" w:after="40" w:line="180" w:lineRule="exact"/>
              <w:contextualSpacing/>
              <w:rPr>
                <w:b/>
                <w:color w:val="0070C0"/>
                <w:sz w:val="14"/>
                <w:szCs w:val="14"/>
              </w:rPr>
            </w:pPr>
            <w:r w:rsidRPr="00161B0F">
              <w:rPr>
                <w:b/>
                <w:color w:val="0070C0"/>
                <w:sz w:val="14"/>
                <w:szCs w:val="14"/>
              </w:rPr>
              <w:t>Category</w:t>
            </w:r>
          </w:p>
        </w:tc>
        <w:tc>
          <w:tcPr>
            <w:tcW w:w="6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98F43E5" w14:textId="77777777" w:rsidR="00396C56" w:rsidRPr="00161B0F" w:rsidRDefault="00396C56" w:rsidP="007F4632">
            <w:pPr>
              <w:spacing w:line="260" w:lineRule="atLeast"/>
              <w:jc w:val="center"/>
              <w:rPr>
                <w:b/>
                <w:color w:val="0070C0"/>
                <w:sz w:val="16"/>
                <w:szCs w:val="16"/>
              </w:rPr>
            </w:pPr>
            <w:r w:rsidRPr="00161B0F">
              <w:rPr>
                <w:b/>
                <w:color w:val="0070C0"/>
                <w:sz w:val="16"/>
                <w:szCs w:val="16"/>
              </w:rPr>
              <w:t>OECD Guideline 497 on Defined Approaches for Skin sensitization</w:t>
            </w:r>
          </w:p>
          <w:p w14:paraId="482C6BB4" w14:textId="77777777" w:rsidR="00396C56" w:rsidRPr="00161B0F" w:rsidRDefault="00396C56" w:rsidP="007F4632">
            <w:pPr>
              <w:spacing w:line="260" w:lineRule="atLeast"/>
              <w:jc w:val="center"/>
              <w:rPr>
                <w:b/>
                <w:color w:val="0070C0"/>
                <w:sz w:val="16"/>
                <w:szCs w:val="16"/>
              </w:rPr>
            </w:pPr>
            <w:r w:rsidRPr="00161B0F">
              <w:rPr>
                <w:b/>
                <w:color w:val="0070C0"/>
                <w:sz w:val="16"/>
                <w:szCs w:val="16"/>
              </w:rPr>
              <w:t>“2 out of 3" (2o3) defined approach</w:t>
            </w:r>
            <w:r w:rsidRPr="00161B0F">
              <w:rPr>
                <w:b/>
                <w:color w:val="0070C0"/>
                <w:sz w:val="16"/>
                <w:szCs w:val="16"/>
              </w:rPr>
              <w:br/>
            </w:r>
          </w:p>
        </w:tc>
        <w:tc>
          <w:tcPr>
            <w:tcW w:w="6052" w:type="dxa"/>
            <w:tcBorders>
              <w:top w:val="single" w:sz="4" w:space="0" w:color="auto"/>
              <w:left w:val="single" w:sz="4" w:space="0" w:color="auto"/>
              <w:bottom w:val="single" w:sz="4" w:space="0" w:color="auto"/>
              <w:right w:val="single" w:sz="4" w:space="0" w:color="auto"/>
            </w:tcBorders>
          </w:tcPr>
          <w:p w14:paraId="6B2CA51D" w14:textId="77777777" w:rsidR="00396C56" w:rsidRPr="00161B0F" w:rsidRDefault="00396C56" w:rsidP="007F4632">
            <w:pPr>
              <w:spacing w:line="260" w:lineRule="atLeast"/>
              <w:jc w:val="center"/>
              <w:rPr>
                <w:b/>
                <w:color w:val="0070C0"/>
                <w:sz w:val="16"/>
                <w:szCs w:val="16"/>
              </w:rPr>
            </w:pPr>
            <w:r w:rsidRPr="00161B0F">
              <w:rPr>
                <w:b/>
                <w:color w:val="0070C0"/>
                <w:sz w:val="16"/>
                <w:szCs w:val="16"/>
              </w:rPr>
              <w:t>OECD Guideline 497 on Defined Approaches for Skin sensitization</w:t>
            </w:r>
          </w:p>
          <w:p w14:paraId="2AC749BD" w14:textId="77777777" w:rsidR="00396C56" w:rsidRPr="00161B0F" w:rsidRDefault="00396C56" w:rsidP="007F4632">
            <w:pPr>
              <w:spacing w:line="260" w:lineRule="atLeast"/>
              <w:jc w:val="center"/>
              <w:rPr>
                <w:b/>
                <w:color w:val="0070C0"/>
                <w:sz w:val="16"/>
                <w:szCs w:val="16"/>
              </w:rPr>
            </w:pPr>
            <w:r w:rsidRPr="00161B0F">
              <w:rPr>
                <w:b/>
                <w:color w:val="0070C0"/>
                <w:sz w:val="16"/>
                <w:szCs w:val="16"/>
              </w:rPr>
              <w:t>Integrated testing strategy (ITSv1) defined approach and</w:t>
            </w:r>
          </w:p>
          <w:p w14:paraId="3A64A968" w14:textId="77777777" w:rsidR="00396C56" w:rsidRPr="00161B0F" w:rsidRDefault="00396C56" w:rsidP="007F4632">
            <w:pPr>
              <w:spacing w:line="260" w:lineRule="atLeast"/>
              <w:jc w:val="center"/>
              <w:rPr>
                <w:b/>
                <w:color w:val="0070C0"/>
                <w:sz w:val="16"/>
                <w:szCs w:val="16"/>
              </w:rPr>
            </w:pPr>
            <w:r w:rsidRPr="00161B0F">
              <w:rPr>
                <w:b/>
                <w:color w:val="0070C0"/>
                <w:sz w:val="16"/>
                <w:szCs w:val="16"/>
              </w:rPr>
              <w:t>Integrated testing strategy (ITSv2 defined approach)</w:t>
            </w:r>
          </w:p>
          <w:p w14:paraId="42C3DB24" w14:textId="77777777" w:rsidR="00396C56" w:rsidRPr="00161B0F" w:rsidRDefault="00396C56" w:rsidP="007F4632">
            <w:pPr>
              <w:spacing w:line="260" w:lineRule="atLeast"/>
              <w:jc w:val="center"/>
              <w:rPr>
                <w:b/>
                <w:color w:val="0070C0"/>
                <w:sz w:val="16"/>
                <w:szCs w:val="16"/>
              </w:rPr>
            </w:pPr>
          </w:p>
          <w:p w14:paraId="6EBABE2E" w14:textId="77777777" w:rsidR="00396C56" w:rsidRPr="00161B0F" w:rsidRDefault="00396C56" w:rsidP="007F4632">
            <w:pPr>
              <w:spacing w:line="260" w:lineRule="atLeast"/>
              <w:jc w:val="center"/>
              <w:rPr>
                <w:b/>
                <w:color w:val="0070C0"/>
                <w:sz w:val="16"/>
                <w:szCs w:val="16"/>
              </w:rPr>
            </w:pPr>
            <w:r w:rsidRPr="00161B0F">
              <w:rPr>
                <w:b/>
                <w:color w:val="0070C0"/>
                <w:sz w:val="16"/>
                <w:szCs w:val="16"/>
              </w:rPr>
              <w:t xml:space="preserve"> </w:t>
            </w:r>
          </w:p>
        </w:tc>
      </w:tr>
      <w:tr w:rsidR="00396C56" w:rsidRPr="0049035A" w14:paraId="50862434" w14:textId="77777777" w:rsidTr="003E1BD4">
        <w:trPr>
          <w:trHeight w:val="2123"/>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418DC58" w14:textId="77777777" w:rsidR="00396C56" w:rsidRPr="0049035A" w:rsidRDefault="00396C56" w:rsidP="007F4632">
            <w:pPr>
              <w:rPr>
                <w:color w:val="0070C0"/>
                <w:sz w:val="16"/>
                <w:szCs w:val="16"/>
              </w:rPr>
            </w:pPr>
          </w:p>
        </w:tc>
        <w:tc>
          <w:tcPr>
            <w:tcW w:w="6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8CA0E9B" w14:textId="77777777" w:rsidR="00396C56" w:rsidRPr="0049035A" w:rsidRDefault="00396C56" w:rsidP="007F4632">
            <w:pPr>
              <w:spacing w:before="20" w:after="20"/>
              <w:rPr>
                <w:color w:val="0070C0"/>
                <w:sz w:val="16"/>
                <w:szCs w:val="16"/>
              </w:rPr>
            </w:pPr>
            <w:r w:rsidRPr="0049035A">
              <w:rPr>
                <w:b/>
                <w:bCs/>
                <w:color w:val="0070C0"/>
                <w:sz w:val="16"/>
                <w:szCs w:val="16"/>
              </w:rPr>
              <w:t xml:space="preserve">2o3 </w:t>
            </w:r>
            <w:r w:rsidRPr="0049035A">
              <w:rPr>
                <w:color w:val="0070C0"/>
                <w:sz w:val="16"/>
                <w:szCs w:val="16"/>
              </w:rPr>
              <w:t xml:space="preserve">defined approach to skin sensitization hazard identification based on </w:t>
            </w:r>
            <w:r w:rsidRPr="0049035A">
              <w:rPr>
                <w:i/>
                <w:iCs/>
                <w:color w:val="0070C0"/>
                <w:sz w:val="16"/>
                <w:szCs w:val="16"/>
              </w:rPr>
              <w:t xml:space="preserve">in </w:t>
            </w:r>
            <w:proofErr w:type="spellStart"/>
            <w:r w:rsidRPr="0049035A">
              <w:rPr>
                <w:i/>
                <w:iCs/>
                <w:color w:val="0070C0"/>
                <w:sz w:val="16"/>
                <w:szCs w:val="16"/>
              </w:rPr>
              <w:t>chemico</w:t>
            </w:r>
            <w:proofErr w:type="spellEnd"/>
            <w:r w:rsidRPr="0049035A">
              <w:rPr>
                <w:color w:val="0070C0"/>
                <w:sz w:val="16"/>
                <w:szCs w:val="16"/>
              </w:rPr>
              <w:t xml:space="preserve"> (key event 1 - Direct Peptide Reactivity Assay (KE1-DPRA)) and </w:t>
            </w:r>
            <w:r w:rsidRPr="0049035A">
              <w:rPr>
                <w:i/>
                <w:iCs/>
                <w:color w:val="0070C0"/>
                <w:sz w:val="16"/>
                <w:szCs w:val="16"/>
              </w:rPr>
              <w:t>in vitro</w:t>
            </w:r>
            <w:r w:rsidRPr="0049035A">
              <w:rPr>
                <w:color w:val="0070C0"/>
                <w:sz w:val="16"/>
                <w:szCs w:val="16"/>
              </w:rPr>
              <w:t xml:space="preserve"> (key event 2-</w:t>
            </w:r>
            <w:r w:rsidRPr="0049035A">
              <w:rPr>
                <w:color w:val="0070C0"/>
                <w:sz w:val="16"/>
                <w:szCs w:val="16"/>
                <w:lang w:val="en-US"/>
              </w:rPr>
              <w:t xml:space="preserve">OECD 442D Appendix IA, </w:t>
            </w:r>
            <w:r w:rsidRPr="0049035A">
              <w:rPr>
                <w:color w:val="0070C0"/>
                <w:sz w:val="16"/>
                <w:szCs w:val="16"/>
              </w:rPr>
              <w:t>key event 3 - human Cell Line Activation Test (KE3-h-CLAT))</w:t>
            </w:r>
          </w:p>
          <w:p w14:paraId="7A9F4D36" w14:textId="77777777" w:rsidR="00396C56" w:rsidRPr="0049035A" w:rsidRDefault="00396C56" w:rsidP="007F4632">
            <w:pPr>
              <w:spacing w:before="20" w:after="20"/>
              <w:rPr>
                <w:color w:val="0070C0"/>
                <w:sz w:val="16"/>
                <w:szCs w:val="16"/>
              </w:rPr>
            </w:pPr>
          </w:p>
          <w:p w14:paraId="4C620907" w14:textId="77777777" w:rsidR="00396C56" w:rsidRPr="0049035A" w:rsidRDefault="00396C56" w:rsidP="007F4632">
            <w:pPr>
              <w:spacing w:before="20" w:after="20"/>
              <w:rPr>
                <w:color w:val="0070C0"/>
                <w:sz w:val="16"/>
                <w:szCs w:val="16"/>
              </w:rPr>
            </w:pPr>
          </w:p>
          <w:p w14:paraId="6801277C" w14:textId="77777777" w:rsidR="00396C56" w:rsidRPr="0049035A" w:rsidRDefault="00396C56" w:rsidP="007F4632">
            <w:pPr>
              <w:spacing w:before="20" w:after="20"/>
              <w:rPr>
                <w:color w:val="0070C0"/>
                <w:sz w:val="16"/>
                <w:szCs w:val="16"/>
              </w:rPr>
            </w:pPr>
          </w:p>
          <w:p w14:paraId="0F54A700" w14:textId="77777777" w:rsidR="00396C56" w:rsidRPr="0049035A" w:rsidRDefault="00396C56" w:rsidP="007F4632">
            <w:pPr>
              <w:spacing w:before="20" w:after="20"/>
              <w:rPr>
                <w:color w:val="0070C0"/>
                <w:sz w:val="16"/>
                <w:szCs w:val="16"/>
              </w:rPr>
            </w:pPr>
            <w:r w:rsidRPr="0049035A">
              <w:rPr>
                <w:color w:val="0070C0"/>
                <w:sz w:val="16"/>
                <w:szCs w:val="16"/>
              </w:rPr>
              <w:t xml:space="preserve">Assays are run for two key events, and if these assays provide consistent results, then the chemical is predicted accordingly as sensitizer or non-sensitizer. If the first two assays provide discordant results, the assay for the remaining key event is run. The overall result is based on the two concordant findings </w:t>
            </w:r>
            <w:proofErr w:type="gramStart"/>
            <w:r w:rsidRPr="0049035A">
              <w:rPr>
                <w:color w:val="0070C0"/>
                <w:sz w:val="16"/>
                <w:szCs w:val="16"/>
              </w:rPr>
              <w:t>taking into account</w:t>
            </w:r>
            <w:proofErr w:type="gramEnd"/>
            <w:r w:rsidRPr="0049035A">
              <w:rPr>
                <w:color w:val="0070C0"/>
                <w:sz w:val="16"/>
                <w:szCs w:val="16"/>
              </w:rPr>
              <w:t xml:space="preserve"> the confidence on the obtained predictions as described in the </w:t>
            </w:r>
            <w:r w:rsidRPr="0049035A">
              <w:rPr>
                <w:bCs/>
                <w:color w:val="0070C0"/>
                <w:sz w:val="16"/>
                <w:szCs w:val="16"/>
              </w:rPr>
              <w:t>Guideline</w:t>
            </w:r>
          </w:p>
        </w:tc>
        <w:tc>
          <w:tcPr>
            <w:tcW w:w="6052" w:type="dxa"/>
            <w:tcBorders>
              <w:top w:val="single" w:sz="4" w:space="0" w:color="auto"/>
              <w:left w:val="single" w:sz="4" w:space="0" w:color="auto"/>
              <w:bottom w:val="single" w:sz="4" w:space="0" w:color="auto"/>
              <w:right w:val="single" w:sz="4" w:space="0" w:color="auto"/>
            </w:tcBorders>
          </w:tcPr>
          <w:p w14:paraId="3D977481" w14:textId="77777777" w:rsidR="00396C56" w:rsidRPr="0049035A" w:rsidRDefault="00396C56" w:rsidP="007F4632">
            <w:pPr>
              <w:spacing w:before="20" w:after="20"/>
              <w:ind w:left="144"/>
              <w:rPr>
                <w:color w:val="0070C0"/>
                <w:sz w:val="16"/>
                <w:szCs w:val="16"/>
              </w:rPr>
            </w:pPr>
            <w:r w:rsidRPr="0049035A">
              <w:rPr>
                <w:b/>
                <w:bCs/>
                <w:color w:val="0070C0"/>
                <w:sz w:val="16"/>
                <w:szCs w:val="16"/>
              </w:rPr>
              <w:t>ITSv1</w:t>
            </w:r>
            <w:r w:rsidRPr="0049035A">
              <w:rPr>
                <w:color w:val="0070C0"/>
                <w:sz w:val="16"/>
                <w:szCs w:val="16"/>
              </w:rPr>
              <w:t xml:space="preserve"> based on </w:t>
            </w:r>
            <w:r w:rsidRPr="0049035A">
              <w:rPr>
                <w:i/>
                <w:iCs/>
                <w:color w:val="0070C0"/>
                <w:sz w:val="16"/>
                <w:szCs w:val="16"/>
              </w:rPr>
              <w:t xml:space="preserve">in </w:t>
            </w:r>
            <w:proofErr w:type="spellStart"/>
            <w:r w:rsidRPr="0049035A">
              <w:rPr>
                <w:i/>
                <w:iCs/>
                <w:color w:val="0070C0"/>
                <w:sz w:val="16"/>
                <w:szCs w:val="16"/>
              </w:rPr>
              <w:t>chemico</w:t>
            </w:r>
            <w:proofErr w:type="spellEnd"/>
            <w:r w:rsidRPr="0049035A">
              <w:rPr>
                <w:color w:val="0070C0"/>
                <w:sz w:val="16"/>
                <w:szCs w:val="16"/>
              </w:rPr>
              <w:t xml:space="preserve"> (KE1-DPRA) and </w:t>
            </w:r>
            <w:r w:rsidRPr="0049035A">
              <w:rPr>
                <w:i/>
                <w:iCs/>
                <w:color w:val="0070C0"/>
                <w:sz w:val="16"/>
                <w:szCs w:val="16"/>
              </w:rPr>
              <w:t>in vitro</w:t>
            </w:r>
            <w:r w:rsidRPr="0049035A">
              <w:rPr>
                <w:color w:val="0070C0"/>
                <w:sz w:val="16"/>
                <w:szCs w:val="16"/>
              </w:rPr>
              <w:t xml:space="preserve"> (KE3-h-CLAT) data, and </w:t>
            </w:r>
            <w:r w:rsidRPr="0049035A">
              <w:rPr>
                <w:i/>
                <w:iCs/>
                <w:color w:val="0070C0"/>
                <w:sz w:val="16"/>
                <w:szCs w:val="16"/>
              </w:rPr>
              <w:t>in silico</w:t>
            </w:r>
            <w:r w:rsidRPr="0049035A">
              <w:rPr>
                <w:color w:val="0070C0"/>
                <w:sz w:val="16"/>
                <w:szCs w:val="16"/>
              </w:rPr>
              <w:t xml:space="preserve"> (Derek Nexus) predictions.</w:t>
            </w:r>
          </w:p>
          <w:p w14:paraId="765D59F8" w14:textId="77777777" w:rsidR="00396C56" w:rsidRPr="0049035A" w:rsidRDefault="00396C56" w:rsidP="007F4632">
            <w:pPr>
              <w:spacing w:before="20" w:after="20"/>
              <w:ind w:left="144"/>
              <w:rPr>
                <w:color w:val="0070C0"/>
                <w:sz w:val="16"/>
                <w:szCs w:val="16"/>
              </w:rPr>
            </w:pPr>
            <w:r w:rsidRPr="0049035A">
              <w:rPr>
                <w:b/>
                <w:bCs/>
                <w:color w:val="0070C0"/>
                <w:sz w:val="16"/>
                <w:szCs w:val="16"/>
              </w:rPr>
              <w:t>ITSv2</w:t>
            </w:r>
            <w:r w:rsidRPr="0049035A">
              <w:rPr>
                <w:color w:val="0070C0"/>
                <w:sz w:val="16"/>
                <w:szCs w:val="16"/>
              </w:rPr>
              <w:t xml:space="preserve"> based on </w:t>
            </w:r>
            <w:r w:rsidRPr="0049035A">
              <w:rPr>
                <w:i/>
                <w:color w:val="0070C0"/>
                <w:sz w:val="16"/>
                <w:szCs w:val="16"/>
              </w:rPr>
              <w:t xml:space="preserve">in </w:t>
            </w:r>
            <w:proofErr w:type="spellStart"/>
            <w:r w:rsidRPr="0049035A">
              <w:rPr>
                <w:i/>
                <w:color w:val="0070C0"/>
                <w:sz w:val="16"/>
                <w:szCs w:val="16"/>
              </w:rPr>
              <w:t>chemico</w:t>
            </w:r>
            <w:proofErr w:type="spellEnd"/>
            <w:r w:rsidRPr="0049035A">
              <w:rPr>
                <w:color w:val="0070C0"/>
                <w:sz w:val="16"/>
                <w:szCs w:val="16"/>
              </w:rPr>
              <w:t xml:space="preserve"> (KE1 -DPRA) and </w:t>
            </w:r>
            <w:r w:rsidRPr="0049035A">
              <w:rPr>
                <w:i/>
                <w:color w:val="0070C0"/>
                <w:sz w:val="16"/>
                <w:szCs w:val="16"/>
              </w:rPr>
              <w:t>in vitro</w:t>
            </w:r>
            <w:r w:rsidRPr="0049035A">
              <w:rPr>
                <w:color w:val="0070C0"/>
                <w:sz w:val="16"/>
                <w:szCs w:val="16"/>
              </w:rPr>
              <w:t xml:space="preserve"> (KE3 -h-CLAT) data, and in silico (OECD QSAR Toolbox) predictions.</w:t>
            </w:r>
          </w:p>
          <w:p w14:paraId="76516884" w14:textId="77777777" w:rsidR="00396C56" w:rsidRPr="0049035A" w:rsidRDefault="00396C56" w:rsidP="007F4632">
            <w:pPr>
              <w:spacing w:before="20" w:after="20"/>
              <w:ind w:left="144"/>
              <w:rPr>
                <w:color w:val="0070C0"/>
                <w:sz w:val="16"/>
                <w:szCs w:val="16"/>
              </w:rPr>
            </w:pPr>
          </w:p>
          <w:p w14:paraId="2C237FAC" w14:textId="77777777" w:rsidR="00396C56" w:rsidRPr="0049035A" w:rsidRDefault="00396C56" w:rsidP="007F4632">
            <w:pPr>
              <w:spacing w:before="20" w:after="20"/>
              <w:ind w:left="144"/>
              <w:rPr>
                <w:color w:val="0070C0"/>
                <w:sz w:val="16"/>
                <w:szCs w:val="16"/>
              </w:rPr>
            </w:pPr>
            <w:r w:rsidRPr="0049035A">
              <w:rPr>
                <w:color w:val="0070C0"/>
                <w:sz w:val="16"/>
                <w:szCs w:val="16"/>
                <w:lang w:val="en-US"/>
              </w:rPr>
              <w:t xml:space="preserve">Quantitative results of h-CLAT and DPRA are converted into a score from 0 to 3. For the </w:t>
            </w:r>
            <w:proofErr w:type="gramStart"/>
            <w:r w:rsidRPr="0049035A">
              <w:rPr>
                <w:i/>
                <w:color w:val="0070C0"/>
                <w:sz w:val="16"/>
                <w:szCs w:val="16"/>
                <w:lang w:val="en-US"/>
              </w:rPr>
              <w:t>in silico</w:t>
            </w:r>
            <w:proofErr w:type="gramEnd"/>
            <w:r w:rsidRPr="0049035A">
              <w:rPr>
                <w:color w:val="0070C0"/>
                <w:sz w:val="16"/>
                <w:szCs w:val="16"/>
                <w:lang w:val="en-US"/>
              </w:rPr>
              <w:t xml:space="preserve"> prediction (Derek or OECD QSAR </w:t>
            </w:r>
            <w:proofErr w:type="spellStart"/>
            <w:r w:rsidRPr="0049035A">
              <w:rPr>
                <w:color w:val="0070C0"/>
                <w:sz w:val="16"/>
                <w:szCs w:val="16"/>
                <w:lang w:val="en-US"/>
              </w:rPr>
              <w:t>ToolBox</w:t>
            </w:r>
            <w:proofErr w:type="spellEnd"/>
            <w:r w:rsidRPr="0049035A">
              <w:rPr>
                <w:color w:val="0070C0"/>
                <w:sz w:val="16"/>
                <w:szCs w:val="16"/>
                <w:lang w:val="en-US"/>
              </w:rPr>
              <w:t xml:space="preserve">), a positive outcome is assigned a score of 1; a negative outcome is assigned a score of 0. When these scores have been assessed, a total battery score ranging from 0 to 7, calculated by summing the individual scores, is used to predict the sensitizing potential (hazard </w:t>
            </w:r>
            <w:proofErr w:type="gramStart"/>
            <w:r w:rsidRPr="0049035A">
              <w:rPr>
                <w:color w:val="0070C0"/>
                <w:sz w:val="16"/>
                <w:szCs w:val="16"/>
                <w:lang w:val="en-US"/>
              </w:rPr>
              <w:t>identification;</w:t>
            </w:r>
            <w:proofErr w:type="gramEnd"/>
            <w:r w:rsidRPr="0049035A">
              <w:rPr>
                <w:color w:val="0070C0"/>
                <w:sz w:val="16"/>
                <w:szCs w:val="16"/>
                <w:lang w:val="en-US"/>
              </w:rPr>
              <w:t xml:space="preserve"> GHS Cat. 1 vs. no classification) and potency (GHS Cat. 1A, Cat. 1B and no classification). </w:t>
            </w:r>
          </w:p>
          <w:p w14:paraId="68E5BCBA" w14:textId="77777777" w:rsidR="00396C56" w:rsidRPr="0049035A" w:rsidRDefault="00396C56" w:rsidP="007F4632">
            <w:pPr>
              <w:spacing w:before="20" w:after="20"/>
              <w:ind w:left="144"/>
              <w:rPr>
                <w:color w:val="0070C0"/>
                <w:sz w:val="16"/>
                <w:szCs w:val="16"/>
              </w:rPr>
            </w:pPr>
          </w:p>
        </w:tc>
      </w:tr>
      <w:tr w:rsidR="00396C56" w:rsidRPr="00D707B6" w14:paraId="27C5BD14" w14:textId="77777777" w:rsidTr="003E1BD4">
        <w:trPr>
          <w:trHeight w:val="353"/>
        </w:trPr>
        <w:tc>
          <w:tcPr>
            <w:tcW w:w="99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527C9AA" w14:textId="77777777" w:rsidR="00396C56" w:rsidRPr="00D707B6" w:rsidRDefault="00396C56" w:rsidP="007F4632">
            <w:pPr>
              <w:spacing w:before="20" w:after="20"/>
              <w:jc w:val="center"/>
              <w:rPr>
                <w:b/>
                <w:bCs/>
                <w:color w:val="3366CC"/>
                <w:sz w:val="16"/>
                <w:szCs w:val="16"/>
              </w:rPr>
            </w:pPr>
            <w:r w:rsidRPr="00D707B6">
              <w:rPr>
                <w:b/>
                <w:bCs/>
                <w:color w:val="3366CC"/>
                <w:sz w:val="16"/>
                <w:szCs w:val="16"/>
              </w:rPr>
              <w:t>1</w:t>
            </w:r>
          </w:p>
        </w:tc>
        <w:tc>
          <w:tcPr>
            <w:tcW w:w="6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705261" w14:textId="77777777" w:rsidR="00396C56" w:rsidRPr="00D707B6" w:rsidRDefault="00396C56" w:rsidP="007F4632">
            <w:pPr>
              <w:spacing w:before="20" w:after="20"/>
              <w:ind w:right="-182"/>
              <w:rPr>
                <w:color w:val="3366CC"/>
                <w:sz w:val="16"/>
                <w:szCs w:val="16"/>
              </w:rPr>
            </w:pPr>
            <w:r w:rsidRPr="00D707B6">
              <w:rPr>
                <w:color w:val="3366CC"/>
                <w:sz w:val="16"/>
                <w:szCs w:val="16"/>
              </w:rPr>
              <w:t>2 out of 3 or 3 out of 3 positive predictions</w:t>
            </w:r>
          </w:p>
        </w:tc>
        <w:tc>
          <w:tcPr>
            <w:tcW w:w="6052" w:type="dxa"/>
            <w:tcBorders>
              <w:top w:val="single" w:sz="4" w:space="0" w:color="auto"/>
              <w:left w:val="single" w:sz="4" w:space="0" w:color="auto"/>
              <w:bottom w:val="single" w:sz="4" w:space="0" w:color="auto"/>
              <w:right w:val="single" w:sz="4" w:space="0" w:color="auto"/>
            </w:tcBorders>
          </w:tcPr>
          <w:p w14:paraId="4A1521FD" w14:textId="77777777" w:rsidR="00396C56" w:rsidRPr="00D707B6" w:rsidRDefault="00396C56" w:rsidP="007F4632">
            <w:pPr>
              <w:spacing w:before="40" w:after="40" w:line="180" w:lineRule="exact"/>
              <w:ind w:left="122" w:right="153"/>
              <w:rPr>
                <w:color w:val="3366CC"/>
                <w:sz w:val="16"/>
                <w:szCs w:val="16"/>
                <w:lang w:val="en-US"/>
              </w:rPr>
            </w:pPr>
            <w:r w:rsidRPr="00D707B6">
              <w:rPr>
                <w:color w:val="3366CC"/>
                <w:sz w:val="16"/>
                <w:szCs w:val="16"/>
                <w:lang w:val="en-US"/>
              </w:rPr>
              <w:t>Total battery score ≥ 2</w:t>
            </w:r>
          </w:p>
        </w:tc>
      </w:tr>
      <w:tr w:rsidR="00396C56" w:rsidRPr="00D707B6" w14:paraId="5C8AB25E" w14:textId="77777777" w:rsidTr="003E1BD4">
        <w:trPr>
          <w:trHeight w:val="20"/>
        </w:trPr>
        <w:tc>
          <w:tcPr>
            <w:tcW w:w="99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F37DC2" w14:textId="77777777" w:rsidR="00396C56" w:rsidRPr="00D707B6" w:rsidRDefault="00396C56" w:rsidP="007F4632">
            <w:pPr>
              <w:spacing w:before="20" w:after="20"/>
              <w:jc w:val="center"/>
              <w:rPr>
                <w:b/>
                <w:bCs/>
                <w:color w:val="3366CC"/>
                <w:sz w:val="16"/>
                <w:szCs w:val="16"/>
              </w:rPr>
            </w:pPr>
            <w:r w:rsidRPr="00D707B6">
              <w:rPr>
                <w:b/>
                <w:bCs/>
                <w:color w:val="3366CC"/>
                <w:sz w:val="16"/>
                <w:szCs w:val="16"/>
              </w:rPr>
              <w:t>1A</w:t>
            </w:r>
          </w:p>
        </w:tc>
        <w:tc>
          <w:tcPr>
            <w:tcW w:w="6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32C5EFC" w14:textId="77777777" w:rsidR="00396C56" w:rsidRPr="00D707B6" w:rsidRDefault="00396C56" w:rsidP="007F4632">
            <w:pPr>
              <w:spacing w:before="20" w:after="20"/>
              <w:rPr>
                <w:color w:val="3366CC"/>
                <w:sz w:val="16"/>
                <w:szCs w:val="16"/>
              </w:rPr>
            </w:pPr>
            <w:r w:rsidRPr="00D707B6">
              <w:rPr>
                <w:color w:val="3366CC"/>
                <w:sz w:val="16"/>
                <w:szCs w:val="16"/>
              </w:rPr>
              <w:t>Not Applicable</w:t>
            </w:r>
          </w:p>
        </w:tc>
        <w:tc>
          <w:tcPr>
            <w:tcW w:w="6052" w:type="dxa"/>
            <w:tcBorders>
              <w:top w:val="single" w:sz="4" w:space="0" w:color="auto"/>
              <w:left w:val="single" w:sz="4" w:space="0" w:color="auto"/>
              <w:bottom w:val="single" w:sz="4" w:space="0" w:color="auto"/>
              <w:right w:val="single" w:sz="4" w:space="0" w:color="auto"/>
            </w:tcBorders>
          </w:tcPr>
          <w:p w14:paraId="5844A56A" w14:textId="77777777" w:rsidR="00396C56" w:rsidRPr="00D707B6" w:rsidRDefault="00396C56" w:rsidP="007F4632">
            <w:pPr>
              <w:spacing w:before="40" w:after="40" w:line="180" w:lineRule="exact"/>
              <w:ind w:left="122" w:right="153"/>
              <w:rPr>
                <w:color w:val="3366CC"/>
                <w:sz w:val="16"/>
                <w:szCs w:val="16"/>
                <w:lang w:val="en-US"/>
              </w:rPr>
            </w:pPr>
            <w:r w:rsidRPr="00D707B6">
              <w:rPr>
                <w:color w:val="3366CC"/>
                <w:sz w:val="16"/>
                <w:szCs w:val="16"/>
                <w:lang w:val="en-US"/>
              </w:rPr>
              <w:t>Total battery score 6-7</w:t>
            </w:r>
          </w:p>
        </w:tc>
      </w:tr>
      <w:tr w:rsidR="00396C56" w:rsidRPr="00D707B6" w14:paraId="59872F54" w14:textId="77777777" w:rsidTr="003E1BD4">
        <w:trPr>
          <w:trHeight w:val="20"/>
        </w:trPr>
        <w:tc>
          <w:tcPr>
            <w:tcW w:w="99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FE9AF57" w14:textId="77777777" w:rsidR="00396C56" w:rsidRPr="00D707B6" w:rsidRDefault="00396C56" w:rsidP="007F4632">
            <w:pPr>
              <w:spacing w:before="20" w:after="20"/>
              <w:jc w:val="center"/>
              <w:rPr>
                <w:b/>
                <w:bCs/>
                <w:color w:val="3366CC"/>
                <w:sz w:val="16"/>
                <w:szCs w:val="16"/>
              </w:rPr>
            </w:pPr>
            <w:r w:rsidRPr="00D707B6">
              <w:rPr>
                <w:b/>
                <w:bCs/>
                <w:color w:val="3366CC"/>
                <w:sz w:val="16"/>
                <w:szCs w:val="16"/>
              </w:rPr>
              <w:t>1B</w:t>
            </w:r>
          </w:p>
        </w:tc>
        <w:tc>
          <w:tcPr>
            <w:tcW w:w="6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F88BB9" w14:textId="77777777" w:rsidR="00396C56" w:rsidRPr="00D707B6" w:rsidRDefault="00396C56" w:rsidP="007F4632">
            <w:pPr>
              <w:spacing w:before="20" w:after="20"/>
              <w:rPr>
                <w:color w:val="3366CC"/>
                <w:sz w:val="16"/>
                <w:szCs w:val="16"/>
              </w:rPr>
            </w:pPr>
            <w:r w:rsidRPr="00D707B6">
              <w:rPr>
                <w:color w:val="3366CC"/>
                <w:sz w:val="16"/>
                <w:szCs w:val="16"/>
              </w:rPr>
              <w:t>Not Applicable</w:t>
            </w:r>
          </w:p>
        </w:tc>
        <w:tc>
          <w:tcPr>
            <w:tcW w:w="6052" w:type="dxa"/>
            <w:tcBorders>
              <w:top w:val="single" w:sz="4" w:space="0" w:color="auto"/>
              <w:left w:val="single" w:sz="4" w:space="0" w:color="auto"/>
              <w:bottom w:val="single" w:sz="4" w:space="0" w:color="auto"/>
              <w:right w:val="single" w:sz="4" w:space="0" w:color="auto"/>
            </w:tcBorders>
          </w:tcPr>
          <w:p w14:paraId="2415205C" w14:textId="77777777" w:rsidR="00396C56" w:rsidRPr="00D707B6" w:rsidDel="001C3A02" w:rsidRDefault="00396C56" w:rsidP="007F4632">
            <w:pPr>
              <w:spacing w:before="40" w:after="40" w:line="180" w:lineRule="exact"/>
              <w:ind w:left="122" w:right="153"/>
              <w:rPr>
                <w:color w:val="3366CC"/>
                <w:sz w:val="16"/>
                <w:szCs w:val="16"/>
                <w:lang w:val="en-US"/>
              </w:rPr>
            </w:pPr>
            <w:r w:rsidRPr="00D707B6">
              <w:rPr>
                <w:color w:val="3366CC"/>
                <w:sz w:val="16"/>
                <w:szCs w:val="16"/>
                <w:lang w:val="en-US"/>
              </w:rPr>
              <w:t>Total battery score 2-5</w:t>
            </w:r>
          </w:p>
        </w:tc>
      </w:tr>
      <w:tr w:rsidR="00396C56" w:rsidRPr="00D707B6" w14:paraId="1292653F" w14:textId="77777777" w:rsidTr="003E1BD4">
        <w:trPr>
          <w:trHeight w:val="20"/>
        </w:trPr>
        <w:tc>
          <w:tcPr>
            <w:tcW w:w="99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22F956A" w14:textId="77777777" w:rsidR="00396C56" w:rsidRPr="00D707B6" w:rsidRDefault="00396C56" w:rsidP="007F4632">
            <w:pPr>
              <w:spacing w:before="20" w:after="20"/>
              <w:jc w:val="center"/>
              <w:rPr>
                <w:b/>
                <w:bCs/>
                <w:color w:val="3366CC"/>
                <w:sz w:val="16"/>
                <w:szCs w:val="16"/>
              </w:rPr>
            </w:pPr>
            <w:r w:rsidRPr="00D707B6">
              <w:rPr>
                <w:b/>
                <w:bCs/>
                <w:color w:val="3366CC"/>
                <w:sz w:val="16"/>
                <w:szCs w:val="16"/>
              </w:rPr>
              <w:t>Not classified</w:t>
            </w:r>
          </w:p>
        </w:tc>
        <w:tc>
          <w:tcPr>
            <w:tcW w:w="6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83CC90" w14:textId="77777777" w:rsidR="00396C56" w:rsidRPr="00D707B6" w:rsidRDefault="00396C56" w:rsidP="007F4632">
            <w:pPr>
              <w:spacing w:before="20" w:after="20"/>
              <w:rPr>
                <w:color w:val="3366CC"/>
                <w:sz w:val="16"/>
                <w:szCs w:val="16"/>
              </w:rPr>
            </w:pPr>
            <w:r w:rsidRPr="00D707B6">
              <w:rPr>
                <w:color w:val="3366CC"/>
                <w:sz w:val="16"/>
                <w:szCs w:val="16"/>
              </w:rPr>
              <w:t>2 out of 3 or 3 out of 3 negative predictions</w:t>
            </w:r>
          </w:p>
        </w:tc>
        <w:tc>
          <w:tcPr>
            <w:tcW w:w="6052" w:type="dxa"/>
            <w:tcBorders>
              <w:top w:val="single" w:sz="4" w:space="0" w:color="auto"/>
              <w:left w:val="single" w:sz="4" w:space="0" w:color="auto"/>
              <w:bottom w:val="single" w:sz="4" w:space="0" w:color="auto"/>
              <w:right w:val="single" w:sz="4" w:space="0" w:color="auto"/>
            </w:tcBorders>
          </w:tcPr>
          <w:p w14:paraId="694B8DF8" w14:textId="77777777" w:rsidR="00396C56" w:rsidRPr="00D707B6" w:rsidRDefault="00396C56" w:rsidP="007F4632">
            <w:pPr>
              <w:spacing w:before="40" w:after="40" w:line="180" w:lineRule="exact"/>
              <w:ind w:left="122" w:right="153"/>
              <w:rPr>
                <w:color w:val="3366CC"/>
                <w:sz w:val="16"/>
                <w:szCs w:val="16"/>
                <w:lang w:val="en-US"/>
              </w:rPr>
            </w:pPr>
            <w:r w:rsidRPr="00D707B6">
              <w:rPr>
                <w:color w:val="3366CC"/>
                <w:sz w:val="16"/>
                <w:szCs w:val="16"/>
                <w:lang w:val="en-US"/>
              </w:rPr>
              <w:t>Total battery score &lt; 2</w:t>
            </w:r>
          </w:p>
        </w:tc>
      </w:tr>
    </w:tbl>
    <w:p w14:paraId="16F9A290" w14:textId="77777777" w:rsidR="00D63572" w:rsidRDefault="00D63572" w:rsidP="00396C56">
      <w:pPr>
        <w:jc w:val="center"/>
        <w:rPr>
          <w:b/>
          <w:color w:val="0070C0"/>
          <w:sz w:val="28"/>
          <w:szCs w:val="28"/>
        </w:rPr>
      </w:pPr>
    </w:p>
    <w:p w14:paraId="40F41D5E" w14:textId="77777777" w:rsidR="00D63572" w:rsidRDefault="00D63572">
      <w:pPr>
        <w:suppressAutoHyphens w:val="0"/>
        <w:spacing w:line="240" w:lineRule="auto"/>
        <w:rPr>
          <w:b/>
          <w:color w:val="0070C0"/>
          <w:sz w:val="28"/>
          <w:szCs w:val="28"/>
        </w:rPr>
      </w:pPr>
      <w:r>
        <w:rPr>
          <w:b/>
          <w:color w:val="0070C0"/>
          <w:sz w:val="28"/>
          <w:szCs w:val="28"/>
        </w:rPr>
        <w:br w:type="page"/>
      </w:r>
    </w:p>
    <w:p w14:paraId="0BA0D358" w14:textId="01DE1C66" w:rsidR="00396C56" w:rsidRPr="00EA091F" w:rsidRDefault="00396C56" w:rsidP="00EA091F">
      <w:pPr>
        <w:spacing w:after="200"/>
        <w:jc w:val="center"/>
        <w:rPr>
          <w:b/>
          <w:color w:val="0070C0"/>
          <w:lang w:val="it-IT"/>
        </w:rPr>
      </w:pPr>
      <w:r w:rsidRPr="00EA091F">
        <w:rPr>
          <w:b/>
          <w:color w:val="0070C0"/>
        </w:rPr>
        <w:t xml:space="preserve">Table 3.4.7: </w:t>
      </w:r>
      <w:r w:rsidRPr="00EA091F">
        <w:rPr>
          <w:b/>
          <w:color w:val="0070C0"/>
          <w:lang w:val="it-IT"/>
        </w:rPr>
        <w:t xml:space="preserve">Criteria for individual </w:t>
      </w:r>
      <w:r w:rsidRPr="00EA091F">
        <w:rPr>
          <w:b/>
          <w:i/>
          <w:color w:val="0070C0"/>
          <w:lang w:val="it-IT"/>
        </w:rPr>
        <w:t>in chemico/in vitro</w:t>
      </w:r>
      <w:r w:rsidRPr="00EA091F">
        <w:rPr>
          <w:b/>
          <w:color w:val="0070C0"/>
          <w:lang w:val="it-IT"/>
        </w:rPr>
        <w:t xml:space="preserve"> methods</w:t>
      </w:r>
    </w:p>
    <w:tbl>
      <w:tblPr>
        <w:tblW w:w="13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1"/>
        <w:gridCol w:w="1419"/>
        <w:gridCol w:w="61"/>
        <w:gridCol w:w="1356"/>
        <w:gridCol w:w="1196"/>
        <w:gridCol w:w="2114"/>
        <w:gridCol w:w="1417"/>
        <w:gridCol w:w="1652"/>
        <w:gridCol w:w="1559"/>
        <w:gridCol w:w="1338"/>
        <w:gridCol w:w="864"/>
      </w:tblGrid>
      <w:tr w:rsidR="00396C56" w:rsidRPr="00161B0F" w14:paraId="5B7676A8" w14:textId="77777777" w:rsidTr="008A2B38">
        <w:trPr>
          <w:jc w:val="center"/>
        </w:trPr>
        <w:tc>
          <w:tcPr>
            <w:tcW w:w="801"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63FEB0" w14:textId="77777777" w:rsidR="00396C56" w:rsidRPr="00161B0F" w:rsidRDefault="00396C56" w:rsidP="00A7584D">
            <w:pPr>
              <w:pStyle w:val="ListParagraph"/>
              <w:spacing w:before="10" w:after="10" w:line="240" w:lineRule="atLeast"/>
              <w:ind w:left="0"/>
              <w:rPr>
                <w:b/>
                <w:color w:val="0070C0"/>
                <w:sz w:val="14"/>
                <w:szCs w:val="14"/>
              </w:rPr>
            </w:pPr>
            <w:r w:rsidRPr="00161B0F">
              <w:rPr>
                <w:b/>
                <w:color w:val="0070C0"/>
                <w:sz w:val="14"/>
                <w:szCs w:val="14"/>
              </w:rPr>
              <w:t>Category</w:t>
            </w:r>
          </w:p>
        </w:tc>
        <w:tc>
          <w:tcPr>
            <w:tcW w:w="4032"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2E56A3" w14:textId="77777777" w:rsidR="00396C56" w:rsidRPr="00161B0F" w:rsidRDefault="00396C56" w:rsidP="00A7584D">
            <w:pPr>
              <w:spacing w:before="10" w:after="10"/>
              <w:jc w:val="center"/>
              <w:rPr>
                <w:b/>
                <w:color w:val="0070C0"/>
                <w:sz w:val="16"/>
                <w:szCs w:val="16"/>
              </w:rPr>
            </w:pPr>
            <w:r w:rsidRPr="00161B0F">
              <w:rPr>
                <w:b/>
                <w:color w:val="0070C0"/>
                <w:sz w:val="16"/>
                <w:szCs w:val="16"/>
              </w:rPr>
              <w:t xml:space="preserve">OECD Test Guideline 442C </w:t>
            </w:r>
          </w:p>
          <w:p w14:paraId="52BEADF7" w14:textId="77777777" w:rsidR="00396C56" w:rsidRPr="00161B0F" w:rsidRDefault="00396C56" w:rsidP="00A7584D">
            <w:pPr>
              <w:spacing w:before="10" w:after="10"/>
              <w:jc w:val="center"/>
              <w:rPr>
                <w:b/>
                <w:color w:val="0070C0"/>
                <w:sz w:val="16"/>
                <w:szCs w:val="16"/>
              </w:rPr>
            </w:pPr>
            <w:r w:rsidRPr="00161B0F">
              <w:rPr>
                <w:b/>
                <w:color w:val="0070C0"/>
                <w:sz w:val="16"/>
                <w:szCs w:val="16"/>
              </w:rPr>
              <w:t xml:space="preserve">Key event-based Test Guideline for </w:t>
            </w:r>
            <w:r w:rsidRPr="00161B0F">
              <w:rPr>
                <w:b/>
                <w:i/>
                <w:color w:val="0070C0"/>
                <w:sz w:val="16"/>
                <w:szCs w:val="16"/>
              </w:rPr>
              <w:t xml:space="preserve">in </w:t>
            </w:r>
            <w:proofErr w:type="spellStart"/>
            <w:r w:rsidRPr="00161B0F">
              <w:rPr>
                <w:b/>
                <w:i/>
                <w:color w:val="0070C0"/>
                <w:sz w:val="16"/>
                <w:szCs w:val="16"/>
              </w:rPr>
              <w:t>chemico</w:t>
            </w:r>
            <w:proofErr w:type="spellEnd"/>
            <w:r w:rsidRPr="00161B0F">
              <w:rPr>
                <w:b/>
                <w:color w:val="0070C0"/>
                <w:sz w:val="16"/>
                <w:szCs w:val="16"/>
              </w:rPr>
              <w:t xml:space="preserve"> skin sensitization assays addressing the adverse outcome pathway (AOP) Key Event on covalent binding to proteins</w:t>
            </w:r>
          </w:p>
        </w:tc>
        <w:tc>
          <w:tcPr>
            <w:tcW w:w="3531" w:type="dxa"/>
            <w:gridSpan w:val="2"/>
            <w:tcBorders>
              <w:top w:val="single" w:sz="4" w:space="0" w:color="auto"/>
              <w:left w:val="single" w:sz="4" w:space="0" w:color="auto"/>
              <w:bottom w:val="single" w:sz="4" w:space="0" w:color="auto"/>
              <w:right w:val="single" w:sz="4" w:space="0" w:color="auto"/>
            </w:tcBorders>
          </w:tcPr>
          <w:p w14:paraId="7824B538" w14:textId="77777777" w:rsidR="00396C56" w:rsidRPr="00161B0F" w:rsidRDefault="00396C56" w:rsidP="00A7584D">
            <w:pPr>
              <w:spacing w:before="10" w:after="10"/>
              <w:jc w:val="center"/>
              <w:rPr>
                <w:b/>
                <w:color w:val="0070C0"/>
                <w:sz w:val="16"/>
                <w:szCs w:val="16"/>
              </w:rPr>
            </w:pPr>
            <w:r w:rsidRPr="00161B0F">
              <w:rPr>
                <w:b/>
                <w:color w:val="0070C0"/>
                <w:sz w:val="16"/>
                <w:szCs w:val="16"/>
              </w:rPr>
              <w:t>OECD Test Guideline 442D</w:t>
            </w:r>
          </w:p>
          <w:p w14:paraId="3349130A" w14:textId="77777777" w:rsidR="00396C56" w:rsidRPr="00161B0F" w:rsidRDefault="00396C56" w:rsidP="00A7584D">
            <w:pPr>
              <w:spacing w:before="10" w:after="10"/>
              <w:jc w:val="center"/>
              <w:rPr>
                <w:b/>
                <w:bCs/>
                <w:color w:val="0070C0"/>
                <w:sz w:val="16"/>
                <w:szCs w:val="16"/>
              </w:rPr>
            </w:pPr>
            <w:r w:rsidRPr="00161B0F">
              <w:rPr>
                <w:b/>
                <w:color w:val="0070C0"/>
                <w:sz w:val="16"/>
                <w:szCs w:val="16"/>
              </w:rPr>
              <w:t xml:space="preserve">Key event-based Test Guideline for </w:t>
            </w:r>
            <w:r w:rsidRPr="00161B0F">
              <w:rPr>
                <w:b/>
                <w:i/>
                <w:color w:val="0070C0"/>
                <w:sz w:val="16"/>
                <w:szCs w:val="16"/>
              </w:rPr>
              <w:t>in vitro</w:t>
            </w:r>
            <w:r w:rsidRPr="00161B0F">
              <w:rPr>
                <w:b/>
                <w:color w:val="0070C0"/>
                <w:sz w:val="16"/>
                <w:szCs w:val="16"/>
              </w:rPr>
              <w:t xml:space="preserve"> skin sensitization assays addressing the AOP Key Event on keratinocyte activation </w:t>
            </w:r>
            <w:r w:rsidRPr="00161B0F">
              <w:rPr>
                <w:b/>
                <w:bCs/>
                <w:color w:val="0070C0"/>
                <w:sz w:val="16"/>
                <w:szCs w:val="16"/>
              </w:rPr>
              <w:t>antioxidant response element-nuclear factor-erythroid 2-related factor 2</w:t>
            </w:r>
          </w:p>
          <w:p w14:paraId="156C3D7A" w14:textId="77777777" w:rsidR="00396C56" w:rsidRPr="00161B0F" w:rsidRDefault="00396C56" w:rsidP="00A7584D">
            <w:pPr>
              <w:spacing w:before="10" w:after="10"/>
              <w:jc w:val="center"/>
              <w:rPr>
                <w:b/>
                <w:color w:val="0070C0"/>
                <w:sz w:val="16"/>
                <w:szCs w:val="16"/>
              </w:rPr>
            </w:pPr>
            <w:r w:rsidRPr="00161B0F">
              <w:rPr>
                <w:b/>
                <w:color w:val="0070C0"/>
                <w:sz w:val="16"/>
                <w:szCs w:val="16"/>
              </w:rPr>
              <w:t xml:space="preserve">(ARE-Nrf2) luciferase methods </w:t>
            </w:r>
          </w:p>
        </w:tc>
        <w:tc>
          <w:tcPr>
            <w:tcW w:w="5413" w:type="dxa"/>
            <w:gridSpan w:val="4"/>
            <w:tcBorders>
              <w:top w:val="single" w:sz="4" w:space="0" w:color="auto"/>
              <w:left w:val="single" w:sz="4" w:space="0" w:color="auto"/>
              <w:bottom w:val="single" w:sz="4" w:space="0" w:color="auto"/>
              <w:right w:val="single" w:sz="4" w:space="0" w:color="auto"/>
            </w:tcBorders>
          </w:tcPr>
          <w:p w14:paraId="747F38CD" w14:textId="77777777" w:rsidR="00396C56" w:rsidRPr="00161B0F" w:rsidRDefault="00396C56" w:rsidP="00A7584D">
            <w:pPr>
              <w:spacing w:before="10" w:after="10"/>
              <w:jc w:val="center"/>
              <w:rPr>
                <w:b/>
                <w:color w:val="0070C0"/>
                <w:sz w:val="16"/>
                <w:szCs w:val="16"/>
              </w:rPr>
            </w:pPr>
            <w:r w:rsidRPr="00161B0F">
              <w:rPr>
                <w:b/>
                <w:color w:val="0070C0"/>
                <w:sz w:val="16"/>
                <w:szCs w:val="16"/>
              </w:rPr>
              <w:t>OECD Test Guideline 442E</w:t>
            </w:r>
          </w:p>
          <w:p w14:paraId="4FB2F540" w14:textId="77777777" w:rsidR="00396C56" w:rsidRPr="00161B0F" w:rsidRDefault="00396C56" w:rsidP="00A7584D">
            <w:pPr>
              <w:spacing w:before="10" w:after="10"/>
              <w:jc w:val="center"/>
              <w:rPr>
                <w:b/>
                <w:color w:val="0070C0"/>
                <w:sz w:val="16"/>
                <w:szCs w:val="16"/>
              </w:rPr>
            </w:pPr>
            <w:r w:rsidRPr="00161B0F">
              <w:rPr>
                <w:b/>
                <w:color w:val="0070C0"/>
                <w:sz w:val="16"/>
                <w:szCs w:val="16"/>
              </w:rPr>
              <w:t xml:space="preserve">In vitro skin sensitization assays addressing the AOP Key Event on activation of dendritic cells </w:t>
            </w:r>
          </w:p>
          <w:p w14:paraId="1F777DEE" w14:textId="77777777" w:rsidR="00396C56" w:rsidRPr="00161B0F" w:rsidRDefault="00396C56" w:rsidP="00A7584D">
            <w:pPr>
              <w:spacing w:before="10" w:after="10"/>
              <w:rPr>
                <w:color w:val="0070C0"/>
                <w:sz w:val="16"/>
                <w:szCs w:val="16"/>
              </w:rPr>
            </w:pPr>
          </w:p>
          <w:p w14:paraId="4626D998" w14:textId="77777777" w:rsidR="00396C56" w:rsidRPr="00161B0F" w:rsidRDefault="00396C56" w:rsidP="00A7584D">
            <w:pPr>
              <w:spacing w:before="10" w:after="10"/>
              <w:jc w:val="center"/>
              <w:rPr>
                <w:b/>
                <w:color w:val="0070C0"/>
                <w:sz w:val="16"/>
                <w:szCs w:val="16"/>
              </w:rPr>
            </w:pPr>
            <w:r w:rsidRPr="00161B0F">
              <w:rPr>
                <w:color w:val="0070C0"/>
                <w:sz w:val="16"/>
                <w:szCs w:val="16"/>
              </w:rPr>
              <w:tab/>
            </w:r>
          </w:p>
        </w:tc>
      </w:tr>
      <w:tr w:rsidR="00396C56" w:rsidRPr="0049035A" w14:paraId="1606AC57" w14:textId="77777777" w:rsidTr="008A2B38">
        <w:trPr>
          <w:jc w:val="center"/>
        </w:trPr>
        <w:tc>
          <w:tcPr>
            <w:tcW w:w="801"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B2EE16" w14:textId="77777777" w:rsidR="00396C56" w:rsidRPr="0049035A" w:rsidRDefault="00396C56" w:rsidP="00A7584D">
            <w:pPr>
              <w:spacing w:before="10" w:after="10"/>
              <w:jc w:val="center"/>
              <w:rPr>
                <w:color w:val="0070C0"/>
                <w:sz w:val="16"/>
                <w:szCs w:val="16"/>
              </w:rPr>
            </w:pPr>
          </w:p>
        </w:tc>
        <w:tc>
          <w:tcPr>
            <w:tcW w:w="148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D64A0C6" w14:textId="77777777" w:rsidR="00396C56" w:rsidRPr="0049035A" w:rsidRDefault="00396C56" w:rsidP="00A7584D">
            <w:pPr>
              <w:spacing w:before="10" w:after="10"/>
              <w:jc w:val="center"/>
              <w:rPr>
                <w:b/>
                <w:color w:val="0070C0"/>
                <w:sz w:val="16"/>
                <w:szCs w:val="16"/>
              </w:rPr>
            </w:pPr>
            <w:r w:rsidRPr="0049035A">
              <w:rPr>
                <w:b/>
                <w:color w:val="0070C0"/>
                <w:sz w:val="16"/>
                <w:szCs w:val="16"/>
              </w:rPr>
              <w:t xml:space="preserve">Method described in Appendix I </w:t>
            </w:r>
          </w:p>
          <w:p w14:paraId="4878C384" w14:textId="77777777" w:rsidR="00396C56" w:rsidRPr="0049035A" w:rsidRDefault="00396C56" w:rsidP="00A7584D">
            <w:pPr>
              <w:spacing w:before="10" w:after="10"/>
              <w:jc w:val="center"/>
              <w:rPr>
                <w:b/>
                <w:color w:val="0070C0"/>
                <w:sz w:val="16"/>
                <w:szCs w:val="16"/>
              </w:rPr>
            </w:pPr>
          </w:p>
          <w:p w14:paraId="5BF174E5" w14:textId="77777777" w:rsidR="00396C56" w:rsidRPr="0049035A" w:rsidRDefault="00396C56" w:rsidP="00A7584D">
            <w:pPr>
              <w:spacing w:before="10" w:after="10"/>
              <w:jc w:val="center"/>
              <w:rPr>
                <w:b/>
                <w:bCs/>
                <w:color w:val="0070C0"/>
                <w:sz w:val="16"/>
                <w:szCs w:val="16"/>
              </w:rPr>
            </w:pPr>
            <w:r w:rsidRPr="0049035A">
              <w:rPr>
                <w:b/>
                <w:bCs/>
                <w:color w:val="0070C0"/>
                <w:sz w:val="16"/>
                <w:szCs w:val="16"/>
              </w:rPr>
              <w:t>The Direct Peptide Reactivity Assay</w:t>
            </w:r>
          </w:p>
          <w:p w14:paraId="591E5C24" w14:textId="77777777" w:rsidR="00396C56" w:rsidRPr="0049035A" w:rsidRDefault="00396C56" w:rsidP="00A7584D">
            <w:pPr>
              <w:spacing w:before="10" w:after="10"/>
              <w:jc w:val="center"/>
              <w:rPr>
                <w:color w:val="0070C0"/>
                <w:sz w:val="16"/>
                <w:szCs w:val="16"/>
              </w:rPr>
            </w:pPr>
            <w:r w:rsidRPr="0049035A">
              <w:rPr>
                <w:b/>
                <w:bCs/>
                <w:color w:val="0070C0"/>
                <w:sz w:val="16"/>
                <w:szCs w:val="16"/>
              </w:rPr>
              <w:t>(DPRA)</w:t>
            </w:r>
            <w:r w:rsidRPr="0049035A">
              <w:rPr>
                <w:b/>
                <w:bCs/>
                <w:color w:val="0070C0"/>
                <w:sz w:val="16"/>
                <w:szCs w:val="16"/>
                <w:vertAlign w:val="superscript"/>
              </w:rPr>
              <w:t>a</w:t>
            </w:r>
          </w:p>
        </w:tc>
        <w:tc>
          <w:tcPr>
            <w:tcW w:w="1356" w:type="dxa"/>
            <w:tcBorders>
              <w:top w:val="single" w:sz="4" w:space="0" w:color="auto"/>
              <w:left w:val="single" w:sz="4" w:space="0" w:color="auto"/>
              <w:bottom w:val="single" w:sz="4" w:space="0" w:color="auto"/>
              <w:right w:val="single" w:sz="4" w:space="0" w:color="auto"/>
            </w:tcBorders>
          </w:tcPr>
          <w:p w14:paraId="7CC1C0F1" w14:textId="77777777" w:rsidR="00396C56" w:rsidRPr="0049035A" w:rsidRDefault="00396C56" w:rsidP="00A7584D">
            <w:pPr>
              <w:spacing w:before="10" w:after="10"/>
              <w:jc w:val="center"/>
              <w:rPr>
                <w:b/>
                <w:color w:val="0070C0"/>
                <w:sz w:val="16"/>
                <w:szCs w:val="16"/>
              </w:rPr>
            </w:pPr>
            <w:r w:rsidRPr="0049035A">
              <w:rPr>
                <w:b/>
                <w:color w:val="0070C0"/>
                <w:sz w:val="16"/>
                <w:szCs w:val="16"/>
              </w:rPr>
              <w:t xml:space="preserve">Method described in Appendix II </w:t>
            </w:r>
          </w:p>
          <w:p w14:paraId="3013E506" w14:textId="77777777" w:rsidR="00396C56" w:rsidRPr="0049035A" w:rsidRDefault="00396C56" w:rsidP="00A7584D">
            <w:pPr>
              <w:spacing w:before="10" w:after="10"/>
              <w:jc w:val="center"/>
              <w:rPr>
                <w:b/>
                <w:color w:val="0070C0"/>
                <w:sz w:val="16"/>
                <w:szCs w:val="16"/>
              </w:rPr>
            </w:pPr>
          </w:p>
          <w:p w14:paraId="0645DA3F" w14:textId="77777777" w:rsidR="00396C56" w:rsidRPr="0049035A" w:rsidRDefault="00396C56" w:rsidP="00A7584D">
            <w:pPr>
              <w:spacing w:before="10" w:after="10"/>
              <w:jc w:val="center"/>
              <w:rPr>
                <w:b/>
                <w:bCs/>
                <w:color w:val="0070C0"/>
                <w:sz w:val="16"/>
                <w:szCs w:val="16"/>
              </w:rPr>
            </w:pPr>
            <w:r w:rsidRPr="0049035A">
              <w:rPr>
                <w:b/>
                <w:bCs/>
                <w:color w:val="0070C0"/>
                <w:sz w:val="16"/>
                <w:szCs w:val="16"/>
              </w:rPr>
              <w:t>The Amino acid Derivative Reactivity Assay (ADRA)</w:t>
            </w:r>
            <w:r w:rsidRPr="0049035A">
              <w:rPr>
                <w:b/>
                <w:bCs/>
                <w:color w:val="0070C0"/>
                <w:sz w:val="14"/>
                <w:szCs w:val="14"/>
                <w:vertAlign w:val="superscript"/>
              </w:rPr>
              <w:t xml:space="preserve"> a</w:t>
            </w:r>
            <w:r w:rsidRPr="0049035A">
              <w:rPr>
                <w:b/>
                <w:bCs/>
                <w:color w:val="0070C0"/>
                <w:sz w:val="16"/>
                <w:szCs w:val="16"/>
              </w:rPr>
              <w:t xml:space="preserve"> </w:t>
            </w:r>
          </w:p>
        </w:tc>
        <w:tc>
          <w:tcPr>
            <w:tcW w:w="1196" w:type="dxa"/>
            <w:tcBorders>
              <w:top w:val="single" w:sz="4" w:space="0" w:color="auto"/>
              <w:left w:val="single" w:sz="4" w:space="0" w:color="auto"/>
              <w:bottom w:val="single" w:sz="4" w:space="0" w:color="auto"/>
              <w:right w:val="single" w:sz="4" w:space="0" w:color="auto"/>
            </w:tcBorders>
          </w:tcPr>
          <w:p w14:paraId="40D245CE" w14:textId="77777777" w:rsidR="00396C56" w:rsidRPr="0049035A" w:rsidRDefault="00396C56" w:rsidP="00A7584D">
            <w:pPr>
              <w:spacing w:before="10" w:after="10"/>
              <w:jc w:val="center"/>
              <w:rPr>
                <w:b/>
                <w:color w:val="0070C0"/>
                <w:sz w:val="16"/>
                <w:szCs w:val="16"/>
              </w:rPr>
            </w:pPr>
            <w:r w:rsidRPr="0049035A">
              <w:rPr>
                <w:b/>
                <w:color w:val="0070C0"/>
                <w:sz w:val="16"/>
                <w:szCs w:val="16"/>
              </w:rPr>
              <w:t>Method described in Appendix III</w:t>
            </w:r>
          </w:p>
          <w:p w14:paraId="5DCCBC09" w14:textId="77777777" w:rsidR="00396C56" w:rsidRPr="0049035A" w:rsidRDefault="00396C56" w:rsidP="00A7584D">
            <w:pPr>
              <w:spacing w:before="10" w:after="10"/>
              <w:jc w:val="center"/>
              <w:rPr>
                <w:b/>
                <w:color w:val="0070C0"/>
                <w:sz w:val="16"/>
                <w:szCs w:val="16"/>
              </w:rPr>
            </w:pPr>
          </w:p>
          <w:p w14:paraId="12569B0F" w14:textId="77777777" w:rsidR="00396C56" w:rsidRPr="0049035A" w:rsidRDefault="00396C56" w:rsidP="00A7584D">
            <w:pPr>
              <w:spacing w:before="10" w:after="10"/>
              <w:jc w:val="center"/>
              <w:rPr>
                <w:color w:val="0070C0"/>
                <w:sz w:val="16"/>
                <w:szCs w:val="16"/>
              </w:rPr>
            </w:pPr>
            <w:r w:rsidRPr="0049035A">
              <w:rPr>
                <w:b/>
                <w:bCs/>
                <w:color w:val="0070C0"/>
                <w:sz w:val="16"/>
                <w:szCs w:val="16"/>
              </w:rPr>
              <w:t>The kinetic Direct Peptide Reactivity Assay (</w:t>
            </w:r>
            <w:proofErr w:type="spellStart"/>
            <w:r w:rsidRPr="0049035A">
              <w:rPr>
                <w:b/>
                <w:bCs/>
                <w:color w:val="0070C0"/>
                <w:sz w:val="16"/>
                <w:szCs w:val="16"/>
              </w:rPr>
              <w:t>kDPRA</w:t>
            </w:r>
            <w:proofErr w:type="spellEnd"/>
            <w:r w:rsidRPr="0049035A">
              <w:rPr>
                <w:b/>
                <w:bCs/>
                <w:color w:val="0070C0"/>
                <w:sz w:val="16"/>
                <w:szCs w:val="16"/>
              </w:rPr>
              <w:t>)</w:t>
            </w:r>
            <w:r w:rsidRPr="0049035A">
              <w:rPr>
                <w:b/>
                <w:bCs/>
                <w:color w:val="0070C0"/>
                <w:sz w:val="16"/>
                <w:szCs w:val="16"/>
                <w:vertAlign w:val="superscript"/>
              </w:rPr>
              <w:t>b</w:t>
            </w:r>
          </w:p>
        </w:tc>
        <w:tc>
          <w:tcPr>
            <w:tcW w:w="2114" w:type="dxa"/>
            <w:tcBorders>
              <w:top w:val="single" w:sz="4" w:space="0" w:color="auto"/>
              <w:left w:val="single" w:sz="4" w:space="0" w:color="auto"/>
              <w:bottom w:val="single" w:sz="4" w:space="0" w:color="auto"/>
              <w:right w:val="single" w:sz="4" w:space="0" w:color="auto"/>
            </w:tcBorders>
          </w:tcPr>
          <w:p w14:paraId="1F87569C" w14:textId="77777777" w:rsidR="00396C56" w:rsidRPr="0049035A" w:rsidRDefault="00396C56" w:rsidP="00A7584D">
            <w:pPr>
              <w:spacing w:before="10" w:after="10"/>
              <w:jc w:val="center"/>
              <w:rPr>
                <w:b/>
                <w:color w:val="0070C0"/>
                <w:sz w:val="16"/>
                <w:szCs w:val="16"/>
              </w:rPr>
            </w:pPr>
            <w:r w:rsidRPr="0049035A">
              <w:rPr>
                <w:b/>
                <w:color w:val="0070C0"/>
                <w:sz w:val="16"/>
                <w:szCs w:val="16"/>
              </w:rPr>
              <w:t>Method described in Appendix 1A</w:t>
            </w:r>
            <w:r w:rsidRPr="0049035A">
              <w:rPr>
                <w:b/>
                <w:color w:val="0070C0"/>
                <w:sz w:val="16"/>
                <w:szCs w:val="16"/>
                <w:vertAlign w:val="superscript"/>
              </w:rPr>
              <w:t>a</w:t>
            </w:r>
          </w:p>
          <w:p w14:paraId="26124F14" w14:textId="77777777" w:rsidR="00396C56" w:rsidRPr="0049035A" w:rsidRDefault="00396C56" w:rsidP="00A7584D">
            <w:pPr>
              <w:spacing w:before="10" w:after="10"/>
              <w:jc w:val="center"/>
              <w:rPr>
                <w:b/>
                <w:color w:val="0070C0"/>
                <w:sz w:val="16"/>
                <w:szCs w:val="16"/>
              </w:rPr>
            </w:pPr>
          </w:p>
          <w:p w14:paraId="277072C8" w14:textId="77777777" w:rsidR="00396C56" w:rsidRPr="0049035A" w:rsidRDefault="00396C56" w:rsidP="00A7584D">
            <w:pPr>
              <w:spacing w:before="10" w:after="10"/>
              <w:jc w:val="center"/>
              <w:rPr>
                <w:b/>
                <w:color w:val="0070C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FF02532" w14:textId="77777777" w:rsidR="00396C56" w:rsidRPr="0049035A" w:rsidRDefault="00396C56" w:rsidP="00A7584D">
            <w:pPr>
              <w:spacing w:before="10" w:after="10"/>
              <w:jc w:val="center"/>
              <w:rPr>
                <w:b/>
                <w:color w:val="0070C0"/>
                <w:sz w:val="16"/>
                <w:szCs w:val="16"/>
              </w:rPr>
            </w:pPr>
            <w:r w:rsidRPr="0049035A">
              <w:rPr>
                <w:b/>
                <w:color w:val="0070C0"/>
                <w:sz w:val="16"/>
                <w:szCs w:val="16"/>
              </w:rPr>
              <w:t>Method described in Appendix 1B</w:t>
            </w:r>
          </w:p>
          <w:p w14:paraId="5ACFAE07" w14:textId="77777777" w:rsidR="00396C56" w:rsidRPr="0049035A" w:rsidRDefault="00396C56" w:rsidP="00A7584D">
            <w:pPr>
              <w:spacing w:before="10" w:after="10"/>
              <w:jc w:val="center"/>
              <w:rPr>
                <w:b/>
                <w:color w:val="0070C0"/>
                <w:sz w:val="16"/>
                <w:szCs w:val="16"/>
              </w:rPr>
            </w:pPr>
          </w:p>
          <w:p w14:paraId="6C542B97" w14:textId="77777777" w:rsidR="00396C56" w:rsidRPr="0049035A" w:rsidRDefault="00396C56" w:rsidP="00A7584D">
            <w:pPr>
              <w:spacing w:before="10" w:after="10"/>
              <w:jc w:val="center"/>
              <w:rPr>
                <w:b/>
                <w:color w:val="0070C0"/>
                <w:sz w:val="16"/>
                <w:szCs w:val="16"/>
              </w:rPr>
            </w:pPr>
            <w:proofErr w:type="spellStart"/>
            <w:r w:rsidRPr="0049035A">
              <w:rPr>
                <w:b/>
                <w:color w:val="0070C0"/>
                <w:sz w:val="16"/>
                <w:szCs w:val="16"/>
              </w:rPr>
              <w:t>Lusens</w:t>
            </w:r>
            <w:proofErr w:type="spellEnd"/>
            <w:r w:rsidRPr="0049035A">
              <w:rPr>
                <w:b/>
                <w:bCs/>
                <w:color w:val="0070C0"/>
                <w:sz w:val="14"/>
                <w:szCs w:val="14"/>
                <w:vertAlign w:val="superscript"/>
              </w:rPr>
              <w:t xml:space="preserve"> a</w:t>
            </w:r>
          </w:p>
          <w:p w14:paraId="74193304" w14:textId="77777777" w:rsidR="00396C56" w:rsidRPr="0049035A" w:rsidRDefault="00396C56" w:rsidP="00A7584D">
            <w:pPr>
              <w:spacing w:before="10" w:after="10"/>
              <w:jc w:val="center"/>
              <w:rPr>
                <w:b/>
                <w:color w:val="0070C0"/>
                <w:sz w:val="16"/>
                <w:szCs w:val="16"/>
              </w:rPr>
            </w:pPr>
          </w:p>
          <w:p w14:paraId="05C727B4" w14:textId="77777777" w:rsidR="00396C56" w:rsidRPr="0049035A" w:rsidRDefault="00396C56" w:rsidP="00A7584D">
            <w:pPr>
              <w:spacing w:before="10" w:after="10"/>
              <w:jc w:val="center"/>
              <w:rPr>
                <w:b/>
                <w:color w:val="0070C0"/>
                <w:sz w:val="16"/>
                <w:szCs w:val="16"/>
              </w:rPr>
            </w:pPr>
          </w:p>
        </w:tc>
        <w:tc>
          <w:tcPr>
            <w:tcW w:w="1652" w:type="dxa"/>
            <w:tcBorders>
              <w:top w:val="single" w:sz="4" w:space="0" w:color="auto"/>
              <w:left w:val="single" w:sz="4" w:space="0" w:color="auto"/>
              <w:bottom w:val="single" w:sz="4" w:space="0" w:color="auto"/>
              <w:right w:val="single" w:sz="4" w:space="0" w:color="auto"/>
            </w:tcBorders>
          </w:tcPr>
          <w:p w14:paraId="444AD29F" w14:textId="77777777" w:rsidR="00396C56" w:rsidRPr="0049035A" w:rsidRDefault="00396C56" w:rsidP="00A7584D">
            <w:pPr>
              <w:spacing w:before="10" w:after="10"/>
              <w:jc w:val="center"/>
              <w:rPr>
                <w:b/>
                <w:color w:val="0070C0"/>
                <w:sz w:val="16"/>
                <w:szCs w:val="16"/>
              </w:rPr>
            </w:pPr>
            <w:r w:rsidRPr="0049035A">
              <w:rPr>
                <w:b/>
                <w:color w:val="0070C0"/>
                <w:sz w:val="16"/>
                <w:szCs w:val="16"/>
              </w:rPr>
              <w:t>Method described in Annex I</w:t>
            </w:r>
          </w:p>
          <w:p w14:paraId="057EFA61" w14:textId="77777777" w:rsidR="00396C56" w:rsidRPr="0049035A" w:rsidRDefault="00396C56" w:rsidP="00A7584D">
            <w:pPr>
              <w:spacing w:before="10" w:after="10"/>
              <w:jc w:val="center"/>
              <w:rPr>
                <w:b/>
                <w:color w:val="0070C0"/>
                <w:sz w:val="16"/>
                <w:szCs w:val="16"/>
              </w:rPr>
            </w:pPr>
          </w:p>
          <w:p w14:paraId="7357FBD4" w14:textId="77777777" w:rsidR="00396C56" w:rsidRPr="0049035A" w:rsidRDefault="00396C56" w:rsidP="00A7584D">
            <w:pPr>
              <w:spacing w:before="10" w:after="10"/>
              <w:jc w:val="center"/>
              <w:rPr>
                <w:b/>
                <w:color w:val="0070C0"/>
                <w:sz w:val="16"/>
                <w:szCs w:val="16"/>
              </w:rPr>
            </w:pPr>
            <w:r w:rsidRPr="0049035A">
              <w:rPr>
                <w:b/>
                <w:color w:val="0070C0"/>
                <w:sz w:val="16"/>
                <w:szCs w:val="16"/>
              </w:rPr>
              <w:t xml:space="preserve">human Cell Line Activation Assay </w:t>
            </w:r>
          </w:p>
          <w:p w14:paraId="1164F4BF" w14:textId="77777777" w:rsidR="00396C56" w:rsidRPr="0049035A" w:rsidRDefault="00396C56" w:rsidP="00A7584D">
            <w:pPr>
              <w:spacing w:before="10" w:after="10"/>
              <w:jc w:val="center"/>
              <w:rPr>
                <w:b/>
                <w:color w:val="0070C0"/>
                <w:sz w:val="16"/>
                <w:szCs w:val="16"/>
              </w:rPr>
            </w:pPr>
            <w:r w:rsidRPr="0049035A">
              <w:rPr>
                <w:b/>
                <w:color w:val="0070C0"/>
                <w:sz w:val="16"/>
                <w:szCs w:val="16"/>
              </w:rPr>
              <w:t>(h-CLAT)</w:t>
            </w:r>
            <w:r w:rsidRPr="0049035A">
              <w:rPr>
                <w:b/>
                <w:bCs/>
                <w:color w:val="0070C0"/>
                <w:sz w:val="14"/>
                <w:szCs w:val="14"/>
                <w:vertAlign w:val="superscript"/>
              </w:rPr>
              <w:t xml:space="preserve"> a</w:t>
            </w:r>
          </w:p>
        </w:tc>
        <w:tc>
          <w:tcPr>
            <w:tcW w:w="1559" w:type="dxa"/>
            <w:tcBorders>
              <w:top w:val="single" w:sz="4" w:space="0" w:color="auto"/>
              <w:left w:val="single" w:sz="4" w:space="0" w:color="auto"/>
              <w:bottom w:val="single" w:sz="4" w:space="0" w:color="auto"/>
              <w:right w:val="single" w:sz="4" w:space="0" w:color="auto"/>
            </w:tcBorders>
          </w:tcPr>
          <w:p w14:paraId="690DF942" w14:textId="77777777" w:rsidR="00396C56" w:rsidRPr="0049035A" w:rsidRDefault="00396C56" w:rsidP="00A7584D">
            <w:pPr>
              <w:spacing w:before="10" w:after="10"/>
              <w:jc w:val="center"/>
              <w:rPr>
                <w:b/>
                <w:color w:val="0070C0"/>
                <w:sz w:val="16"/>
                <w:szCs w:val="16"/>
              </w:rPr>
            </w:pPr>
            <w:r w:rsidRPr="0049035A">
              <w:rPr>
                <w:b/>
                <w:color w:val="0070C0"/>
                <w:sz w:val="16"/>
                <w:szCs w:val="16"/>
              </w:rPr>
              <w:t>Method described in Annex II</w:t>
            </w:r>
          </w:p>
          <w:p w14:paraId="582049D1" w14:textId="77777777" w:rsidR="00396C56" w:rsidRPr="0049035A" w:rsidRDefault="00396C56" w:rsidP="00A7584D">
            <w:pPr>
              <w:spacing w:before="10" w:after="10"/>
              <w:jc w:val="center"/>
              <w:rPr>
                <w:b/>
                <w:color w:val="0070C0"/>
                <w:sz w:val="16"/>
                <w:szCs w:val="16"/>
              </w:rPr>
            </w:pPr>
          </w:p>
          <w:p w14:paraId="69BCC5E4" w14:textId="77777777" w:rsidR="00396C56" w:rsidRPr="0049035A" w:rsidRDefault="00396C56" w:rsidP="00A7584D">
            <w:pPr>
              <w:spacing w:before="10" w:after="10"/>
              <w:jc w:val="center"/>
              <w:rPr>
                <w:b/>
                <w:color w:val="0070C0"/>
                <w:sz w:val="16"/>
                <w:szCs w:val="16"/>
              </w:rPr>
            </w:pPr>
            <w:r w:rsidRPr="0049035A">
              <w:rPr>
                <w:b/>
                <w:color w:val="0070C0"/>
                <w:sz w:val="16"/>
                <w:szCs w:val="16"/>
              </w:rPr>
              <w:t>U937 Cell Line Activation Test</w:t>
            </w:r>
            <w:r w:rsidRPr="0049035A">
              <w:rPr>
                <w:b/>
                <w:bCs/>
                <w:color w:val="0070C0"/>
                <w:sz w:val="14"/>
                <w:szCs w:val="14"/>
                <w:vertAlign w:val="superscript"/>
              </w:rPr>
              <w:t xml:space="preserve"> a</w:t>
            </w:r>
            <w:r w:rsidRPr="0049035A">
              <w:rPr>
                <w:b/>
                <w:color w:val="0070C0"/>
                <w:sz w:val="16"/>
                <w:szCs w:val="16"/>
              </w:rPr>
              <w:t xml:space="preserve"> </w:t>
            </w:r>
          </w:p>
          <w:p w14:paraId="0A00BC69" w14:textId="77777777" w:rsidR="00396C56" w:rsidRPr="0049035A" w:rsidRDefault="00396C56" w:rsidP="00A7584D">
            <w:pPr>
              <w:spacing w:before="10" w:after="10"/>
              <w:jc w:val="center"/>
              <w:rPr>
                <w:b/>
                <w:color w:val="0070C0"/>
                <w:sz w:val="16"/>
                <w:szCs w:val="16"/>
              </w:rPr>
            </w:pPr>
          </w:p>
        </w:tc>
        <w:tc>
          <w:tcPr>
            <w:tcW w:w="1338" w:type="dxa"/>
            <w:tcBorders>
              <w:top w:val="single" w:sz="4" w:space="0" w:color="auto"/>
              <w:left w:val="single" w:sz="4" w:space="0" w:color="auto"/>
              <w:bottom w:val="single" w:sz="4" w:space="0" w:color="auto"/>
              <w:right w:val="single" w:sz="4" w:space="0" w:color="auto"/>
            </w:tcBorders>
          </w:tcPr>
          <w:p w14:paraId="5948AFEE" w14:textId="77777777" w:rsidR="00396C56" w:rsidRPr="0049035A" w:rsidRDefault="00396C56" w:rsidP="00A7584D">
            <w:pPr>
              <w:spacing w:before="10" w:after="10"/>
              <w:jc w:val="center"/>
              <w:rPr>
                <w:b/>
                <w:color w:val="0070C0"/>
                <w:sz w:val="16"/>
                <w:szCs w:val="16"/>
              </w:rPr>
            </w:pPr>
            <w:r w:rsidRPr="0049035A">
              <w:rPr>
                <w:b/>
                <w:color w:val="0070C0"/>
                <w:sz w:val="16"/>
                <w:szCs w:val="16"/>
              </w:rPr>
              <w:t>Method described in Annex III</w:t>
            </w:r>
          </w:p>
          <w:p w14:paraId="5492289C" w14:textId="77777777" w:rsidR="00396C56" w:rsidRPr="0049035A" w:rsidRDefault="00396C56" w:rsidP="00A7584D">
            <w:pPr>
              <w:spacing w:before="10" w:after="10"/>
              <w:jc w:val="center"/>
              <w:rPr>
                <w:b/>
                <w:color w:val="0070C0"/>
                <w:sz w:val="16"/>
                <w:szCs w:val="16"/>
              </w:rPr>
            </w:pPr>
          </w:p>
          <w:p w14:paraId="062CB8C6" w14:textId="77777777" w:rsidR="00396C56" w:rsidRPr="0049035A" w:rsidRDefault="00396C56" w:rsidP="00A7584D">
            <w:pPr>
              <w:spacing w:before="10" w:after="10"/>
              <w:jc w:val="center"/>
              <w:rPr>
                <w:b/>
                <w:bCs/>
                <w:color w:val="0070C0"/>
                <w:sz w:val="16"/>
                <w:szCs w:val="16"/>
              </w:rPr>
            </w:pPr>
            <w:r w:rsidRPr="0049035A">
              <w:rPr>
                <w:b/>
                <w:bCs/>
                <w:color w:val="0070C0"/>
                <w:sz w:val="16"/>
                <w:szCs w:val="16"/>
              </w:rPr>
              <w:t xml:space="preserve">Interleukin-8 luciferase </w:t>
            </w:r>
          </w:p>
          <w:p w14:paraId="7CB93E12" w14:textId="77777777" w:rsidR="00396C56" w:rsidRPr="0049035A" w:rsidRDefault="00396C56" w:rsidP="00A7584D">
            <w:pPr>
              <w:spacing w:before="10" w:after="10"/>
              <w:jc w:val="center"/>
              <w:rPr>
                <w:b/>
                <w:color w:val="0070C0"/>
                <w:sz w:val="16"/>
                <w:szCs w:val="16"/>
              </w:rPr>
            </w:pPr>
            <w:r w:rsidRPr="0049035A">
              <w:rPr>
                <w:b/>
                <w:color w:val="0070C0"/>
                <w:sz w:val="16"/>
                <w:szCs w:val="16"/>
              </w:rPr>
              <w:t xml:space="preserve">(IL-8 Luc) assay </w:t>
            </w:r>
            <w:r w:rsidRPr="0049035A">
              <w:rPr>
                <w:b/>
                <w:color w:val="0070C0"/>
                <w:sz w:val="16"/>
                <w:szCs w:val="16"/>
                <w:vertAlign w:val="superscript"/>
              </w:rPr>
              <w:t>a</w:t>
            </w:r>
          </w:p>
        </w:tc>
        <w:tc>
          <w:tcPr>
            <w:tcW w:w="864" w:type="dxa"/>
            <w:tcBorders>
              <w:top w:val="single" w:sz="4" w:space="0" w:color="auto"/>
              <w:left w:val="single" w:sz="4" w:space="0" w:color="auto"/>
              <w:bottom w:val="single" w:sz="4" w:space="0" w:color="auto"/>
              <w:right w:val="single" w:sz="4" w:space="0" w:color="auto"/>
            </w:tcBorders>
          </w:tcPr>
          <w:p w14:paraId="698F36F1" w14:textId="77777777" w:rsidR="00396C56" w:rsidRPr="0049035A" w:rsidRDefault="00396C56" w:rsidP="00A7584D">
            <w:pPr>
              <w:spacing w:before="10" w:after="10"/>
              <w:jc w:val="center"/>
              <w:rPr>
                <w:b/>
                <w:color w:val="0070C0"/>
                <w:sz w:val="16"/>
                <w:szCs w:val="16"/>
              </w:rPr>
            </w:pPr>
            <w:r w:rsidRPr="0049035A">
              <w:rPr>
                <w:b/>
                <w:color w:val="0070C0"/>
                <w:sz w:val="16"/>
                <w:szCs w:val="16"/>
              </w:rPr>
              <w:t xml:space="preserve">Method described in Annex IV </w:t>
            </w:r>
            <w:r w:rsidRPr="0049035A">
              <w:rPr>
                <w:b/>
                <w:color w:val="0070C0"/>
                <w:sz w:val="16"/>
                <w:szCs w:val="16"/>
                <w:vertAlign w:val="superscript"/>
              </w:rPr>
              <w:t xml:space="preserve">a </w:t>
            </w:r>
          </w:p>
          <w:p w14:paraId="363BA5E0" w14:textId="77777777" w:rsidR="00396C56" w:rsidRPr="0049035A" w:rsidRDefault="00396C56" w:rsidP="00A7584D">
            <w:pPr>
              <w:spacing w:before="10" w:after="10"/>
              <w:jc w:val="center"/>
              <w:rPr>
                <w:b/>
                <w:color w:val="0070C0"/>
                <w:sz w:val="16"/>
                <w:szCs w:val="16"/>
              </w:rPr>
            </w:pPr>
          </w:p>
          <w:p w14:paraId="2957528D" w14:textId="77777777" w:rsidR="00396C56" w:rsidRPr="0049035A" w:rsidRDefault="00396C56" w:rsidP="00A7584D">
            <w:pPr>
              <w:spacing w:before="10" w:after="10"/>
              <w:jc w:val="center"/>
              <w:rPr>
                <w:b/>
                <w:color w:val="0070C0"/>
                <w:sz w:val="16"/>
                <w:szCs w:val="16"/>
              </w:rPr>
            </w:pPr>
          </w:p>
        </w:tc>
      </w:tr>
      <w:tr w:rsidR="00396C56" w:rsidRPr="0049035A" w14:paraId="521FBB2E" w14:textId="77777777" w:rsidTr="008A2B38">
        <w:trPr>
          <w:trHeight w:val="2076"/>
          <w:jc w:val="center"/>
        </w:trPr>
        <w:tc>
          <w:tcPr>
            <w:tcW w:w="801" w:type="dxa"/>
            <w:vMerge/>
            <w:tcBorders>
              <w:top w:val="single" w:sz="4" w:space="0" w:color="auto"/>
              <w:left w:val="single" w:sz="4" w:space="0" w:color="auto"/>
              <w:bottom w:val="single" w:sz="4" w:space="0" w:color="auto"/>
              <w:right w:val="single" w:sz="4" w:space="0" w:color="auto"/>
            </w:tcBorders>
            <w:vAlign w:val="center"/>
            <w:hideMark/>
          </w:tcPr>
          <w:p w14:paraId="190E332A" w14:textId="77777777" w:rsidR="00396C56" w:rsidRPr="0049035A" w:rsidRDefault="00396C56" w:rsidP="007F4632">
            <w:pPr>
              <w:rPr>
                <w:color w:val="0070C0"/>
                <w:sz w:val="16"/>
                <w:szCs w:val="16"/>
              </w:rPr>
            </w:pPr>
          </w:p>
        </w:tc>
        <w:tc>
          <w:tcPr>
            <w:tcW w:w="4032"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0CD9684" w14:textId="77777777" w:rsidR="00396C56" w:rsidRPr="0049035A" w:rsidRDefault="00396C56" w:rsidP="00A7584D">
            <w:pPr>
              <w:spacing w:before="10" w:after="10" w:line="220" w:lineRule="atLeast"/>
              <w:rPr>
                <w:color w:val="0070C0"/>
                <w:sz w:val="16"/>
                <w:szCs w:val="16"/>
              </w:rPr>
            </w:pPr>
            <w:r w:rsidRPr="0049035A">
              <w:rPr>
                <w:color w:val="0070C0"/>
                <w:sz w:val="16"/>
                <w:szCs w:val="16"/>
              </w:rPr>
              <w:t xml:space="preserve">Methods: in </w:t>
            </w:r>
            <w:proofErr w:type="spellStart"/>
            <w:r w:rsidRPr="0049035A">
              <w:rPr>
                <w:color w:val="0070C0"/>
                <w:sz w:val="16"/>
                <w:szCs w:val="16"/>
              </w:rPr>
              <w:t>chemico</w:t>
            </w:r>
            <w:proofErr w:type="spellEnd"/>
            <w:r w:rsidRPr="0049035A">
              <w:rPr>
                <w:color w:val="0070C0"/>
                <w:sz w:val="16"/>
                <w:szCs w:val="16"/>
              </w:rPr>
              <w:t xml:space="preserve"> methods addressing the process of </w:t>
            </w:r>
            <w:proofErr w:type="spellStart"/>
            <w:r w:rsidRPr="0049035A">
              <w:rPr>
                <w:color w:val="0070C0"/>
                <w:sz w:val="16"/>
                <w:szCs w:val="16"/>
              </w:rPr>
              <w:t>haptenation</w:t>
            </w:r>
            <w:proofErr w:type="spellEnd"/>
            <w:r w:rsidRPr="0049035A">
              <w:rPr>
                <w:color w:val="0070C0"/>
                <w:sz w:val="16"/>
                <w:szCs w:val="16"/>
              </w:rPr>
              <w:t xml:space="preserve"> by quantifying the reactivity of test chemicals towards model synthetic peptides containing either lysine or cysteine (DPRA and </w:t>
            </w:r>
            <w:proofErr w:type="spellStart"/>
            <w:r w:rsidRPr="0049035A">
              <w:rPr>
                <w:color w:val="0070C0"/>
                <w:sz w:val="16"/>
                <w:szCs w:val="16"/>
              </w:rPr>
              <w:t>kDPRA</w:t>
            </w:r>
            <w:proofErr w:type="spellEnd"/>
            <w:r w:rsidRPr="0049035A">
              <w:rPr>
                <w:color w:val="0070C0"/>
                <w:sz w:val="16"/>
                <w:szCs w:val="16"/>
              </w:rPr>
              <w:t xml:space="preserve">) or towards model synthetic amino acid derivatives containing either N-(2-(1-naphthyl) acetyl)-L-cysteine (NAC) or </w:t>
            </w:r>
            <w:r w:rsidRPr="0049035A">
              <w:rPr>
                <w:color w:val="0070C0"/>
                <w:sz w:val="16"/>
                <w:szCs w:val="16"/>
                <w:lang w:val="nl-NL"/>
              </w:rPr>
              <w:t>α</w:t>
            </w:r>
            <w:r w:rsidRPr="0049035A">
              <w:rPr>
                <w:color w:val="0070C0"/>
                <w:sz w:val="16"/>
                <w:szCs w:val="16"/>
              </w:rPr>
              <w:t xml:space="preserve">-N-(2-(1-naphthyl) acetyl)-L-lysine (NAL) (ADRA). </w:t>
            </w:r>
          </w:p>
          <w:p w14:paraId="73CF00FD" w14:textId="3D95758F" w:rsidR="00396C56" w:rsidRPr="0049035A" w:rsidRDefault="00396C56" w:rsidP="00A7584D">
            <w:pPr>
              <w:spacing w:before="10" w:after="10" w:line="220" w:lineRule="atLeast"/>
              <w:rPr>
                <w:color w:val="0070C0"/>
                <w:sz w:val="16"/>
                <w:szCs w:val="16"/>
              </w:rPr>
            </w:pPr>
            <w:r w:rsidRPr="0049035A">
              <w:rPr>
                <w:color w:val="0070C0"/>
                <w:sz w:val="16"/>
                <w:szCs w:val="16"/>
              </w:rPr>
              <w:t>The criteria are based on the mean of cysteine and lysine peptides percent depletion (DPRA), kinetic</w:t>
            </w:r>
            <w:r w:rsidRPr="0049035A">
              <w:rPr>
                <w:rFonts w:asciiTheme="minorHAnsi" w:eastAsiaTheme="minorHAnsi" w:hAnsiTheme="minorHAnsi" w:cstheme="minorBidi"/>
                <w:b/>
                <w:color w:val="0070C0"/>
                <w:szCs w:val="22"/>
              </w:rPr>
              <w:t xml:space="preserve"> </w:t>
            </w:r>
            <w:r w:rsidRPr="0049035A">
              <w:rPr>
                <w:bCs/>
                <w:color w:val="0070C0"/>
                <w:sz w:val="16"/>
                <w:szCs w:val="16"/>
              </w:rPr>
              <w:t>rates of cysteine</w:t>
            </w:r>
            <w:r w:rsidRPr="0049035A">
              <w:rPr>
                <w:color w:val="0070C0"/>
                <w:sz w:val="16"/>
                <w:szCs w:val="16"/>
              </w:rPr>
              <w:t xml:space="preserve"> depletion (</w:t>
            </w:r>
            <w:proofErr w:type="spellStart"/>
            <w:r w:rsidRPr="0049035A">
              <w:rPr>
                <w:color w:val="0070C0"/>
                <w:sz w:val="16"/>
                <w:szCs w:val="16"/>
              </w:rPr>
              <w:t>kDPRA</w:t>
            </w:r>
            <w:proofErr w:type="spellEnd"/>
            <w:r w:rsidRPr="0049035A">
              <w:rPr>
                <w:color w:val="0070C0"/>
                <w:sz w:val="16"/>
                <w:szCs w:val="16"/>
              </w:rPr>
              <w:t>) and mean NAC and NAL percent depletion value (ADRA). Predictions models based on the cysteine or NAC percent depletion value alone in case the unreacted lysine peptide or NAL cannot be reliably measured can be applied for the DPRA and ADRA.</w:t>
            </w:r>
          </w:p>
        </w:tc>
        <w:tc>
          <w:tcPr>
            <w:tcW w:w="3531" w:type="dxa"/>
            <w:gridSpan w:val="2"/>
            <w:tcBorders>
              <w:top w:val="single" w:sz="4" w:space="0" w:color="auto"/>
              <w:left w:val="single" w:sz="4" w:space="0" w:color="auto"/>
              <w:bottom w:val="single" w:sz="4" w:space="0" w:color="auto"/>
              <w:right w:val="single" w:sz="4" w:space="0" w:color="auto"/>
            </w:tcBorders>
          </w:tcPr>
          <w:p w14:paraId="6765E5C4" w14:textId="77777777" w:rsidR="00396C56" w:rsidRPr="0049035A" w:rsidRDefault="00396C56" w:rsidP="00A7584D">
            <w:pPr>
              <w:spacing w:before="10" w:after="10" w:line="220" w:lineRule="atLeast"/>
              <w:ind w:left="144"/>
              <w:rPr>
                <w:color w:val="0070C0"/>
                <w:sz w:val="16"/>
                <w:szCs w:val="16"/>
              </w:rPr>
            </w:pPr>
            <w:r w:rsidRPr="0049035A">
              <w:rPr>
                <w:color w:val="0070C0"/>
                <w:sz w:val="16"/>
                <w:szCs w:val="16"/>
              </w:rPr>
              <w:t>Methods: cell-based methods addressing the process of keratinocytes activation, by assessing with the help of luciferase, the Nrf2-mediated activation of antioxidant response element (ARE)-dependent genes following exposure of the cells to the test chemical.</w:t>
            </w:r>
          </w:p>
          <w:p w14:paraId="4B2C73C8" w14:textId="77777777" w:rsidR="00396C56" w:rsidRPr="0049035A" w:rsidRDefault="00396C56" w:rsidP="00A7584D">
            <w:pPr>
              <w:spacing w:before="10" w:after="10" w:line="220" w:lineRule="atLeast"/>
              <w:ind w:left="144"/>
              <w:rPr>
                <w:color w:val="0070C0"/>
                <w:sz w:val="16"/>
                <w:szCs w:val="16"/>
              </w:rPr>
            </w:pPr>
            <w:r w:rsidRPr="0049035A">
              <w:rPr>
                <w:color w:val="0070C0"/>
                <w:sz w:val="16"/>
                <w:szCs w:val="16"/>
              </w:rPr>
              <w:t xml:space="preserve">Cell viability is quantitatively measured in parallel by enzymatic conversion of the dye 3-(4,5-Dimethylthiazol-2-yl)-2,5-diphenyltetrazolium bromide (MTT). </w:t>
            </w:r>
          </w:p>
          <w:p w14:paraId="0362A8DC" w14:textId="77777777" w:rsidR="00396C56" w:rsidRPr="0049035A" w:rsidRDefault="00396C56" w:rsidP="00A7584D">
            <w:pPr>
              <w:spacing w:before="10" w:after="10" w:line="220" w:lineRule="atLeast"/>
              <w:ind w:left="144"/>
              <w:rPr>
                <w:color w:val="0070C0"/>
                <w:sz w:val="16"/>
                <w:szCs w:val="16"/>
              </w:rPr>
            </w:pPr>
            <w:r w:rsidRPr="0049035A">
              <w:rPr>
                <w:color w:val="0070C0"/>
                <w:sz w:val="16"/>
                <w:szCs w:val="16"/>
              </w:rPr>
              <w:t>The criteria are based on the induction of the luciferase gene above a given threshold, quantified at subtoxic concentrations. Criteria should be met in 2 of 2 or in 2 of 3 repetitions.</w:t>
            </w:r>
          </w:p>
        </w:tc>
        <w:tc>
          <w:tcPr>
            <w:tcW w:w="5413" w:type="dxa"/>
            <w:gridSpan w:val="4"/>
            <w:tcBorders>
              <w:top w:val="single" w:sz="4" w:space="0" w:color="auto"/>
              <w:left w:val="single" w:sz="4" w:space="0" w:color="auto"/>
              <w:bottom w:val="single" w:sz="4" w:space="0" w:color="auto"/>
              <w:right w:val="single" w:sz="4" w:space="0" w:color="auto"/>
            </w:tcBorders>
          </w:tcPr>
          <w:p w14:paraId="7AF4B44B" w14:textId="77777777" w:rsidR="00396C56" w:rsidRPr="0049035A" w:rsidRDefault="00396C56" w:rsidP="00A7584D">
            <w:pPr>
              <w:spacing w:before="10" w:after="10" w:line="220" w:lineRule="atLeast"/>
              <w:ind w:left="144"/>
              <w:rPr>
                <w:color w:val="0070C0"/>
                <w:sz w:val="16"/>
                <w:szCs w:val="16"/>
              </w:rPr>
            </w:pPr>
            <w:r w:rsidRPr="0049035A">
              <w:rPr>
                <w:color w:val="0070C0"/>
                <w:sz w:val="16"/>
                <w:szCs w:val="16"/>
              </w:rPr>
              <w:t>Methods: cell-based methods addressing the process of monocytes/dendritic cell activation by either quantifying the change in the expression of cell surface marker(s) (</w:t>
            </w:r>
            <w:proofErr w:type="gramStart"/>
            <w:r w:rsidRPr="0049035A">
              <w:rPr>
                <w:color w:val="0070C0"/>
                <w:sz w:val="16"/>
                <w:szCs w:val="16"/>
              </w:rPr>
              <w:t>e.g.</w:t>
            </w:r>
            <w:proofErr w:type="gramEnd"/>
            <w:r w:rsidRPr="0049035A">
              <w:rPr>
                <w:color w:val="0070C0"/>
                <w:sz w:val="16"/>
                <w:szCs w:val="16"/>
              </w:rPr>
              <w:t xml:space="preserve"> cluster of differentiation 54 (CD54), cluster of differentiation 86 (CD86)) or the change in IL-8 expression or the transcriptional patterns of an endpoint-specific genomic biomarker signature following exposure of the cells to the test chemical.</w:t>
            </w:r>
          </w:p>
          <w:p w14:paraId="18B5A02D" w14:textId="77777777" w:rsidR="00396C56" w:rsidRPr="0049035A" w:rsidRDefault="00396C56" w:rsidP="00A7584D">
            <w:pPr>
              <w:spacing w:before="10" w:after="10" w:line="220" w:lineRule="atLeast"/>
              <w:ind w:left="144"/>
              <w:rPr>
                <w:color w:val="0070C0"/>
                <w:sz w:val="16"/>
                <w:szCs w:val="16"/>
              </w:rPr>
            </w:pPr>
          </w:p>
          <w:p w14:paraId="0ACEACCD" w14:textId="77777777" w:rsidR="00396C56" w:rsidRPr="0049035A" w:rsidRDefault="00396C56" w:rsidP="00A7584D">
            <w:pPr>
              <w:spacing w:before="10" w:after="10" w:line="220" w:lineRule="atLeast"/>
              <w:ind w:left="144"/>
              <w:rPr>
                <w:color w:val="0070C0"/>
                <w:sz w:val="16"/>
                <w:szCs w:val="16"/>
              </w:rPr>
            </w:pPr>
            <w:r w:rsidRPr="0049035A">
              <w:rPr>
                <w:color w:val="0070C0"/>
                <w:sz w:val="16"/>
                <w:szCs w:val="16"/>
              </w:rPr>
              <w:t>Criteria should be met in 2 of 2 or in at least 2 of 3 repetitions for test methods described in Annexes I, II and III or in three valid biological replicates for test method described in Annex IV.</w:t>
            </w:r>
          </w:p>
          <w:p w14:paraId="35C7EEC5" w14:textId="77777777" w:rsidR="00396C56" w:rsidRPr="0049035A" w:rsidRDefault="00396C56" w:rsidP="00A7584D">
            <w:pPr>
              <w:spacing w:before="10" w:after="10" w:line="220" w:lineRule="atLeast"/>
              <w:ind w:left="144"/>
              <w:rPr>
                <w:color w:val="0070C0"/>
                <w:sz w:val="16"/>
                <w:szCs w:val="16"/>
              </w:rPr>
            </w:pPr>
          </w:p>
        </w:tc>
      </w:tr>
      <w:tr w:rsidR="00396C56" w:rsidRPr="0004193A" w14:paraId="4D49B2E6" w14:textId="77777777" w:rsidTr="008A2B38">
        <w:trPr>
          <w:trHeight w:val="1454"/>
          <w:jc w:val="center"/>
        </w:trPr>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65CB5B8" w14:textId="77777777" w:rsidR="00396C56" w:rsidRPr="0004193A" w:rsidRDefault="00396C56" w:rsidP="0081680A">
            <w:pPr>
              <w:spacing w:before="10" w:after="10" w:line="220" w:lineRule="atLeast"/>
              <w:jc w:val="center"/>
              <w:rPr>
                <w:b/>
                <w:bCs/>
                <w:color w:val="3366CC"/>
                <w:sz w:val="16"/>
                <w:szCs w:val="16"/>
              </w:rPr>
            </w:pPr>
            <w:r w:rsidRPr="0004193A">
              <w:rPr>
                <w:b/>
                <w:bCs/>
                <w:color w:val="3366CC"/>
                <w:sz w:val="16"/>
                <w:szCs w:val="16"/>
              </w:rPr>
              <w:t>1</w:t>
            </w:r>
          </w:p>
        </w:tc>
        <w:tc>
          <w:tcPr>
            <w:tcW w:w="14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DB41DCC" w14:textId="77777777" w:rsidR="00396C56" w:rsidRPr="0004193A" w:rsidRDefault="00396C56" w:rsidP="00C2479A">
            <w:pPr>
              <w:spacing w:before="10" w:after="10" w:line="220" w:lineRule="atLeast"/>
              <w:ind w:right="-17"/>
              <w:rPr>
                <w:color w:val="3366CC"/>
                <w:sz w:val="16"/>
                <w:szCs w:val="16"/>
              </w:rPr>
            </w:pPr>
            <w:r w:rsidRPr="0004193A">
              <w:rPr>
                <w:color w:val="3366CC"/>
                <w:sz w:val="16"/>
                <w:szCs w:val="16"/>
              </w:rPr>
              <w:t xml:space="preserve">The mean cysteine/lysine % depletion &gt; 6.38% Or </w:t>
            </w:r>
          </w:p>
          <w:p w14:paraId="11E7FFAB" w14:textId="1E397CA4" w:rsidR="00396C56" w:rsidRPr="0004193A" w:rsidRDefault="00396C56" w:rsidP="00C2479A">
            <w:pPr>
              <w:spacing w:before="10" w:after="10" w:line="220" w:lineRule="atLeast"/>
              <w:ind w:right="-17"/>
              <w:rPr>
                <w:color w:val="3366CC"/>
                <w:sz w:val="16"/>
                <w:szCs w:val="16"/>
              </w:rPr>
            </w:pPr>
            <w:r w:rsidRPr="0004193A">
              <w:rPr>
                <w:color w:val="3366CC"/>
                <w:sz w:val="16"/>
                <w:szCs w:val="16"/>
              </w:rPr>
              <w:t>the mean cysteine % depletion &gt;13.89%</w:t>
            </w:r>
          </w:p>
          <w:p w14:paraId="0C47ED76" w14:textId="77777777" w:rsidR="00396C56" w:rsidRPr="0004193A" w:rsidRDefault="00396C56" w:rsidP="0081680A">
            <w:pPr>
              <w:tabs>
                <w:tab w:val="left" w:pos="294"/>
              </w:tabs>
              <w:spacing w:before="10" w:after="10" w:line="220" w:lineRule="atLeast"/>
              <w:rPr>
                <w:color w:val="3366CC"/>
                <w:sz w:val="16"/>
                <w:szCs w:val="16"/>
              </w:rPr>
            </w:pPr>
          </w:p>
        </w:tc>
        <w:tc>
          <w:tcPr>
            <w:tcW w:w="1417" w:type="dxa"/>
            <w:gridSpan w:val="2"/>
            <w:tcBorders>
              <w:top w:val="single" w:sz="4" w:space="0" w:color="auto"/>
              <w:left w:val="single" w:sz="4" w:space="0" w:color="auto"/>
              <w:bottom w:val="single" w:sz="4" w:space="0" w:color="auto"/>
              <w:right w:val="single" w:sz="4" w:space="0" w:color="auto"/>
            </w:tcBorders>
          </w:tcPr>
          <w:p w14:paraId="3E6D6D08" w14:textId="77777777" w:rsidR="00396C56" w:rsidRPr="0004193A" w:rsidRDefault="00396C56" w:rsidP="0081680A">
            <w:pPr>
              <w:tabs>
                <w:tab w:val="left" w:pos="294"/>
              </w:tabs>
              <w:spacing w:before="10" w:after="10" w:line="220" w:lineRule="atLeast"/>
              <w:ind w:left="104" w:right="178"/>
              <w:rPr>
                <w:color w:val="3366CC"/>
                <w:sz w:val="16"/>
                <w:szCs w:val="16"/>
              </w:rPr>
            </w:pPr>
            <w:r w:rsidRPr="0004193A">
              <w:rPr>
                <w:color w:val="3366CC"/>
                <w:sz w:val="16"/>
                <w:szCs w:val="16"/>
              </w:rPr>
              <w:t xml:space="preserve">The mean NAC and NAL % depletion ≥ 4.9% </w:t>
            </w:r>
          </w:p>
          <w:p w14:paraId="06FCA958" w14:textId="77777777" w:rsidR="00396C56" w:rsidRPr="0004193A" w:rsidRDefault="00396C56" w:rsidP="0081680A">
            <w:pPr>
              <w:tabs>
                <w:tab w:val="left" w:pos="294"/>
              </w:tabs>
              <w:spacing w:before="10" w:after="10" w:line="220" w:lineRule="atLeast"/>
              <w:ind w:left="104" w:right="178"/>
              <w:rPr>
                <w:color w:val="3366CC"/>
                <w:sz w:val="16"/>
                <w:szCs w:val="16"/>
              </w:rPr>
            </w:pPr>
            <w:r w:rsidRPr="0004193A">
              <w:rPr>
                <w:color w:val="3366CC"/>
                <w:sz w:val="16"/>
                <w:szCs w:val="16"/>
              </w:rPr>
              <w:t>Or</w:t>
            </w:r>
          </w:p>
          <w:p w14:paraId="6A458D97" w14:textId="47D23CBC" w:rsidR="00396C56" w:rsidRPr="0004193A" w:rsidRDefault="00396C56" w:rsidP="0081680A">
            <w:pPr>
              <w:tabs>
                <w:tab w:val="left" w:pos="294"/>
              </w:tabs>
              <w:spacing w:before="10" w:after="10" w:line="220" w:lineRule="atLeast"/>
              <w:ind w:left="104" w:right="178"/>
              <w:rPr>
                <w:color w:val="3366CC"/>
                <w:sz w:val="16"/>
                <w:szCs w:val="16"/>
              </w:rPr>
            </w:pPr>
            <w:r w:rsidRPr="0004193A">
              <w:rPr>
                <w:color w:val="3366CC"/>
                <w:sz w:val="16"/>
                <w:szCs w:val="16"/>
              </w:rPr>
              <w:t>NAC% depletion ≥</w:t>
            </w:r>
            <w:r w:rsidR="0081680A">
              <w:rPr>
                <w:color w:val="3366CC"/>
                <w:sz w:val="16"/>
                <w:szCs w:val="16"/>
              </w:rPr>
              <w:t xml:space="preserve"> </w:t>
            </w:r>
            <w:r w:rsidRPr="0004193A">
              <w:rPr>
                <w:color w:val="3366CC"/>
                <w:sz w:val="16"/>
                <w:szCs w:val="16"/>
              </w:rPr>
              <w:t>5.6%</w:t>
            </w:r>
          </w:p>
        </w:tc>
        <w:tc>
          <w:tcPr>
            <w:tcW w:w="1196" w:type="dxa"/>
            <w:tcBorders>
              <w:top w:val="single" w:sz="4" w:space="0" w:color="auto"/>
              <w:left w:val="single" w:sz="4" w:space="0" w:color="auto"/>
              <w:bottom w:val="single" w:sz="4" w:space="0" w:color="auto"/>
              <w:right w:val="single" w:sz="4" w:space="0" w:color="auto"/>
            </w:tcBorders>
          </w:tcPr>
          <w:p w14:paraId="0955BA11" w14:textId="77777777" w:rsidR="00396C56" w:rsidRPr="0004193A" w:rsidRDefault="00396C56" w:rsidP="0081680A">
            <w:pPr>
              <w:tabs>
                <w:tab w:val="left" w:pos="294"/>
              </w:tabs>
              <w:spacing w:before="10" w:after="10" w:line="220" w:lineRule="atLeast"/>
              <w:rPr>
                <w:color w:val="3366CC"/>
                <w:sz w:val="16"/>
                <w:szCs w:val="16"/>
              </w:rPr>
            </w:pPr>
            <w:r w:rsidRPr="0004193A">
              <w:rPr>
                <w:color w:val="3366CC"/>
                <w:sz w:val="16"/>
                <w:szCs w:val="16"/>
              </w:rPr>
              <w:t>Not applicable</w:t>
            </w:r>
          </w:p>
        </w:tc>
        <w:tc>
          <w:tcPr>
            <w:tcW w:w="2114" w:type="dxa"/>
            <w:tcBorders>
              <w:top w:val="single" w:sz="4" w:space="0" w:color="auto"/>
              <w:left w:val="single" w:sz="4" w:space="0" w:color="auto"/>
              <w:bottom w:val="single" w:sz="4" w:space="0" w:color="auto"/>
              <w:right w:val="single" w:sz="4" w:space="0" w:color="auto"/>
            </w:tcBorders>
          </w:tcPr>
          <w:p w14:paraId="38CFDA58" w14:textId="77777777" w:rsidR="00396C56" w:rsidRPr="0004193A" w:rsidRDefault="00396C56" w:rsidP="0081680A">
            <w:pPr>
              <w:spacing w:before="10" w:after="10" w:line="220" w:lineRule="atLeast"/>
              <w:ind w:left="44" w:right="83"/>
              <w:rPr>
                <w:color w:val="3366CC"/>
                <w:sz w:val="16"/>
                <w:szCs w:val="16"/>
              </w:rPr>
            </w:pPr>
            <w:r w:rsidRPr="0004193A">
              <w:rPr>
                <w:color w:val="3366CC"/>
                <w:sz w:val="16"/>
                <w:szCs w:val="16"/>
              </w:rPr>
              <w:t>The following 4 conditions are all met in 2 of 2 or in the same 2 of 3 repetitions:</w:t>
            </w:r>
          </w:p>
          <w:p w14:paraId="18F83657" w14:textId="77777777" w:rsidR="00396C56" w:rsidRPr="0004193A" w:rsidRDefault="00396C56" w:rsidP="0081680A">
            <w:pPr>
              <w:pStyle w:val="ListParagraph"/>
              <w:numPr>
                <w:ilvl w:val="0"/>
                <w:numId w:val="17"/>
              </w:numPr>
              <w:tabs>
                <w:tab w:val="left" w:pos="329"/>
              </w:tabs>
              <w:spacing w:before="10" w:after="10" w:line="220" w:lineRule="atLeast"/>
              <w:ind w:left="44" w:right="83" w:firstLine="0"/>
              <w:contextualSpacing/>
              <w:jc w:val="left"/>
              <w:rPr>
                <w:color w:val="3366CC"/>
                <w:sz w:val="16"/>
                <w:szCs w:val="16"/>
              </w:rPr>
            </w:pPr>
            <w:r w:rsidRPr="0004193A">
              <w:rPr>
                <w:color w:val="3366CC"/>
                <w:sz w:val="16"/>
                <w:szCs w:val="16"/>
              </w:rPr>
              <w:t>Imax equal or higher than (</w:t>
            </w:r>
            <w:r w:rsidRPr="0004193A">
              <w:rPr>
                <w:color w:val="3366CC"/>
                <w:sz w:val="16"/>
                <w:szCs w:val="16"/>
              </w:rPr>
              <w:sym w:font="Symbol" w:char="F0B3"/>
            </w:r>
            <w:r w:rsidRPr="0004193A">
              <w:rPr>
                <w:color w:val="3366CC"/>
                <w:sz w:val="16"/>
                <w:szCs w:val="16"/>
              </w:rPr>
              <w:t xml:space="preserve">) </w:t>
            </w:r>
            <w:proofErr w:type="gramStart"/>
            <w:r w:rsidRPr="0004193A">
              <w:rPr>
                <w:color w:val="3366CC"/>
                <w:sz w:val="16"/>
                <w:szCs w:val="16"/>
              </w:rPr>
              <w:t>1.5 fold</w:t>
            </w:r>
            <w:proofErr w:type="gramEnd"/>
            <w:r w:rsidRPr="0004193A">
              <w:rPr>
                <w:color w:val="3366CC"/>
                <w:sz w:val="16"/>
                <w:szCs w:val="16"/>
              </w:rPr>
              <w:t xml:space="preserve"> and statistically significantly different to the solvent control </w:t>
            </w:r>
          </w:p>
          <w:p w14:paraId="05496F51" w14:textId="77777777" w:rsidR="00396C56" w:rsidRPr="0004193A" w:rsidRDefault="00396C56" w:rsidP="0081680A">
            <w:pPr>
              <w:pStyle w:val="ListParagraph"/>
              <w:numPr>
                <w:ilvl w:val="0"/>
                <w:numId w:val="17"/>
              </w:numPr>
              <w:tabs>
                <w:tab w:val="left" w:pos="305"/>
              </w:tabs>
              <w:spacing w:before="10" w:after="10" w:line="220" w:lineRule="atLeast"/>
              <w:ind w:left="44" w:right="83" w:firstLine="0"/>
              <w:contextualSpacing/>
              <w:jc w:val="left"/>
              <w:rPr>
                <w:color w:val="3366CC"/>
                <w:sz w:val="16"/>
                <w:szCs w:val="16"/>
              </w:rPr>
            </w:pPr>
            <w:r w:rsidRPr="0004193A">
              <w:rPr>
                <w:color w:val="3366CC"/>
                <w:sz w:val="16"/>
                <w:szCs w:val="16"/>
              </w:rPr>
              <w:t xml:space="preserve">The cellular viability is higher than (&gt;) 70% at the lowest concentration with induction of luciferase activity equal or above </w:t>
            </w:r>
            <w:proofErr w:type="gramStart"/>
            <w:r w:rsidRPr="0004193A">
              <w:rPr>
                <w:color w:val="3366CC"/>
                <w:sz w:val="16"/>
                <w:szCs w:val="16"/>
              </w:rPr>
              <w:t>1.5 fold</w:t>
            </w:r>
            <w:proofErr w:type="gramEnd"/>
            <w:r w:rsidRPr="0004193A">
              <w:rPr>
                <w:color w:val="3366CC"/>
                <w:sz w:val="16"/>
                <w:szCs w:val="16"/>
              </w:rPr>
              <w:t xml:space="preserve"> </w:t>
            </w:r>
          </w:p>
          <w:p w14:paraId="6D402361" w14:textId="77777777" w:rsidR="00396C56" w:rsidRPr="00161B0F" w:rsidRDefault="00396C56" w:rsidP="0081680A">
            <w:pPr>
              <w:pStyle w:val="ListParagraph"/>
              <w:numPr>
                <w:ilvl w:val="0"/>
                <w:numId w:val="17"/>
              </w:numPr>
              <w:tabs>
                <w:tab w:val="left" w:pos="265"/>
              </w:tabs>
              <w:spacing w:before="10" w:after="10" w:line="220" w:lineRule="atLeast"/>
              <w:ind w:left="44" w:right="83" w:firstLine="0"/>
              <w:contextualSpacing/>
              <w:jc w:val="left"/>
              <w:rPr>
                <w:color w:val="0070C0"/>
                <w:sz w:val="16"/>
                <w:szCs w:val="16"/>
              </w:rPr>
            </w:pPr>
            <w:r w:rsidRPr="0004193A">
              <w:rPr>
                <w:color w:val="3366CC"/>
                <w:sz w:val="16"/>
                <w:szCs w:val="16"/>
              </w:rPr>
              <w:t>The EC</w:t>
            </w:r>
            <w:r w:rsidRPr="0004193A">
              <w:rPr>
                <w:color w:val="3366CC"/>
                <w:sz w:val="16"/>
                <w:szCs w:val="16"/>
                <w:vertAlign w:val="subscript"/>
              </w:rPr>
              <w:t>1.5</w:t>
            </w:r>
            <w:r w:rsidRPr="0004193A">
              <w:rPr>
                <w:color w:val="3366CC"/>
                <w:sz w:val="16"/>
                <w:szCs w:val="16"/>
              </w:rPr>
              <w:t xml:space="preserve"> value is less than (&lt;) 1000 µM (or &lt; 200 µg/mL for test </w:t>
            </w:r>
            <w:proofErr w:type="gramStart"/>
            <w:r w:rsidRPr="0004193A">
              <w:rPr>
                <w:color w:val="3366CC"/>
                <w:sz w:val="16"/>
                <w:szCs w:val="16"/>
              </w:rPr>
              <w:t>chemicals  with</w:t>
            </w:r>
            <w:proofErr w:type="gramEnd"/>
            <w:r w:rsidRPr="0004193A">
              <w:rPr>
                <w:color w:val="3366CC"/>
                <w:sz w:val="16"/>
                <w:szCs w:val="16"/>
              </w:rPr>
              <w:t xml:space="preserve"> no </w:t>
            </w:r>
            <w:r w:rsidRPr="00161B0F">
              <w:rPr>
                <w:color w:val="0070C0"/>
                <w:sz w:val="16"/>
                <w:szCs w:val="16"/>
              </w:rPr>
              <w:t>defined molecular weight)</w:t>
            </w:r>
          </w:p>
          <w:p w14:paraId="509A3FD7" w14:textId="77777777" w:rsidR="00396C56" w:rsidRPr="0004193A" w:rsidRDefault="00396C56" w:rsidP="0081680A">
            <w:pPr>
              <w:pStyle w:val="ListParagraph"/>
              <w:numPr>
                <w:ilvl w:val="0"/>
                <w:numId w:val="17"/>
              </w:numPr>
              <w:tabs>
                <w:tab w:val="left" w:pos="321"/>
              </w:tabs>
              <w:spacing w:before="10" w:after="10" w:line="220" w:lineRule="atLeast"/>
              <w:ind w:left="44" w:right="83" w:firstLine="0"/>
              <w:contextualSpacing/>
              <w:jc w:val="left"/>
              <w:rPr>
                <w:color w:val="3366CC"/>
                <w:sz w:val="16"/>
                <w:szCs w:val="16"/>
              </w:rPr>
            </w:pPr>
            <w:r w:rsidRPr="00161B0F">
              <w:rPr>
                <w:color w:val="0070C0"/>
                <w:sz w:val="16"/>
                <w:szCs w:val="16"/>
              </w:rPr>
              <w:t xml:space="preserve">There is an apparent </w:t>
            </w:r>
            <w:r w:rsidRPr="0004193A">
              <w:rPr>
                <w:color w:val="3366CC"/>
                <w:sz w:val="16"/>
                <w:szCs w:val="16"/>
              </w:rPr>
              <w:t>overall dose-dependent increase in luciferase induction</w:t>
            </w:r>
          </w:p>
        </w:tc>
        <w:tc>
          <w:tcPr>
            <w:tcW w:w="1417" w:type="dxa"/>
            <w:tcBorders>
              <w:top w:val="single" w:sz="4" w:space="0" w:color="auto"/>
              <w:left w:val="single" w:sz="4" w:space="0" w:color="auto"/>
              <w:bottom w:val="single" w:sz="4" w:space="0" w:color="auto"/>
              <w:right w:val="single" w:sz="4" w:space="0" w:color="auto"/>
            </w:tcBorders>
          </w:tcPr>
          <w:p w14:paraId="489001D5" w14:textId="77777777" w:rsidR="00396C56" w:rsidRPr="0004193A" w:rsidRDefault="00396C56" w:rsidP="0081680A">
            <w:pPr>
              <w:spacing w:before="10" w:after="10" w:line="220" w:lineRule="atLeast"/>
              <w:ind w:left="44" w:right="83"/>
              <w:rPr>
                <w:color w:val="3366CC"/>
                <w:sz w:val="16"/>
                <w:szCs w:val="16"/>
              </w:rPr>
            </w:pPr>
            <w:r w:rsidRPr="0004193A">
              <w:rPr>
                <w:color w:val="3366CC"/>
                <w:sz w:val="16"/>
                <w:szCs w:val="16"/>
              </w:rPr>
              <w:t>The following conditions are all met in 2 of 2 or in the same 2 of 3 repetitions:</w:t>
            </w:r>
          </w:p>
          <w:p w14:paraId="57A32357" w14:textId="77777777" w:rsidR="00396C56" w:rsidRPr="0004193A" w:rsidRDefault="00396C56" w:rsidP="0081680A">
            <w:pPr>
              <w:spacing w:before="10" w:after="10" w:line="220" w:lineRule="atLeast"/>
              <w:ind w:left="44" w:right="83"/>
              <w:rPr>
                <w:color w:val="3366CC"/>
                <w:sz w:val="16"/>
                <w:szCs w:val="16"/>
              </w:rPr>
            </w:pPr>
            <w:r w:rsidRPr="0004193A">
              <w:rPr>
                <w:color w:val="3366CC"/>
                <w:sz w:val="16"/>
                <w:szCs w:val="16"/>
              </w:rPr>
              <w:t>1. A luciferase induction above or equal to (</w:t>
            </w:r>
            <w:r w:rsidRPr="0004193A">
              <w:rPr>
                <w:color w:val="3366CC"/>
                <w:sz w:val="16"/>
                <w:szCs w:val="16"/>
              </w:rPr>
              <w:sym w:font="Symbol" w:char="F0B3"/>
            </w:r>
            <w:r w:rsidRPr="0004193A">
              <w:rPr>
                <w:color w:val="3366CC"/>
                <w:sz w:val="16"/>
                <w:szCs w:val="16"/>
              </w:rPr>
              <w:t xml:space="preserve">) </w:t>
            </w:r>
            <w:proofErr w:type="gramStart"/>
            <w:r w:rsidRPr="0004193A">
              <w:rPr>
                <w:color w:val="3366CC"/>
                <w:sz w:val="16"/>
                <w:szCs w:val="16"/>
              </w:rPr>
              <w:t>1.5 fold</w:t>
            </w:r>
            <w:proofErr w:type="gramEnd"/>
            <w:r w:rsidRPr="0004193A">
              <w:rPr>
                <w:color w:val="3366CC"/>
                <w:sz w:val="16"/>
                <w:szCs w:val="16"/>
              </w:rPr>
              <w:t xml:space="preserve"> as compared to the solvent control is observed in at least 2 consecutive non-cytotoxic tested concentrations (i.e. cellular viability is equal or higher than (</w:t>
            </w:r>
            <w:r w:rsidRPr="0004193A">
              <w:rPr>
                <w:color w:val="3366CC"/>
                <w:sz w:val="16"/>
                <w:szCs w:val="16"/>
              </w:rPr>
              <w:sym w:font="Symbol" w:char="F0B3"/>
            </w:r>
            <w:r w:rsidRPr="0004193A">
              <w:rPr>
                <w:color w:val="3366CC"/>
                <w:sz w:val="16"/>
                <w:szCs w:val="16"/>
              </w:rPr>
              <w:t>) 70%)</w:t>
            </w:r>
          </w:p>
          <w:p w14:paraId="288FAE14" w14:textId="77777777" w:rsidR="00396C56" w:rsidRPr="0004193A" w:rsidRDefault="00396C56" w:rsidP="0081680A">
            <w:pPr>
              <w:spacing w:before="10" w:after="10" w:line="220" w:lineRule="atLeast"/>
              <w:ind w:left="44" w:right="83"/>
              <w:rPr>
                <w:color w:val="3366CC"/>
                <w:sz w:val="16"/>
                <w:szCs w:val="16"/>
              </w:rPr>
            </w:pPr>
            <w:r w:rsidRPr="0004193A">
              <w:rPr>
                <w:color w:val="3366CC"/>
                <w:sz w:val="16"/>
                <w:szCs w:val="16"/>
              </w:rPr>
              <w:t>2. At least three tested concentrations should be non-cytotoxic (cellular viability equal or higher than (</w:t>
            </w:r>
            <w:r w:rsidRPr="0004193A">
              <w:rPr>
                <w:color w:val="3366CC"/>
                <w:sz w:val="16"/>
                <w:szCs w:val="16"/>
              </w:rPr>
              <w:sym w:font="Symbol" w:char="F0B3"/>
            </w:r>
            <w:r w:rsidRPr="0004193A">
              <w:rPr>
                <w:color w:val="3366CC"/>
                <w:sz w:val="16"/>
                <w:szCs w:val="16"/>
              </w:rPr>
              <w:t>) 70%).</w:t>
            </w:r>
          </w:p>
        </w:tc>
        <w:tc>
          <w:tcPr>
            <w:tcW w:w="1652" w:type="dxa"/>
            <w:tcBorders>
              <w:top w:val="single" w:sz="4" w:space="0" w:color="auto"/>
              <w:left w:val="single" w:sz="4" w:space="0" w:color="auto"/>
              <w:bottom w:val="single" w:sz="4" w:space="0" w:color="auto"/>
              <w:right w:val="single" w:sz="4" w:space="0" w:color="auto"/>
            </w:tcBorders>
          </w:tcPr>
          <w:p w14:paraId="2B15F734" w14:textId="77777777" w:rsidR="00396C56" w:rsidRPr="0004193A" w:rsidRDefault="00396C56" w:rsidP="0081680A">
            <w:pPr>
              <w:spacing w:before="10" w:after="10" w:line="220" w:lineRule="atLeast"/>
              <w:ind w:left="44" w:right="83"/>
              <w:rPr>
                <w:color w:val="3366CC"/>
                <w:sz w:val="16"/>
                <w:szCs w:val="16"/>
              </w:rPr>
            </w:pPr>
            <w:r w:rsidRPr="0004193A">
              <w:rPr>
                <w:color w:val="3366CC"/>
                <w:sz w:val="16"/>
                <w:szCs w:val="16"/>
              </w:rPr>
              <w:t>At least one of the following conditions is met in 2 of 2 or in at least 2 of 3 independent runs:</w:t>
            </w:r>
          </w:p>
          <w:p w14:paraId="04B959BD" w14:textId="77777777" w:rsidR="00396C56" w:rsidRPr="0004193A" w:rsidRDefault="00396C56" w:rsidP="0081680A">
            <w:pPr>
              <w:spacing w:before="10" w:after="10" w:line="220" w:lineRule="atLeast"/>
              <w:ind w:left="44" w:right="83"/>
              <w:rPr>
                <w:color w:val="3366CC"/>
                <w:sz w:val="16"/>
                <w:szCs w:val="16"/>
              </w:rPr>
            </w:pPr>
            <w:r w:rsidRPr="0004193A">
              <w:rPr>
                <w:color w:val="3366CC"/>
                <w:sz w:val="16"/>
                <w:szCs w:val="16"/>
              </w:rPr>
              <w:t xml:space="preserve">The Relative Fluorescence Intensity of CD86 is equal to or greater than 150% at any tested concentration (with cell viability ≥ 50%) </w:t>
            </w:r>
          </w:p>
          <w:p w14:paraId="55B464F3" w14:textId="77777777" w:rsidR="00396C56" w:rsidRPr="0004193A" w:rsidRDefault="00396C56" w:rsidP="0081680A">
            <w:pPr>
              <w:spacing w:before="10" w:after="10" w:line="220" w:lineRule="atLeast"/>
              <w:ind w:left="44" w:right="83"/>
              <w:rPr>
                <w:color w:val="3366CC"/>
                <w:sz w:val="16"/>
                <w:szCs w:val="16"/>
              </w:rPr>
            </w:pPr>
            <w:r w:rsidRPr="0004193A">
              <w:rPr>
                <w:color w:val="3366CC"/>
                <w:sz w:val="16"/>
                <w:szCs w:val="16"/>
              </w:rPr>
              <w:t xml:space="preserve">or </w:t>
            </w:r>
          </w:p>
          <w:p w14:paraId="0491AE73" w14:textId="77777777" w:rsidR="00396C56" w:rsidRPr="0004193A" w:rsidRDefault="00396C56" w:rsidP="0081680A">
            <w:pPr>
              <w:spacing w:before="10" w:after="10" w:line="220" w:lineRule="atLeast"/>
              <w:ind w:left="44" w:right="83"/>
              <w:rPr>
                <w:color w:val="3366CC"/>
                <w:sz w:val="16"/>
                <w:szCs w:val="16"/>
              </w:rPr>
            </w:pPr>
            <w:r w:rsidRPr="0004193A">
              <w:rPr>
                <w:color w:val="3366CC"/>
                <w:sz w:val="16"/>
                <w:szCs w:val="16"/>
              </w:rPr>
              <w:t>the Relative Fluorescence Intensity of CD54 is equal to or greater than 200% at any tested concentration (with cell viability ≥ 50%).</w:t>
            </w:r>
          </w:p>
        </w:tc>
        <w:tc>
          <w:tcPr>
            <w:tcW w:w="1559" w:type="dxa"/>
            <w:tcBorders>
              <w:top w:val="single" w:sz="4" w:space="0" w:color="auto"/>
              <w:left w:val="single" w:sz="4" w:space="0" w:color="auto"/>
              <w:bottom w:val="single" w:sz="4" w:space="0" w:color="auto"/>
              <w:right w:val="single" w:sz="4" w:space="0" w:color="auto"/>
            </w:tcBorders>
          </w:tcPr>
          <w:p w14:paraId="63DE2208" w14:textId="77777777" w:rsidR="00396C56" w:rsidRPr="0004193A" w:rsidRDefault="00396C56" w:rsidP="0081680A">
            <w:pPr>
              <w:spacing w:before="10" w:after="10" w:line="220" w:lineRule="atLeast"/>
              <w:ind w:left="44" w:right="83"/>
              <w:rPr>
                <w:color w:val="3366CC"/>
                <w:sz w:val="16"/>
                <w:szCs w:val="16"/>
              </w:rPr>
            </w:pPr>
            <w:r w:rsidRPr="0004193A">
              <w:rPr>
                <w:color w:val="3366CC"/>
                <w:sz w:val="16"/>
                <w:szCs w:val="16"/>
              </w:rPr>
              <w:t>The following condition is met in 2 of 2 or in at least 2 of 3 independent runs:</w:t>
            </w:r>
          </w:p>
          <w:p w14:paraId="5BCC65D8" w14:textId="77777777" w:rsidR="00396C56" w:rsidRPr="0004193A" w:rsidRDefault="00396C56" w:rsidP="0081680A">
            <w:pPr>
              <w:spacing w:before="10" w:after="10" w:line="220" w:lineRule="atLeast"/>
              <w:ind w:left="44" w:right="83"/>
              <w:rPr>
                <w:color w:val="3366CC"/>
                <w:sz w:val="16"/>
                <w:szCs w:val="16"/>
              </w:rPr>
            </w:pPr>
            <w:r w:rsidRPr="0004193A">
              <w:rPr>
                <w:color w:val="3366CC"/>
                <w:sz w:val="16"/>
                <w:szCs w:val="16"/>
              </w:rPr>
              <w:t>The stimulation index of CD86 is equal or higher (</w:t>
            </w:r>
            <w:r w:rsidRPr="0004193A">
              <w:rPr>
                <w:color w:val="3366CC"/>
                <w:sz w:val="16"/>
                <w:szCs w:val="16"/>
              </w:rPr>
              <w:sym w:font="Symbol" w:char="F0B3"/>
            </w:r>
            <w:r w:rsidRPr="0004193A">
              <w:rPr>
                <w:color w:val="3366CC"/>
                <w:sz w:val="16"/>
                <w:szCs w:val="16"/>
              </w:rPr>
              <w:t>) than 150% and/or interference is observed</w:t>
            </w:r>
          </w:p>
        </w:tc>
        <w:tc>
          <w:tcPr>
            <w:tcW w:w="1338" w:type="dxa"/>
            <w:tcBorders>
              <w:top w:val="single" w:sz="4" w:space="0" w:color="auto"/>
              <w:left w:val="single" w:sz="4" w:space="0" w:color="auto"/>
              <w:bottom w:val="single" w:sz="4" w:space="0" w:color="auto"/>
              <w:right w:val="single" w:sz="4" w:space="0" w:color="auto"/>
            </w:tcBorders>
          </w:tcPr>
          <w:p w14:paraId="4B6C009C" w14:textId="77777777" w:rsidR="00396C56" w:rsidRPr="0004193A" w:rsidRDefault="00396C56" w:rsidP="0081680A">
            <w:pPr>
              <w:spacing w:before="10" w:after="10" w:line="220" w:lineRule="atLeast"/>
              <w:ind w:left="44" w:right="83"/>
              <w:rPr>
                <w:color w:val="3366CC"/>
                <w:sz w:val="16"/>
                <w:szCs w:val="16"/>
              </w:rPr>
            </w:pPr>
            <w:r w:rsidRPr="00161B0F">
              <w:rPr>
                <w:color w:val="0070C0"/>
                <w:sz w:val="16"/>
                <w:szCs w:val="16"/>
              </w:rPr>
              <w:t xml:space="preserve">The induction of normalised interleukin-8 luciferase activity (Ind-IL8LA) is </w:t>
            </w:r>
            <w:r w:rsidRPr="0004193A">
              <w:rPr>
                <w:color w:val="3366CC"/>
                <w:sz w:val="16"/>
                <w:szCs w:val="16"/>
              </w:rPr>
              <w:t>equal or higher than (</w:t>
            </w:r>
            <w:r w:rsidRPr="0004193A">
              <w:rPr>
                <w:color w:val="3366CC"/>
                <w:sz w:val="16"/>
                <w:szCs w:val="16"/>
              </w:rPr>
              <w:sym w:font="Symbol" w:char="F0B3"/>
            </w:r>
            <w:r w:rsidRPr="0004193A">
              <w:rPr>
                <w:color w:val="3366CC"/>
                <w:sz w:val="16"/>
                <w:szCs w:val="16"/>
              </w:rPr>
              <w:t>) 1.4 and the lower limit of the 95% confidence interval of Ind-IL8LA is equal or higher than (</w:t>
            </w:r>
            <w:r w:rsidRPr="0004193A">
              <w:rPr>
                <w:color w:val="3366CC"/>
                <w:sz w:val="16"/>
                <w:szCs w:val="16"/>
              </w:rPr>
              <w:sym w:font="Symbol" w:char="F0B3"/>
            </w:r>
            <w:r w:rsidRPr="0004193A">
              <w:rPr>
                <w:color w:val="3366CC"/>
                <w:sz w:val="16"/>
                <w:szCs w:val="16"/>
              </w:rPr>
              <w:t>) 1.0 in at least 2 out of a maximum of 4 independent runs</w:t>
            </w:r>
          </w:p>
        </w:tc>
        <w:tc>
          <w:tcPr>
            <w:tcW w:w="864" w:type="dxa"/>
            <w:tcBorders>
              <w:top w:val="single" w:sz="4" w:space="0" w:color="auto"/>
              <w:left w:val="single" w:sz="4" w:space="0" w:color="auto"/>
              <w:bottom w:val="single" w:sz="4" w:space="0" w:color="auto"/>
              <w:right w:val="single" w:sz="4" w:space="0" w:color="auto"/>
            </w:tcBorders>
          </w:tcPr>
          <w:p w14:paraId="09604528" w14:textId="77777777" w:rsidR="00396C56" w:rsidRPr="0004193A" w:rsidRDefault="00396C56" w:rsidP="0081680A">
            <w:pPr>
              <w:spacing w:before="10" w:after="10" w:line="220" w:lineRule="atLeast"/>
              <w:ind w:left="44" w:right="83"/>
              <w:rPr>
                <w:color w:val="3366CC"/>
                <w:sz w:val="16"/>
                <w:szCs w:val="16"/>
              </w:rPr>
            </w:pPr>
            <w:r w:rsidRPr="0004193A">
              <w:rPr>
                <w:color w:val="3366CC"/>
                <w:sz w:val="16"/>
                <w:szCs w:val="16"/>
              </w:rPr>
              <w:t>The mean Decision Value (DV) is ≥0</w:t>
            </w:r>
          </w:p>
        </w:tc>
      </w:tr>
      <w:tr w:rsidR="00396C56" w:rsidRPr="003B6E5E" w14:paraId="6DBBFD6D" w14:textId="77777777" w:rsidTr="004A33A6">
        <w:trPr>
          <w:trHeight w:val="20"/>
          <w:jc w:val="center"/>
        </w:trPr>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60F135" w14:textId="77777777" w:rsidR="00396C56" w:rsidRPr="00F002C5" w:rsidRDefault="00396C56" w:rsidP="007F4632">
            <w:pPr>
              <w:spacing w:before="20" w:after="20"/>
              <w:jc w:val="center"/>
              <w:rPr>
                <w:color w:val="3366CC"/>
                <w:sz w:val="16"/>
                <w:szCs w:val="16"/>
              </w:rPr>
            </w:pPr>
            <w:r w:rsidRPr="00F002C5">
              <w:rPr>
                <w:color w:val="3366CC"/>
                <w:sz w:val="16"/>
                <w:szCs w:val="16"/>
              </w:rPr>
              <w:t>1A</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651234F3" w14:textId="77777777" w:rsidR="00396C56" w:rsidRPr="00F002C5" w:rsidRDefault="00396C56" w:rsidP="007F4632">
            <w:pPr>
              <w:pStyle w:val="Default"/>
              <w:spacing w:before="20" w:after="20"/>
              <w:rPr>
                <w:color w:val="3366CC"/>
                <w:sz w:val="16"/>
                <w:szCs w:val="16"/>
              </w:rPr>
            </w:pPr>
            <w:r w:rsidRPr="00F002C5">
              <w:rPr>
                <w:color w:val="3366CC"/>
                <w:sz w:val="16"/>
                <w:szCs w:val="16"/>
              </w:rPr>
              <w:t>Not applicable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6863F0C" w14:textId="77777777" w:rsidR="00396C56" w:rsidRPr="00F002C5" w:rsidRDefault="00396C56" w:rsidP="007F4632">
            <w:pPr>
              <w:pStyle w:val="Default"/>
              <w:spacing w:before="20" w:after="20"/>
              <w:ind w:left="109"/>
              <w:rPr>
                <w:color w:val="3366CC"/>
                <w:sz w:val="16"/>
                <w:szCs w:val="16"/>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672D70FF" w14:textId="77777777" w:rsidR="00396C56" w:rsidRPr="00F002C5" w:rsidRDefault="00396C56" w:rsidP="007F4632">
            <w:pPr>
              <w:pStyle w:val="Default"/>
              <w:spacing w:before="20" w:after="20"/>
              <w:ind w:left="109"/>
              <w:rPr>
                <w:color w:val="3366CC"/>
                <w:sz w:val="16"/>
                <w:szCs w:val="16"/>
              </w:rPr>
            </w:pPr>
            <w:r w:rsidRPr="00F002C5">
              <w:rPr>
                <w:color w:val="3366CC"/>
                <w:sz w:val="16"/>
                <w:szCs w:val="16"/>
              </w:rPr>
              <w:t>log kmax ≥ -2.0</w:t>
            </w: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5554C4F8" w14:textId="77777777" w:rsidR="00396C56" w:rsidRPr="00F002C5" w:rsidRDefault="00396C56" w:rsidP="007F4632">
            <w:pPr>
              <w:pStyle w:val="Default"/>
              <w:spacing w:before="20" w:after="20"/>
              <w:rPr>
                <w:color w:val="3366CC"/>
                <w:sz w:val="16"/>
                <w:szCs w:val="16"/>
              </w:rPr>
            </w:pPr>
            <w:r w:rsidRPr="00F002C5">
              <w:rPr>
                <w:color w:val="3366CC"/>
                <w:sz w:val="16"/>
                <w:szCs w:val="16"/>
              </w:rPr>
              <w:t>Not applicable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15523C" w14:textId="77777777" w:rsidR="00396C56" w:rsidRPr="00F002C5" w:rsidRDefault="00396C56" w:rsidP="007F4632">
            <w:pPr>
              <w:pStyle w:val="Default"/>
              <w:spacing w:before="20" w:after="20"/>
              <w:rPr>
                <w:color w:val="3366CC"/>
                <w:sz w:val="16"/>
                <w:szCs w:val="16"/>
              </w:rPr>
            </w:pPr>
            <w:r w:rsidRPr="00F002C5">
              <w:rPr>
                <w:color w:val="3366CC"/>
                <w:sz w:val="16"/>
                <w:szCs w:val="16"/>
              </w:rPr>
              <w:t>Not applicable</w:t>
            </w: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3D00901A" w14:textId="77777777" w:rsidR="00396C56" w:rsidRPr="003B6E5E" w:rsidRDefault="00396C56" w:rsidP="007F4632">
            <w:pPr>
              <w:pStyle w:val="Default"/>
              <w:spacing w:before="20" w:after="20"/>
              <w:rPr>
                <w:color w:val="3366CC"/>
                <w:sz w:val="16"/>
                <w:szCs w:val="16"/>
              </w:rPr>
            </w:pPr>
            <w:r w:rsidRPr="00F002C5">
              <w:rPr>
                <w:color w:val="3366CC"/>
                <w:sz w:val="16"/>
                <w:szCs w:val="16"/>
              </w:rPr>
              <w:t>Not applicable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A51A26" w14:textId="77777777" w:rsidR="00396C56" w:rsidRPr="003B6E5E" w:rsidRDefault="00396C56" w:rsidP="007F4632">
            <w:pPr>
              <w:pStyle w:val="Default"/>
              <w:spacing w:before="20" w:after="20"/>
              <w:rPr>
                <w:color w:val="3366CC"/>
                <w:sz w:val="16"/>
                <w:szCs w:val="16"/>
              </w:rPr>
            </w:pPr>
            <w:r w:rsidRPr="003B6E5E">
              <w:rPr>
                <w:color w:val="3366CC"/>
                <w:sz w:val="16"/>
                <w:szCs w:val="16"/>
              </w:rPr>
              <w:t>Not applicable</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DE90271" w14:textId="77777777" w:rsidR="00396C56" w:rsidRPr="003B6E5E" w:rsidRDefault="00396C56" w:rsidP="007F4632">
            <w:pPr>
              <w:pStyle w:val="Default"/>
              <w:spacing w:before="20" w:after="20"/>
              <w:rPr>
                <w:color w:val="3366CC"/>
                <w:sz w:val="16"/>
                <w:szCs w:val="16"/>
              </w:rPr>
            </w:pPr>
            <w:r w:rsidRPr="003B6E5E">
              <w:rPr>
                <w:color w:val="3366CC"/>
                <w:sz w:val="16"/>
                <w:szCs w:val="16"/>
              </w:rPr>
              <w:t>Not applicable</w:t>
            </w: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5F0F6C56" w14:textId="77777777" w:rsidR="00396C56" w:rsidRPr="003B6E5E" w:rsidRDefault="00396C56" w:rsidP="007F4632">
            <w:pPr>
              <w:pStyle w:val="Default"/>
              <w:spacing w:before="20" w:after="20"/>
              <w:rPr>
                <w:color w:val="3366CC"/>
                <w:sz w:val="16"/>
                <w:szCs w:val="16"/>
              </w:rPr>
            </w:pPr>
            <w:r w:rsidRPr="003B6E5E">
              <w:rPr>
                <w:color w:val="3366CC"/>
                <w:sz w:val="16"/>
                <w:szCs w:val="16"/>
              </w:rPr>
              <w:t>Not applicable</w:t>
            </w:r>
          </w:p>
        </w:tc>
      </w:tr>
      <w:tr w:rsidR="00396C56" w:rsidRPr="003B6E5E" w14:paraId="002B1954" w14:textId="77777777" w:rsidTr="004A33A6">
        <w:trPr>
          <w:jc w:val="center"/>
        </w:trPr>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FF624CC" w14:textId="77777777" w:rsidR="00396C56" w:rsidRPr="003B6E5E" w:rsidRDefault="00396C56" w:rsidP="007F4632">
            <w:pPr>
              <w:spacing w:before="20" w:after="20"/>
              <w:jc w:val="center"/>
              <w:rPr>
                <w:color w:val="3366CC"/>
                <w:sz w:val="16"/>
                <w:szCs w:val="16"/>
              </w:rPr>
            </w:pPr>
            <w:r w:rsidRPr="003B6E5E">
              <w:rPr>
                <w:color w:val="3366CC"/>
                <w:sz w:val="16"/>
                <w:szCs w:val="16"/>
              </w:rPr>
              <w:t>1B</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0EE9D06" w14:textId="77777777" w:rsidR="00396C56" w:rsidRPr="003B6E5E" w:rsidRDefault="00396C56" w:rsidP="007F4632">
            <w:pPr>
              <w:pStyle w:val="Default"/>
              <w:spacing w:before="20" w:after="20"/>
              <w:rPr>
                <w:color w:val="3366CC"/>
                <w:sz w:val="16"/>
                <w:szCs w:val="16"/>
              </w:rPr>
            </w:pPr>
            <w:r w:rsidRPr="003B6E5E">
              <w:rPr>
                <w:color w:val="3366CC"/>
                <w:sz w:val="16"/>
                <w:szCs w:val="16"/>
              </w:rPr>
              <w:t xml:space="preserve">Not applicable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AACC5" w14:textId="77777777" w:rsidR="00396C56" w:rsidRPr="003B6E5E" w:rsidRDefault="00396C56" w:rsidP="007F4632">
            <w:pPr>
              <w:pStyle w:val="Default"/>
              <w:spacing w:before="20" w:after="20"/>
              <w:ind w:left="109"/>
              <w:rPr>
                <w:color w:val="3366CC"/>
                <w:sz w:val="16"/>
                <w:szCs w:val="16"/>
              </w:rPr>
            </w:pPr>
            <w:r w:rsidRPr="003B6E5E">
              <w:rPr>
                <w:color w:val="3366CC"/>
                <w:sz w:val="16"/>
                <w:szCs w:val="16"/>
              </w:rPr>
              <w:t>Not applicable</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7D92E73E" w14:textId="77777777" w:rsidR="00396C56" w:rsidRPr="003B6E5E" w:rsidRDefault="00396C56" w:rsidP="007F4632">
            <w:pPr>
              <w:pStyle w:val="Default"/>
              <w:spacing w:before="20" w:after="20"/>
              <w:ind w:left="109"/>
              <w:rPr>
                <w:color w:val="3366CC"/>
                <w:sz w:val="16"/>
                <w:szCs w:val="16"/>
              </w:rPr>
            </w:pPr>
            <w:r w:rsidRPr="003B6E5E">
              <w:rPr>
                <w:color w:val="3366CC"/>
                <w:sz w:val="16"/>
                <w:szCs w:val="16"/>
              </w:rPr>
              <w:t>Not applicable</w:t>
            </w: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07BE2D7D" w14:textId="77777777" w:rsidR="00396C56" w:rsidRPr="003B6E5E" w:rsidRDefault="00396C56" w:rsidP="007F4632">
            <w:pPr>
              <w:spacing w:before="20" w:after="20"/>
              <w:rPr>
                <w:color w:val="3366CC"/>
                <w:sz w:val="16"/>
                <w:szCs w:val="16"/>
              </w:rPr>
            </w:pPr>
            <w:r w:rsidRPr="003B6E5E">
              <w:rPr>
                <w:color w:val="3366CC"/>
                <w:sz w:val="16"/>
                <w:szCs w:val="16"/>
              </w:rPr>
              <w:t>Not applicable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E3C08B" w14:textId="77777777" w:rsidR="00396C56" w:rsidRPr="003B6E5E" w:rsidRDefault="00396C56" w:rsidP="007F4632">
            <w:pPr>
              <w:spacing w:before="20" w:after="20"/>
              <w:rPr>
                <w:color w:val="3366CC"/>
                <w:sz w:val="16"/>
                <w:szCs w:val="16"/>
              </w:rPr>
            </w:pPr>
            <w:r w:rsidRPr="003B6E5E">
              <w:rPr>
                <w:color w:val="3366CC"/>
                <w:sz w:val="16"/>
                <w:szCs w:val="16"/>
              </w:rPr>
              <w:t>Not applicable</w:t>
            </w: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D5E6DD0" w14:textId="77777777" w:rsidR="00396C56" w:rsidRPr="003B6E5E" w:rsidRDefault="00396C56" w:rsidP="007F4632">
            <w:pPr>
              <w:spacing w:before="20" w:after="20"/>
              <w:rPr>
                <w:color w:val="3366CC"/>
                <w:sz w:val="16"/>
                <w:szCs w:val="16"/>
              </w:rPr>
            </w:pPr>
            <w:r w:rsidRPr="003B6E5E">
              <w:rPr>
                <w:color w:val="3366CC"/>
                <w:sz w:val="16"/>
                <w:szCs w:val="16"/>
              </w:rPr>
              <w:t>Not applicable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A78BD2" w14:textId="77777777" w:rsidR="00396C56" w:rsidRPr="003B6E5E" w:rsidRDefault="00396C56" w:rsidP="007F4632">
            <w:pPr>
              <w:spacing w:before="20" w:after="20"/>
              <w:rPr>
                <w:color w:val="3366CC"/>
                <w:sz w:val="16"/>
                <w:szCs w:val="16"/>
              </w:rPr>
            </w:pPr>
            <w:r w:rsidRPr="003B6E5E">
              <w:rPr>
                <w:color w:val="3366CC"/>
                <w:sz w:val="16"/>
                <w:szCs w:val="16"/>
              </w:rPr>
              <w:t>Not applicable</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ABC72A" w14:textId="77777777" w:rsidR="00396C56" w:rsidRPr="003B6E5E" w:rsidRDefault="00396C56" w:rsidP="007F4632">
            <w:pPr>
              <w:spacing w:before="20" w:after="20"/>
              <w:rPr>
                <w:color w:val="3366CC"/>
                <w:sz w:val="16"/>
                <w:szCs w:val="16"/>
              </w:rPr>
            </w:pPr>
            <w:r w:rsidRPr="003B6E5E">
              <w:rPr>
                <w:color w:val="3366CC"/>
                <w:sz w:val="16"/>
                <w:szCs w:val="16"/>
              </w:rPr>
              <w:t>Not applicable</w:t>
            </w: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610461DC" w14:textId="77777777" w:rsidR="00396C56" w:rsidRPr="003B6E5E" w:rsidRDefault="00396C56" w:rsidP="007F4632">
            <w:pPr>
              <w:spacing w:before="20" w:after="20"/>
              <w:rPr>
                <w:color w:val="3366CC"/>
                <w:sz w:val="16"/>
                <w:szCs w:val="16"/>
              </w:rPr>
            </w:pPr>
            <w:r w:rsidRPr="003B6E5E">
              <w:rPr>
                <w:color w:val="3366CC"/>
                <w:sz w:val="16"/>
                <w:szCs w:val="16"/>
              </w:rPr>
              <w:t>Not applicable</w:t>
            </w:r>
          </w:p>
        </w:tc>
      </w:tr>
      <w:tr w:rsidR="00396C56" w:rsidRPr="003B6E5E" w14:paraId="4AB1B4C7" w14:textId="77777777" w:rsidTr="004A33A6">
        <w:trPr>
          <w:jc w:val="center"/>
        </w:trPr>
        <w:tc>
          <w:tcPr>
            <w:tcW w:w="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776E48" w14:textId="77777777" w:rsidR="00396C56" w:rsidRPr="003B6E5E" w:rsidRDefault="00396C56" w:rsidP="007F4632">
            <w:pPr>
              <w:spacing w:before="20" w:after="20"/>
              <w:jc w:val="center"/>
              <w:rPr>
                <w:color w:val="3366CC"/>
                <w:sz w:val="16"/>
                <w:szCs w:val="16"/>
              </w:rPr>
            </w:pPr>
            <w:r w:rsidRPr="003B6E5E">
              <w:rPr>
                <w:color w:val="3366CC"/>
                <w:sz w:val="16"/>
                <w:szCs w:val="16"/>
              </w:rPr>
              <w:t>Not classified</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0CE6D90" w14:textId="77777777" w:rsidR="00396C56" w:rsidRPr="003B6E5E" w:rsidRDefault="00396C56" w:rsidP="007F4632">
            <w:pPr>
              <w:tabs>
                <w:tab w:val="left" w:pos="294"/>
              </w:tabs>
              <w:spacing w:before="20" w:after="20"/>
              <w:rPr>
                <w:color w:val="3366CC"/>
                <w:sz w:val="16"/>
                <w:szCs w:val="16"/>
              </w:rPr>
            </w:pPr>
            <w:r w:rsidRPr="003B6E5E">
              <w:rPr>
                <w:color w:val="3366CC"/>
                <w:sz w:val="16"/>
                <w:szCs w:val="16"/>
              </w:rPr>
              <w:t>The mean cysteine/lysine % depletion ≤ 6.38%</w:t>
            </w:r>
          </w:p>
          <w:p w14:paraId="1A4E185E" w14:textId="77777777" w:rsidR="00396C56" w:rsidRPr="003B6E5E" w:rsidRDefault="00396C56" w:rsidP="007F4632">
            <w:pPr>
              <w:tabs>
                <w:tab w:val="left" w:pos="294"/>
              </w:tabs>
              <w:spacing w:before="20" w:after="20"/>
              <w:rPr>
                <w:color w:val="3366CC"/>
                <w:sz w:val="16"/>
                <w:szCs w:val="16"/>
              </w:rPr>
            </w:pPr>
            <w:r w:rsidRPr="003B6E5E">
              <w:rPr>
                <w:color w:val="3366CC"/>
                <w:sz w:val="16"/>
                <w:szCs w:val="16"/>
              </w:rPr>
              <w:t xml:space="preserve">or </w:t>
            </w:r>
          </w:p>
          <w:p w14:paraId="41099F25" w14:textId="77777777" w:rsidR="00396C56" w:rsidRPr="003B6E5E" w:rsidRDefault="00396C56" w:rsidP="007F4632">
            <w:pPr>
              <w:tabs>
                <w:tab w:val="left" w:pos="294"/>
              </w:tabs>
              <w:spacing w:before="20" w:after="20"/>
              <w:rPr>
                <w:color w:val="3366CC"/>
                <w:sz w:val="16"/>
                <w:szCs w:val="16"/>
              </w:rPr>
            </w:pPr>
            <w:r w:rsidRPr="003B6E5E">
              <w:rPr>
                <w:color w:val="3366CC"/>
                <w:sz w:val="16"/>
                <w:szCs w:val="16"/>
              </w:rPr>
              <w:t>the mean cysteine % depletion ≤ 13.89 %</w:t>
            </w:r>
          </w:p>
          <w:p w14:paraId="292B35D8" w14:textId="77777777" w:rsidR="00396C56" w:rsidRPr="003B6E5E" w:rsidRDefault="00396C56" w:rsidP="007F4632">
            <w:pPr>
              <w:pStyle w:val="Default"/>
              <w:spacing w:before="20" w:after="20"/>
              <w:rPr>
                <w:color w:val="3366CC"/>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9BD6C6B" w14:textId="77777777" w:rsidR="00396C56" w:rsidRPr="003B6E5E" w:rsidRDefault="00396C56" w:rsidP="007F4632">
            <w:pPr>
              <w:tabs>
                <w:tab w:val="left" w:pos="294"/>
              </w:tabs>
              <w:spacing w:before="20" w:after="20"/>
              <w:rPr>
                <w:color w:val="3366CC"/>
                <w:sz w:val="16"/>
                <w:szCs w:val="16"/>
              </w:rPr>
            </w:pPr>
            <w:r w:rsidRPr="003B6E5E">
              <w:rPr>
                <w:color w:val="3366CC"/>
                <w:sz w:val="16"/>
                <w:szCs w:val="16"/>
              </w:rPr>
              <w:t xml:space="preserve">The mean NAC and NAL % depletion &lt; 4.9% </w:t>
            </w:r>
          </w:p>
          <w:p w14:paraId="72F5339D" w14:textId="77777777" w:rsidR="00396C56" w:rsidRPr="003B6E5E" w:rsidRDefault="00396C56" w:rsidP="007F4632">
            <w:pPr>
              <w:tabs>
                <w:tab w:val="left" w:pos="294"/>
              </w:tabs>
              <w:spacing w:before="20" w:after="20"/>
              <w:rPr>
                <w:color w:val="3366CC"/>
                <w:sz w:val="16"/>
                <w:szCs w:val="16"/>
              </w:rPr>
            </w:pPr>
            <w:r w:rsidRPr="003B6E5E">
              <w:rPr>
                <w:color w:val="3366CC"/>
                <w:sz w:val="16"/>
                <w:szCs w:val="16"/>
              </w:rPr>
              <w:t>Or</w:t>
            </w:r>
          </w:p>
          <w:p w14:paraId="43C9F9DB" w14:textId="77777777" w:rsidR="00396C56" w:rsidRPr="003B6E5E" w:rsidRDefault="00396C56" w:rsidP="007F4632">
            <w:pPr>
              <w:tabs>
                <w:tab w:val="left" w:pos="294"/>
              </w:tabs>
              <w:spacing w:before="20" w:after="20"/>
              <w:rPr>
                <w:color w:val="3366CC"/>
                <w:sz w:val="16"/>
                <w:szCs w:val="16"/>
              </w:rPr>
            </w:pPr>
            <w:r w:rsidRPr="003B6E5E">
              <w:rPr>
                <w:color w:val="3366CC"/>
                <w:sz w:val="16"/>
                <w:szCs w:val="16"/>
              </w:rPr>
              <w:t>NAC% depletion &lt; 5.6%</w:t>
            </w:r>
          </w:p>
        </w:tc>
        <w:tc>
          <w:tcPr>
            <w:tcW w:w="1196" w:type="dxa"/>
            <w:tcBorders>
              <w:top w:val="single" w:sz="4" w:space="0" w:color="auto"/>
              <w:left w:val="single" w:sz="4" w:space="0" w:color="auto"/>
              <w:bottom w:val="single" w:sz="4" w:space="0" w:color="auto"/>
              <w:right w:val="single" w:sz="4" w:space="0" w:color="auto"/>
            </w:tcBorders>
            <w:shd w:val="clear" w:color="auto" w:fill="auto"/>
          </w:tcPr>
          <w:p w14:paraId="36832F16" w14:textId="77777777" w:rsidR="00396C56" w:rsidRPr="003B6E5E" w:rsidRDefault="00396C56" w:rsidP="007F4632">
            <w:pPr>
              <w:pStyle w:val="Default"/>
              <w:spacing w:before="20" w:after="20"/>
              <w:ind w:left="109"/>
              <w:rPr>
                <w:color w:val="3366CC"/>
                <w:sz w:val="16"/>
                <w:szCs w:val="16"/>
              </w:rPr>
            </w:pPr>
            <w:r w:rsidRPr="003B6E5E">
              <w:rPr>
                <w:color w:val="3366CC"/>
                <w:sz w:val="16"/>
                <w:szCs w:val="16"/>
              </w:rPr>
              <w:t>Not applicable</w:t>
            </w: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61B22160" w14:textId="77777777" w:rsidR="00396C56" w:rsidRPr="003B6E5E" w:rsidRDefault="00396C56" w:rsidP="007F4632">
            <w:pPr>
              <w:spacing w:before="20" w:after="20"/>
              <w:rPr>
                <w:color w:val="3366CC"/>
                <w:sz w:val="16"/>
                <w:szCs w:val="16"/>
              </w:rPr>
            </w:pPr>
            <w:r w:rsidRPr="003B6E5E">
              <w:rPr>
                <w:color w:val="3366CC"/>
                <w:sz w:val="16"/>
                <w:szCs w:val="16"/>
              </w:rPr>
              <w:t>At least one of the conditions for Category 1 is not met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B75D89" w14:textId="77777777" w:rsidR="00396C56" w:rsidRPr="003B6E5E" w:rsidRDefault="00396C56" w:rsidP="007F4632">
            <w:pPr>
              <w:spacing w:before="20" w:after="20"/>
              <w:rPr>
                <w:color w:val="3366CC"/>
                <w:sz w:val="16"/>
                <w:szCs w:val="16"/>
              </w:rPr>
            </w:pPr>
            <w:r w:rsidRPr="003B6E5E">
              <w:rPr>
                <w:color w:val="3366CC"/>
                <w:sz w:val="16"/>
                <w:szCs w:val="16"/>
              </w:rPr>
              <w:t>At least one of the conditions for Category 1 is not met</w:t>
            </w: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5A8BF555" w14:textId="77777777" w:rsidR="00396C56" w:rsidRPr="003B6E5E" w:rsidRDefault="00396C56" w:rsidP="007F4632">
            <w:pPr>
              <w:spacing w:before="20" w:after="20"/>
              <w:rPr>
                <w:color w:val="3366CC"/>
                <w:sz w:val="16"/>
                <w:szCs w:val="16"/>
              </w:rPr>
            </w:pPr>
            <w:r w:rsidRPr="003B6E5E">
              <w:rPr>
                <w:color w:val="3366CC"/>
                <w:sz w:val="16"/>
                <w:szCs w:val="16"/>
              </w:rPr>
              <w:t>None of the conditions for Cate</w:t>
            </w:r>
            <w:r>
              <w:rPr>
                <w:color w:val="3366CC"/>
                <w:sz w:val="16"/>
                <w:szCs w:val="16"/>
              </w:rPr>
              <w:t>g</w:t>
            </w:r>
            <w:r w:rsidRPr="003B6E5E">
              <w:rPr>
                <w:color w:val="3366CC"/>
                <w:sz w:val="16"/>
                <w:szCs w:val="16"/>
              </w:rPr>
              <w:t>ory 1 is met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4FB04B" w14:textId="77777777" w:rsidR="00396C56" w:rsidRPr="003B6E5E" w:rsidRDefault="00396C56" w:rsidP="007F4632">
            <w:pPr>
              <w:spacing w:before="20" w:after="20"/>
              <w:rPr>
                <w:color w:val="3366CC"/>
                <w:sz w:val="16"/>
                <w:szCs w:val="16"/>
              </w:rPr>
            </w:pPr>
            <w:r w:rsidRPr="003B6E5E">
              <w:rPr>
                <w:color w:val="3366CC"/>
                <w:sz w:val="16"/>
                <w:szCs w:val="16"/>
              </w:rPr>
              <w:t>The stimulation index of CD86 is &lt; 150% at all non-cytotoxic concentrations (cell viability ≥ 70%) and if no interference is observed</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7A2B1518" w14:textId="77777777" w:rsidR="00396C56" w:rsidRPr="003B6E5E" w:rsidRDefault="00396C56" w:rsidP="007F4632">
            <w:pPr>
              <w:spacing w:before="20" w:after="20"/>
              <w:rPr>
                <w:color w:val="3366CC"/>
                <w:sz w:val="16"/>
                <w:szCs w:val="16"/>
              </w:rPr>
            </w:pPr>
            <w:r w:rsidRPr="003B6E5E">
              <w:rPr>
                <w:color w:val="3366CC"/>
                <w:sz w:val="16"/>
                <w:szCs w:val="16"/>
              </w:rPr>
              <w:t>The Ind-IL8LA is less than (&lt;) 1.4 and/or the lower limit of the 95% confidence interval of Ind-IL8LA is less than (&lt;) 1.0 in at least 3 out of a maximum of 4 independent runs</w:t>
            </w: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61D5307A" w14:textId="77777777" w:rsidR="00396C56" w:rsidRPr="003B6E5E" w:rsidRDefault="00396C56" w:rsidP="007F4632">
            <w:pPr>
              <w:spacing w:before="20" w:after="20"/>
              <w:rPr>
                <w:color w:val="3366CC"/>
                <w:sz w:val="16"/>
                <w:szCs w:val="16"/>
              </w:rPr>
            </w:pPr>
            <w:r w:rsidRPr="003B6E5E">
              <w:rPr>
                <w:color w:val="3366CC"/>
                <w:sz w:val="16"/>
                <w:szCs w:val="16"/>
              </w:rPr>
              <w:t>The mean Decision Value (DV) is &lt;0</w:t>
            </w:r>
          </w:p>
        </w:tc>
      </w:tr>
    </w:tbl>
    <w:p w14:paraId="1E7104D2" w14:textId="77777777" w:rsidR="00396C56" w:rsidRPr="0018632C" w:rsidRDefault="00396C56" w:rsidP="00396C56">
      <w:pPr>
        <w:ind w:left="1134" w:right="2051"/>
        <w:jc w:val="both"/>
        <w:rPr>
          <w:i/>
          <w:iCs/>
          <w:color w:val="3366CC"/>
          <w:sz w:val="16"/>
          <w:szCs w:val="16"/>
        </w:rPr>
      </w:pPr>
      <w:r w:rsidRPr="0018632C">
        <w:rPr>
          <w:i/>
          <w:iCs/>
          <w:color w:val="3366CC"/>
          <w:sz w:val="16"/>
          <w:szCs w:val="16"/>
          <w:vertAlign w:val="superscript"/>
        </w:rPr>
        <w:t>a</w:t>
      </w:r>
      <w:r w:rsidRPr="0018632C">
        <w:rPr>
          <w:i/>
          <w:iCs/>
          <w:color w:val="3366CC"/>
          <w:sz w:val="16"/>
          <w:szCs w:val="16"/>
        </w:rPr>
        <w:t xml:space="preserve"> </w:t>
      </w:r>
      <w:r w:rsidRPr="0018632C">
        <w:rPr>
          <w:i/>
          <w:iCs/>
          <w:color w:val="3366CC"/>
          <w:sz w:val="16"/>
          <w:szCs w:val="16"/>
        </w:rPr>
        <w:tab/>
        <w:t>Data cannot be used as stand-alone to conclude on classification in Category 1 or on no classification in tier 1 but could be used to conclude on classification in category 1 in Tier 2 depending on the decision of the competent authority for their regulatory framework.</w:t>
      </w:r>
    </w:p>
    <w:p w14:paraId="22DF19DD" w14:textId="3D795CE0" w:rsidR="00760F29" w:rsidRPr="0018632C" w:rsidRDefault="00396C56" w:rsidP="00396C56">
      <w:pPr>
        <w:ind w:left="1134" w:right="2051"/>
        <w:jc w:val="both"/>
        <w:rPr>
          <w:i/>
          <w:iCs/>
          <w:lang w:val="fr-CH"/>
        </w:rPr>
        <w:sectPr w:rsidR="00760F29" w:rsidRPr="0018632C" w:rsidSect="00760F29">
          <w:headerReference w:type="even" r:id="rId23"/>
          <w:headerReference w:type="default" r:id="rId24"/>
          <w:footerReference w:type="even" r:id="rId25"/>
          <w:footerReference w:type="default" r:id="rId26"/>
          <w:pgSz w:w="16838" w:h="11906" w:orient="landscape"/>
          <w:pgMar w:top="1440" w:right="1440" w:bottom="1440" w:left="1440" w:header="708" w:footer="708" w:gutter="0"/>
          <w:cols w:space="708"/>
          <w:docGrid w:linePitch="360"/>
        </w:sectPr>
      </w:pPr>
      <w:r w:rsidRPr="0018632C">
        <w:rPr>
          <w:i/>
          <w:iCs/>
          <w:color w:val="3366CC"/>
          <w:sz w:val="16"/>
          <w:szCs w:val="16"/>
          <w:vertAlign w:val="superscript"/>
        </w:rPr>
        <w:t>b</w:t>
      </w:r>
      <w:r w:rsidRPr="0018632C">
        <w:rPr>
          <w:i/>
          <w:iCs/>
          <w:color w:val="3366CC"/>
          <w:sz w:val="16"/>
          <w:szCs w:val="16"/>
        </w:rPr>
        <w:t xml:space="preserve"> </w:t>
      </w:r>
      <w:r w:rsidRPr="0018632C">
        <w:rPr>
          <w:i/>
          <w:iCs/>
          <w:color w:val="3366CC"/>
          <w:sz w:val="16"/>
          <w:szCs w:val="16"/>
        </w:rPr>
        <w:tab/>
        <w:t>A competent authority may decide that data can be used as stand-alone to conclude on classification in sub-category 1A.</w:t>
      </w:r>
      <w:r w:rsidR="00760F29" w:rsidRPr="0018632C">
        <w:rPr>
          <w:i/>
          <w:iCs/>
          <w:lang w:val="fr-CH"/>
        </w:rPr>
        <w:tab/>
      </w:r>
    </w:p>
    <w:p w14:paraId="2BA59219" w14:textId="77777777" w:rsidR="00DF2EC1" w:rsidRPr="00CB7CF2" w:rsidRDefault="00DF2EC1" w:rsidP="00DF2EC1">
      <w:pPr>
        <w:pStyle w:val="GHSHeading3"/>
        <w:keepNext w:val="0"/>
        <w:spacing w:before="240" w:after="240"/>
        <w:jc w:val="both"/>
        <w:rPr>
          <w:color w:val="1F497D" w:themeColor="text2"/>
          <w:sz w:val="20"/>
          <w:szCs w:val="20"/>
        </w:rPr>
      </w:pPr>
      <w:r w:rsidRPr="00CB7CF2">
        <w:rPr>
          <w:color w:val="1F497D" w:themeColor="text2"/>
          <w:sz w:val="20"/>
          <w:szCs w:val="20"/>
        </w:rPr>
        <w:t>_________________________</w:t>
      </w:r>
    </w:p>
    <w:p w14:paraId="09E29D61" w14:textId="77777777" w:rsidR="00DF2EC1" w:rsidRPr="00CB7CF2" w:rsidRDefault="00DF2EC1" w:rsidP="00DF2EC1">
      <w:pPr>
        <w:pStyle w:val="GHSHeading3"/>
        <w:keepNext w:val="0"/>
        <w:spacing w:before="240" w:after="240"/>
        <w:ind w:left="851"/>
        <w:jc w:val="both"/>
        <w:rPr>
          <w:b w:val="0"/>
          <w:i/>
          <w:color w:val="0070C0"/>
          <w:sz w:val="20"/>
          <w:szCs w:val="20"/>
        </w:rPr>
      </w:pPr>
      <w:r w:rsidRPr="00CB7CF2">
        <w:rPr>
          <w:b w:val="0"/>
          <w:color w:val="0070C0"/>
          <w:sz w:val="20"/>
          <w:szCs w:val="20"/>
        </w:rPr>
        <w:t>*</w:t>
      </w:r>
      <w:r w:rsidRPr="00CB7CF2">
        <w:rPr>
          <w:b w:val="0"/>
          <w:color w:val="0070C0"/>
          <w:sz w:val="20"/>
          <w:szCs w:val="20"/>
        </w:rPr>
        <w:tab/>
      </w:r>
      <w:r w:rsidRPr="00CB7CF2">
        <w:rPr>
          <w:b w:val="0"/>
          <w:i/>
          <w:color w:val="0070C0"/>
          <w:sz w:val="20"/>
          <w:szCs w:val="20"/>
        </w:rPr>
        <w:t>References:</w:t>
      </w:r>
    </w:p>
    <w:p w14:paraId="55BC52FA" w14:textId="77777777" w:rsidR="00DF2EC1" w:rsidRPr="00F002C5" w:rsidRDefault="00DF2EC1" w:rsidP="00DF2EC1">
      <w:pPr>
        <w:spacing w:after="240"/>
        <w:ind w:left="851"/>
        <w:jc w:val="both"/>
        <w:rPr>
          <w:color w:val="3366CC"/>
        </w:rPr>
      </w:pPr>
      <w:proofErr w:type="spellStart"/>
      <w:r w:rsidRPr="00F002C5">
        <w:rPr>
          <w:color w:val="3366CC"/>
        </w:rPr>
        <w:t>Corsini</w:t>
      </w:r>
      <w:proofErr w:type="spellEnd"/>
      <w:r w:rsidRPr="00F002C5">
        <w:rPr>
          <w:color w:val="3366CC"/>
        </w:rPr>
        <w:t xml:space="preserve">, E., </w:t>
      </w:r>
      <w:proofErr w:type="spellStart"/>
      <w:r w:rsidRPr="00F002C5">
        <w:rPr>
          <w:color w:val="3366CC"/>
        </w:rPr>
        <w:t>Clewell</w:t>
      </w:r>
      <w:proofErr w:type="spellEnd"/>
      <w:r w:rsidRPr="00F002C5">
        <w:rPr>
          <w:color w:val="3366CC"/>
        </w:rPr>
        <w:t xml:space="preserve">, R., </w:t>
      </w:r>
      <w:proofErr w:type="spellStart"/>
      <w:r w:rsidRPr="00F002C5">
        <w:rPr>
          <w:color w:val="3366CC"/>
        </w:rPr>
        <w:t>Cotgreave</w:t>
      </w:r>
      <w:proofErr w:type="spellEnd"/>
      <w:r w:rsidRPr="00F002C5">
        <w:rPr>
          <w:color w:val="3366CC"/>
        </w:rPr>
        <w:t xml:space="preserve">, I., </w:t>
      </w:r>
      <w:proofErr w:type="spellStart"/>
      <w:r w:rsidRPr="00F002C5">
        <w:rPr>
          <w:color w:val="3366CC"/>
        </w:rPr>
        <w:t>Eskes</w:t>
      </w:r>
      <w:proofErr w:type="spellEnd"/>
      <w:r w:rsidRPr="00F002C5">
        <w:rPr>
          <w:color w:val="3366CC"/>
        </w:rPr>
        <w:t xml:space="preserve">, C., Kopp-Schneider, A., Westmoreland, C., Alves, P.M., </w:t>
      </w:r>
      <w:proofErr w:type="spellStart"/>
      <w:r w:rsidRPr="00F002C5">
        <w:rPr>
          <w:color w:val="3366CC"/>
        </w:rPr>
        <w:t>Navas</w:t>
      </w:r>
      <w:proofErr w:type="spellEnd"/>
      <w:r w:rsidRPr="00F002C5">
        <w:rPr>
          <w:color w:val="3366CC"/>
        </w:rPr>
        <w:t xml:space="preserve">, J.M. and </w:t>
      </w:r>
      <w:proofErr w:type="spellStart"/>
      <w:r w:rsidRPr="00F002C5">
        <w:rPr>
          <w:color w:val="3366CC"/>
        </w:rPr>
        <w:t>Piersma</w:t>
      </w:r>
      <w:proofErr w:type="spellEnd"/>
      <w:r w:rsidRPr="00F002C5">
        <w:rPr>
          <w:color w:val="3366CC"/>
        </w:rPr>
        <w:t xml:space="preserve">, A., ESAC Opinion on the Scientific Validity of the </w:t>
      </w:r>
      <w:proofErr w:type="spellStart"/>
      <w:r w:rsidRPr="00F002C5">
        <w:rPr>
          <w:color w:val="3366CC"/>
        </w:rPr>
        <w:t>GARDskin</w:t>
      </w:r>
      <w:proofErr w:type="spellEnd"/>
      <w:r w:rsidRPr="00F002C5">
        <w:rPr>
          <w:color w:val="3366CC"/>
        </w:rPr>
        <w:t xml:space="preserve"> and </w:t>
      </w:r>
      <w:proofErr w:type="spellStart"/>
      <w:r w:rsidRPr="00F002C5">
        <w:rPr>
          <w:color w:val="3366CC"/>
        </w:rPr>
        <w:t>GARDpotency</w:t>
      </w:r>
      <w:proofErr w:type="spellEnd"/>
      <w:r w:rsidRPr="00F002C5">
        <w:rPr>
          <w:color w:val="3366CC"/>
        </w:rPr>
        <w:t xml:space="preserve"> Test Methods, </w:t>
      </w:r>
      <w:proofErr w:type="spellStart"/>
      <w:r w:rsidRPr="00F002C5">
        <w:rPr>
          <w:color w:val="3366CC"/>
        </w:rPr>
        <w:t>Asturiol</w:t>
      </w:r>
      <w:proofErr w:type="spellEnd"/>
      <w:r w:rsidRPr="00F002C5">
        <w:rPr>
          <w:color w:val="3366CC"/>
        </w:rPr>
        <w:t xml:space="preserve"> </w:t>
      </w:r>
      <w:proofErr w:type="spellStart"/>
      <w:r w:rsidRPr="00F002C5">
        <w:rPr>
          <w:color w:val="3366CC"/>
        </w:rPr>
        <w:t>Bofill</w:t>
      </w:r>
      <w:proofErr w:type="spellEnd"/>
      <w:r w:rsidRPr="00F002C5">
        <w:rPr>
          <w:color w:val="3366CC"/>
        </w:rPr>
        <w:t xml:space="preserve">, D., </w:t>
      </w:r>
      <w:proofErr w:type="spellStart"/>
      <w:r w:rsidRPr="00F002C5">
        <w:rPr>
          <w:color w:val="3366CC"/>
        </w:rPr>
        <w:t>Casati</w:t>
      </w:r>
      <w:proofErr w:type="spellEnd"/>
      <w:r w:rsidRPr="00F002C5">
        <w:rPr>
          <w:color w:val="3366CC"/>
        </w:rPr>
        <w:t>, S. and Viegas Barroso, J.F. editor(s), Publications Office of the European Union, Luxembourg, 2021, ISBN 978-92-76-40345-6, doi:10.2760/626728, JRC125963.</w:t>
      </w:r>
    </w:p>
    <w:p w14:paraId="7B579B34" w14:textId="77777777" w:rsidR="00DF2EC1" w:rsidRPr="00F002C5" w:rsidRDefault="00DF2EC1" w:rsidP="00DF2EC1">
      <w:pPr>
        <w:spacing w:after="240"/>
        <w:ind w:left="851"/>
        <w:jc w:val="both"/>
        <w:rPr>
          <w:color w:val="3366CC"/>
        </w:rPr>
      </w:pPr>
      <w:proofErr w:type="spellStart"/>
      <w:r w:rsidRPr="00F002C5">
        <w:rPr>
          <w:color w:val="3366CC"/>
          <w:lang w:val="fr-CA"/>
        </w:rPr>
        <w:t>Cottrez</w:t>
      </w:r>
      <w:proofErr w:type="spellEnd"/>
      <w:r w:rsidRPr="00F002C5">
        <w:rPr>
          <w:color w:val="3366CC"/>
          <w:lang w:val="fr-CA"/>
        </w:rPr>
        <w:t xml:space="preserve"> F, </w:t>
      </w:r>
      <w:proofErr w:type="spellStart"/>
      <w:r w:rsidRPr="00F002C5">
        <w:rPr>
          <w:color w:val="3366CC"/>
          <w:lang w:val="fr-CA"/>
        </w:rPr>
        <w:t>Boitel</w:t>
      </w:r>
      <w:proofErr w:type="spellEnd"/>
      <w:r w:rsidRPr="00F002C5">
        <w:rPr>
          <w:color w:val="3366CC"/>
          <w:lang w:val="fr-CA"/>
        </w:rPr>
        <w:t xml:space="preserve"> E, </w:t>
      </w:r>
      <w:proofErr w:type="spellStart"/>
      <w:r w:rsidRPr="00F002C5">
        <w:rPr>
          <w:color w:val="3366CC"/>
          <w:lang w:val="fr-CA"/>
        </w:rPr>
        <w:t>Auriault</w:t>
      </w:r>
      <w:proofErr w:type="spellEnd"/>
      <w:r w:rsidRPr="00F002C5">
        <w:rPr>
          <w:color w:val="3366CC"/>
          <w:lang w:val="fr-CA"/>
        </w:rPr>
        <w:t xml:space="preserve"> C, </w:t>
      </w:r>
      <w:proofErr w:type="spellStart"/>
      <w:r w:rsidRPr="00F002C5">
        <w:rPr>
          <w:color w:val="3366CC"/>
          <w:lang w:val="fr-CA"/>
        </w:rPr>
        <w:t>Aeby</w:t>
      </w:r>
      <w:proofErr w:type="spellEnd"/>
      <w:r w:rsidRPr="00F002C5">
        <w:rPr>
          <w:color w:val="3366CC"/>
          <w:lang w:val="fr-CA"/>
        </w:rPr>
        <w:t xml:space="preserve"> P, Groux H.</w:t>
      </w:r>
      <w:hyperlink r:id="rId27" w:history="1">
        <w:r w:rsidRPr="00F002C5">
          <w:rPr>
            <w:rStyle w:val="Hyperlink"/>
            <w:color w:val="3366CC"/>
          </w:rPr>
          <w:t>Genes specifically modulated in sensitized skins allow the detection of sensitizers in a reconstructed human skin model. Development of the SENS-IS assay.</w:t>
        </w:r>
      </w:hyperlink>
      <w:r w:rsidRPr="00F002C5">
        <w:rPr>
          <w:color w:val="3366CC"/>
        </w:rPr>
        <w:t xml:space="preserve"> </w:t>
      </w:r>
      <w:proofErr w:type="spellStart"/>
      <w:r w:rsidRPr="00F002C5">
        <w:rPr>
          <w:color w:val="3366CC"/>
        </w:rPr>
        <w:t>Toxicol</w:t>
      </w:r>
      <w:proofErr w:type="spellEnd"/>
      <w:r w:rsidRPr="00F002C5">
        <w:rPr>
          <w:color w:val="3366CC"/>
        </w:rPr>
        <w:t xml:space="preserve"> In Vitro. 2015 Jun;29(4):787-802. </w:t>
      </w:r>
      <w:proofErr w:type="spellStart"/>
      <w:r w:rsidRPr="00F002C5">
        <w:rPr>
          <w:color w:val="3366CC"/>
        </w:rPr>
        <w:t>doi</w:t>
      </w:r>
      <w:proofErr w:type="spellEnd"/>
      <w:r w:rsidRPr="00F002C5">
        <w:rPr>
          <w:color w:val="3366CC"/>
        </w:rPr>
        <w:t>: 10.1016/j.tiv.2015.02.012.</w:t>
      </w:r>
    </w:p>
    <w:p w14:paraId="2EAAC27D" w14:textId="77777777" w:rsidR="00DF2EC1" w:rsidRPr="00F002C5" w:rsidRDefault="00DF2EC1" w:rsidP="00DF2EC1">
      <w:pPr>
        <w:spacing w:after="240"/>
        <w:ind w:left="851"/>
        <w:jc w:val="both"/>
        <w:rPr>
          <w:color w:val="3366CC"/>
        </w:rPr>
      </w:pPr>
      <w:proofErr w:type="spellStart"/>
      <w:r w:rsidRPr="00F002C5">
        <w:rPr>
          <w:color w:val="3366CC"/>
        </w:rPr>
        <w:t>Cottrez</w:t>
      </w:r>
      <w:proofErr w:type="spellEnd"/>
      <w:r w:rsidRPr="00F002C5">
        <w:rPr>
          <w:color w:val="3366CC"/>
        </w:rPr>
        <w:t xml:space="preserve"> F, </w:t>
      </w:r>
      <w:proofErr w:type="spellStart"/>
      <w:r w:rsidRPr="00F002C5">
        <w:rPr>
          <w:color w:val="3366CC"/>
        </w:rPr>
        <w:t>Boitel</w:t>
      </w:r>
      <w:proofErr w:type="spellEnd"/>
      <w:r w:rsidRPr="00F002C5">
        <w:rPr>
          <w:color w:val="3366CC"/>
        </w:rPr>
        <w:t xml:space="preserve"> E, </w:t>
      </w:r>
      <w:proofErr w:type="spellStart"/>
      <w:r w:rsidRPr="00F002C5">
        <w:rPr>
          <w:color w:val="3366CC"/>
        </w:rPr>
        <w:t>Ourlin</w:t>
      </w:r>
      <w:proofErr w:type="spellEnd"/>
      <w:r w:rsidRPr="00F002C5">
        <w:rPr>
          <w:color w:val="3366CC"/>
        </w:rPr>
        <w:t xml:space="preserve"> JC, </w:t>
      </w:r>
      <w:proofErr w:type="spellStart"/>
      <w:r w:rsidRPr="00F002C5">
        <w:rPr>
          <w:color w:val="3366CC"/>
        </w:rPr>
        <w:t>Peiffer</w:t>
      </w:r>
      <w:proofErr w:type="spellEnd"/>
      <w:r w:rsidRPr="00F002C5">
        <w:rPr>
          <w:color w:val="3366CC"/>
        </w:rPr>
        <w:t xml:space="preserve"> JL, Fabre I, </w:t>
      </w:r>
      <w:proofErr w:type="spellStart"/>
      <w:r w:rsidRPr="00F002C5">
        <w:rPr>
          <w:color w:val="3366CC"/>
        </w:rPr>
        <w:t>Henaoui</w:t>
      </w:r>
      <w:proofErr w:type="spellEnd"/>
      <w:r w:rsidRPr="00F002C5">
        <w:rPr>
          <w:color w:val="3366CC"/>
        </w:rPr>
        <w:t xml:space="preserve"> IS, Mari B, </w:t>
      </w:r>
      <w:proofErr w:type="spellStart"/>
      <w:r w:rsidRPr="00F002C5">
        <w:rPr>
          <w:color w:val="3366CC"/>
        </w:rPr>
        <w:t>Vallauri</w:t>
      </w:r>
      <w:proofErr w:type="spellEnd"/>
      <w:r w:rsidRPr="00F002C5">
        <w:rPr>
          <w:color w:val="3366CC"/>
        </w:rPr>
        <w:t xml:space="preserve"> A, Paquet A, </w:t>
      </w:r>
      <w:proofErr w:type="spellStart"/>
      <w:r w:rsidRPr="00F002C5">
        <w:rPr>
          <w:color w:val="3366CC"/>
        </w:rPr>
        <w:t>Barbry</w:t>
      </w:r>
      <w:proofErr w:type="spellEnd"/>
      <w:r w:rsidRPr="00F002C5">
        <w:rPr>
          <w:color w:val="3366CC"/>
        </w:rPr>
        <w:t xml:space="preserve"> P, </w:t>
      </w:r>
      <w:proofErr w:type="spellStart"/>
      <w:r w:rsidRPr="00F002C5">
        <w:rPr>
          <w:color w:val="3366CC"/>
        </w:rPr>
        <w:t>Auriault</w:t>
      </w:r>
      <w:proofErr w:type="spellEnd"/>
      <w:r w:rsidRPr="00F002C5">
        <w:rPr>
          <w:color w:val="3366CC"/>
        </w:rPr>
        <w:t xml:space="preserve"> C, </w:t>
      </w:r>
      <w:proofErr w:type="spellStart"/>
      <w:r w:rsidRPr="00F002C5">
        <w:rPr>
          <w:color w:val="3366CC"/>
        </w:rPr>
        <w:t>Aeby</w:t>
      </w:r>
      <w:proofErr w:type="spellEnd"/>
      <w:r w:rsidRPr="00F002C5">
        <w:rPr>
          <w:color w:val="3366CC"/>
        </w:rPr>
        <w:t xml:space="preserve"> P, </w:t>
      </w:r>
      <w:proofErr w:type="spellStart"/>
      <w:r w:rsidRPr="00F002C5">
        <w:rPr>
          <w:color w:val="3366CC"/>
        </w:rPr>
        <w:t>Groux</w:t>
      </w:r>
      <w:proofErr w:type="spellEnd"/>
      <w:r w:rsidRPr="00F002C5">
        <w:rPr>
          <w:color w:val="3366CC"/>
        </w:rPr>
        <w:t xml:space="preserve"> H. SENS-IS, a 3D reconstituted </w:t>
      </w:r>
      <w:proofErr w:type="gramStart"/>
      <w:r w:rsidRPr="00F002C5">
        <w:rPr>
          <w:color w:val="3366CC"/>
        </w:rPr>
        <w:t>epidermis based</w:t>
      </w:r>
      <w:proofErr w:type="gramEnd"/>
      <w:r w:rsidRPr="00F002C5">
        <w:rPr>
          <w:color w:val="3366CC"/>
        </w:rPr>
        <w:t xml:space="preserve"> model for quantifying chemical sensitization potency: Reproducibility and predictivity results from an inter-laboratory study. </w:t>
      </w:r>
      <w:proofErr w:type="spellStart"/>
      <w:r w:rsidRPr="00F002C5">
        <w:rPr>
          <w:color w:val="3366CC"/>
        </w:rPr>
        <w:t>Toxicol</w:t>
      </w:r>
      <w:proofErr w:type="spellEnd"/>
      <w:r w:rsidRPr="00F002C5">
        <w:rPr>
          <w:color w:val="3366CC"/>
        </w:rPr>
        <w:t xml:space="preserve"> In Vitro 2016 </w:t>
      </w:r>
      <w:proofErr w:type="gramStart"/>
      <w:r w:rsidRPr="00F002C5">
        <w:rPr>
          <w:color w:val="3366CC"/>
        </w:rPr>
        <w:t>Apr;32:248</w:t>
      </w:r>
      <w:proofErr w:type="gramEnd"/>
      <w:r w:rsidRPr="00F002C5">
        <w:rPr>
          <w:color w:val="3366CC"/>
        </w:rPr>
        <w:t xml:space="preserve">-60. </w:t>
      </w:r>
      <w:proofErr w:type="spellStart"/>
      <w:r w:rsidRPr="00F002C5">
        <w:rPr>
          <w:color w:val="3366CC"/>
        </w:rPr>
        <w:t>doi</w:t>
      </w:r>
      <w:proofErr w:type="spellEnd"/>
      <w:r w:rsidRPr="00F002C5">
        <w:rPr>
          <w:color w:val="3366CC"/>
        </w:rPr>
        <w:t>: 10.1016/j.tiv.2016.01.007.</w:t>
      </w:r>
    </w:p>
    <w:p w14:paraId="178FAC38" w14:textId="77777777" w:rsidR="00DF2EC1" w:rsidRPr="0049035A" w:rsidRDefault="00DF2EC1" w:rsidP="00DF2EC1">
      <w:pPr>
        <w:spacing w:after="240"/>
        <w:ind w:left="851"/>
        <w:jc w:val="both"/>
        <w:rPr>
          <w:color w:val="0070C0"/>
        </w:rPr>
      </w:pPr>
      <w:r w:rsidRPr="0049035A">
        <w:rPr>
          <w:color w:val="0070C0"/>
        </w:rPr>
        <w:t>ECHA Guidance on the Application of the CLP Criteria Guidance to Regulation (EC) No 1272/2008 on classification, labelling and packaging (CLP) of substances and mixtures Version 5.0 July 2017</w:t>
      </w:r>
    </w:p>
    <w:p w14:paraId="7C0C0E4C" w14:textId="77777777" w:rsidR="00DF2EC1" w:rsidRPr="0049035A" w:rsidRDefault="00DF2EC1" w:rsidP="00DF2EC1">
      <w:pPr>
        <w:spacing w:after="240"/>
        <w:ind w:left="851"/>
        <w:jc w:val="both"/>
        <w:rPr>
          <w:color w:val="0070C0"/>
        </w:rPr>
      </w:pPr>
      <w:r w:rsidRPr="0049035A">
        <w:rPr>
          <w:color w:val="0070C0"/>
        </w:rPr>
        <w:t xml:space="preserve">Gradin R., Johansson A., </w:t>
      </w:r>
      <w:proofErr w:type="spellStart"/>
      <w:r w:rsidRPr="0049035A">
        <w:rPr>
          <w:color w:val="0070C0"/>
        </w:rPr>
        <w:t>Forreryd</w:t>
      </w:r>
      <w:proofErr w:type="spellEnd"/>
      <w:r w:rsidRPr="0049035A">
        <w:rPr>
          <w:color w:val="0070C0"/>
        </w:rPr>
        <w:t xml:space="preserve"> A., </w:t>
      </w:r>
      <w:proofErr w:type="spellStart"/>
      <w:r w:rsidRPr="0049035A">
        <w:rPr>
          <w:color w:val="0070C0"/>
        </w:rPr>
        <w:t>Aaltonen</w:t>
      </w:r>
      <w:proofErr w:type="spellEnd"/>
      <w:r w:rsidRPr="0049035A">
        <w:rPr>
          <w:color w:val="0070C0"/>
        </w:rPr>
        <w:t xml:space="preserve"> E., </w:t>
      </w:r>
      <w:proofErr w:type="spellStart"/>
      <w:r w:rsidRPr="0049035A">
        <w:rPr>
          <w:color w:val="0070C0"/>
        </w:rPr>
        <w:t>Jerre</w:t>
      </w:r>
      <w:proofErr w:type="spellEnd"/>
      <w:r w:rsidRPr="0049035A">
        <w:rPr>
          <w:color w:val="0070C0"/>
        </w:rPr>
        <w:t xml:space="preserve"> A., Larne O., Mattson U., Johansson H. (2020) The </w:t>
      </w:r>
      <w:proofErr w:type="spellStart"/>
      <w:r w:rsidRPr="0049035A">
        <w:rPr>
          <w:color w:val="0070C0"/>
        </w:rPr>
        <w:t>GARDpotency</w:t>
      </w:r>
      <w:proofErr w:type="spellEnd"/>
      <w:r w:rsidRPr="0049035A">
        <w:rPr>
          <w:color w:val="0070C0"/>
        </w:rPr>
        <w:t xml:space="preserve"> assay for potency-associated subclassification of chemical skin sensitizers – Rationale, method development, and ring trial results of predictive performance and reproducibility. </w:t>
      </w:r>
      <w:proofErr w:type="spellStart"/>
      <w:r w:rsidRPr="0049035A">
        <w:rPr>
          <w:color w:val="0070C0"/>
        </w:rPr>
        <w:t>Toxicol</w:t>
      </w:r>
      <w:proofErr w:type="spellEnd"/>
      <w:r w:rsidRPr="0049035A">
        <w:rPr>
          <w:color w:val="0070C0"/>
        </w:rPr>
        <w:t>. Sci. 176(2):423-432. Doi: 10.1093/</w:t>
      </w:r>
      <w:proofErr w:type="spellStart"/>
      <w:r w:rsidRPr="0049035A">
        <w:rPr>
          <w:color w:val="0070C0"/>
        </w:rPr>
        <w:t>toxsci</w:t>
      </w:r>
      <w:proofErr w:type="spellEnd"/>
      <w:r w:rsidRPr="0049035A">
        <w:rPr>
          <w:color w:val="0070C0"/>
        </w:rPr>
        <w:t>/kfaa068</w:t>
      </w:r>
    </w:p>
    <w:p w14:paraId="50B1E4DC" w14:textId="77777777" w:rsidR="00DF2EC1" w:rsidRPr="0049035A" w:rsidRDefault="00DF2EC1" w:rsidP="00DF2EC1">
      <w:pPr>
        <w:spacing w:after="240"/>
        <w:ind w:left="851"/>
        <w:jc w:val="both"/>
        <w:rPr>
          <w:color w:val="0070C0"/>
        </w:rPr>
      </w:pPr>
      <w:r w:rsidRPr="0049035A">
        <w:rPr>
          <w:color w:val="0070C0"/>
        </w:rPr>
        <w:t xml:space="preserve">Johansson H., </w:t>
      </w:r>
      <w:proofErr w:type="spellStart"/>
      <w:r w:rsidRPr="0049035A">
        <w:rPr>
          <w:color w:val="0070C0"/>
        </w:rPr>
        <w:t>Lindstedt</w:t>
      </w:r>
      <w:proofErr w:type="spellEnd"/>
      <w:r w:rsidRPr="0049035A">
        <w:rPr>
          <w:color w:val="0070C0"/>
        </w:rPr>
        <w:t xml:space="preserve"> M., </w:t>
      </w:r>
      <w:proofErr w:type="spellStart"/>
      <w:r w:rsidRPr="0049035A">
        <w:rPr>
          <w:color w:val="0070C0"/>
        </w:rPr>
        <w:t>Albrekt</w:t>
      </w:r>
      <w:proofErr w:type="spellEnd"/>
      <w:r w:rsidRPr="0049035A">
        <w:rPr>
          <w:color w:val="0070C0"/>
        </w:rPr>
        <w:t xml:space="preserve"> A.S., </w:t>
      </w:r>
      <w:proofErr w:type="spellStart"/>
      <w:r w:rsidRPr="0049035A">
        <w:rPr>
          <w:color w:val="0070C0"/>
        </w:rPr>
        <w:t>Borrebaeck</w:t>
      </w:r>
      <w:proofErr w:type="spellEnd"/>
      <w:r w:rsidRPr="0049035A">
        <w:rPr>
          <w:color w:val="0070C0"/>
        </w:rPr>
        <w:t xml:space="preserve"> C.A. (2011) A genomic biomarker signature can predict skin sensitizers using a cell-based in vitro alternative to animal tests. BMC Genomics 12:399. Doi: 10.1186/1471-2164-12-399.</w:t>
      </w:r>
    </w:p>
    <w:p w14:paraId="14D4FB84" w14:textId="77777777" w:rsidR="00DF2EC1" w:rsidRPr="0049035A" w:rsidRDefault="00DF2EC1" w:rsidP="00DF2EC1">
      <w:pPr>
        <w:spacing w:after="240"/>
        <w:ind w:left="851"/>
        <w:jc w:val="both"/>
        <w:rPr>
          <w:color w:val="0070C0"/>
        </w:rPr>
      </w:pPr>
      <w:r w:rsidRPr="0049035A">
        <w:rPr>
          <w:color w:val="0070C0"/>
        </w:rPr>
        <w:t xml:space="preserve">Johansson H., </w:t>
      </w:r>
      <w:proofErr w:type="spellStart"/>
      <w:r w:rsidRPr="0049035A">
        <w:rPr>
          <w:color w:val="0070C0"/>
        </w:rPr>
        <w:t>Rydnert</w:t>
      </w:r>
      <w:proofErr w:type="spellEnd"/>
      <w:r w:rsidRPr="0049035A">
        <w:rPr>
          <w:color w:val="0070C0"/>
        </w:rPr>
        <w:t xml:space="preserve"> F., </w:t>
      </w:r>
      <w:proofErr w:type="spellStart"/>
      <w:r w:rsidRPr="0049035A">
        <w:rPr>
          <w:color w:val="0070C0"/>
        </w:rPr>
        <w:t>Kühnl</w:t>
      </w:r>
      <w:proofErr w:type="spellEnd"/>
      <w:r w:rsidRPr="0049035A">
        <w:rPr>
          <w:color w:val="0070C0"/>
        </w:rPr>
        <w:t xml:space="preserve"> J., </w:t>
      </w:r>
      <w:proofErr w:type="spellStart"/>
      <w:r w:rsidRPr="0049035A">
        <w:rPr>
          <w:color w:val="0070C0"/>
        </w:rPr>
        <w:t>Schepky</w:t>
      </w:r>
      <w:proofErr w:type="spellEnd"/>
      <w:r w:rsidRPr="0049035A">
        <w:rPr>
          <w:color w:val="0070C0"/>
        </w:rPr>
        <w:t xml:space="preserve"> A., </w:t>
      </w:r>
      <w:proofErr w:type="spellStart"/>
      <w:r w:rsidRPr="0049035A">
        <w:rPr>
          <w:color w:val="0070C0"/>
        </w:rPr>
        <w:t>Borrebaeck</w:t>
      </w:r>
      <w:proofErr w:type="spellEnd"/>
      <w:r w:rsidRPr="0049035A">
        <w:rPr>
          <w:color w:val="0070C0"/>
        </w:rPr>
        <w:t xml:space="preserve"> C., </w:t>
      </w:r>
      <w:proofErr w:type="spellStart"/>
      <w:r w:rsidRPr="0049035A">
        <w:rPr>
          <w:color w:val="0070C0"/>
        </w:rPr>
        <w:t>Lindstedt</w:t>
      </w:r>
      <w:proofErr w:type="spellEnd"/>
      <w:r w:rsidRPr="0049035A">
        <w:rPr>
          <w:color w:val="0070C0"/>
        </w:rPr>
        <w:t xml:space="preserve"> M. (2014) Genomic allergen rapid detection in-house validation – A proof of concept. </w:t>
      </w:r>
      <w:proofErr w:type="spellStart"/>
      <w:r w:rsidRPr="0049035A">
        <w:rPr>
          <w:color w:val="0070C0"/>
        </w:rPr>
        <w:t>Toxicol</w:t>
      </w:r>
      <w:proofErr w:type="spellEnd"/>
      <w:r w:rsidRPr="0049035A">
        <w:rPr>
          <w:color w:val="0070C0"/>
        </w:rPr>
        <w:t>. Sci. 139(2):362- 370. Doi: 10.1093/</w:t>
      </w:r>
      <w:proofErr w:type="spellStart"/>
      <w:r w:rsidRPr="0049035A">
        <w:rPr>
          <w:color w:val="0070C0"/>
        </w:rPr>
        <w:t>toxsci</w:t>
      </w:r>
      <w:proofErr w:type="spellEnd"/>
      <w:r w:rsidRPr="0049035A">
        <w:rPr>
          <w:color w:val="0070C0"/>
        </w:rPr>
        <w:t>/kfu046.</w:t>
      </w:r>
    </w:p>
    <w:p w14:paraId="25A2D069" w14:textId="77777777" w:rsidR="00DF2EC1" w:rsidRPr="0049035A" w:rsidRDefault="00DF2EC1" w:rsidP="00DF2EC1">
      <w:pPr>
        <w:spacing w:after="240"/>
        <w:ind w:left="851"/>
        <w:jc w:val="both"/>
        <w:rPr>
          <w:color w:val="0070C0"/>
        </w:rPr>
      </w:pPr>
      <w:r w:rsidRPr="0049035A">
        <w:rPr>
          <w:color w:val="0070C0"/>
        </w:rPr>
        <w:t xml:space="preserve">Johansson H., Gradin R., </w:t>
      </w:r>
      <w:proofErr w:type="spellStart"/>
      <w:r w:rsidRPr="0049035A">
        <w:rPr>
          <w:color w:val="0070C0"/>
        </w:rPr>
        <w:t>Forreryd</w:t>
      </w:r>
      <w:proofErr w:type="spellEnd"/>
      <w:r w:rsidRPr="0049035A">
        <w:rPr>
          <w:color w:val="0070C0"/>
        </w:rPr>
        <w:t xml:space="preserve"> A., </w:t>
      </w:r>
      <w:proofErr w:type="spellStart"/>
      <w:r w:rsidRPr="0049035A">
        <w:rPr>
          <w:color w:val="0070C0"/>
        </w:rPr>
        <w:t>Agemark</w:t>
      </w:r>
      <w:proofErr w:type="spellEnd"/>
      <w:r w:rsidRPr="0049035A">
        <w:rPr>
          <w:color w:val="0070C0"/>
        </w:rPr>
        <w:t xml:space="preserve"> M., Zeller K., Johansson A., Larne O., van Vliet E., </w:t>
      </w:r>
      <w:proofErr w:type="spellStart"/>
      <w:r w:rsidRPr="0049035A">
        <w:rPr>
          <w:color w:val="0070C0"/>
        </w:rPr>
        <w:t>Borrebaeck</w:t>
      </w:r>
      <w:proofErr w:type="spellEnd"/>
      <w:r w:rsidRPr="0049035A">
        <w:rPr>
          <w:color w:val="0070C0"/>
        </w:rPr>
        <w:t xml:space="preserve"> C., </w:t>
      </w:r>
      <w:proofErr w:type="spellStart"/>
      <w:r w:rsidRPr="0049035A">
        <w:rPr>
          <w:color w:val="0070C0"/>
        </w:rPr>
        <w:t>Lindstedt</w:t>
      </w:r>
      <w:proofErr w:type="spellEnd"/>
      <w:r w:rsidRPr="0049035A">
        <w:rPr>
          <w:color w:val="0070C0"/>
        </w:rPr>
        <w:t xml:space="preserve"> M. (2017) Evaluation of the GARD assay in a blind Cosmetics Europe study. ALTEX 34(4):515-523. Doi: 10.14573/altex.1701121</w:t>
      </w:r>
    </w:p>
    <w:p w14:paraId="722217E5" w14:textId="77777777" w:rsidR="00DF2EC1" w:rsidRPr="0049035A" w:rsidRDefault="00DF2EC1" w:rsidP="00DF2EC1">
      <w:pPr>
        <w:spacing w:after="240"/>
        <w:ind w:left="851"/>
        <w:jc w:val="both"/>
        <w:rPr>
          <w:color w:val="0070C0"/>
        </w:rPr>
      </w:pPr>
      <w:r w:rsidRPr="0049035A">
        <w:rPr>
          <w:color w:val="0070C0"/>
        </w:rPr>
        <w:t xml:space="preserve">OECD 2016a. Guidance Document on the Reporting of Defined Approaches and Individual Information Sources to be Used Within Integrated Approaches to Testing and Assessment (IATA) for Skin sensitization. Series on Testing &amp; Assessment No. 256. </w:t>
      </w:r>
      <w:hyperlink r:id="rId28" w:history="1">
        <w:r w:rsidRPr="0049035A">
          <w:rPr>
            <w:rStyle w:val="Hyperlink"/>
            <w:color w:val="0070C0"/>
          </w:rPr>
          <w:t>http://www.oecd.org/chemicalsafety/risk-assessment/iata-integrated-approaches-to-testing-and-assessment.htm</w:t>
        </w:r>
      </w:hyperlink>
    </w:p>
    <w:p w14:paraId="6FFDA870" w14:textId="77777777" w:rsidR="00DF2EC1" w:rsidRPr="0049035A" w:rsidRDefault="00DF2EC1" w:rsidP="00DF2EC1">
      <w:pPr>
        <w:spacing w:after="240"/>
        <w:ind w:left="851"/>
        <w:jc w:val="both"/>
        <w:rPr>
          <w:color w:val="0070C0"/>
        </w:rPr>
      </w:pPr>
      <w:proofErr w:type="spellStart"/>
      <w:r w:rsidRPr="0049035A">
        <w:rPr>
          <w:color w:val="0070C0"/>
        </w:rPr>
        <w:t>Kligman</w:t>
      </w:r>
      <w:proofErr w:type="spellEnd"/>
      <w:r w:rsidRPr="0049035A">
        <w:rPr>
          <w:color w:val="0070C0"/>
        </w:rPr>
        <w:t xml:space="preserve"> A.M. (1966): The identification of contact allergens by human assay: II. Factors influencing the induction and measurement of allergic contact dermatitis. Journal of Investigative Dermatology 47 (5), 375-392. DOI: 10.1038/jid.1966.159</w:t>
      </w:r>
    </w:p>
    <w:p w14:paraId="676C5FFD" w14:textId="77777777" w:rsidR="00DF2EC1" w:rsidRPr="00E14BA0" w:rsidRDefault="00DF2EC1" w:rsidP="00DF2EC1">
      <w:pPr>
        <w:spacing w:after="240"/>
        <w:ind w:left="851"/>
        <w:jc w:val="both"/>
        <w:rPr>
          <w:color w:val="FF0000"/>
        </w:rPr>
      </w:pPr>
      <w:r w:rsidRPr="0049035A">
        <w:rPr>
          <w:color w:val="0070C0"/>
        </w:rPr>
        <w:t xml:space="preserve">OECD (2014). The Adverse Outcome Pathway for Skin Sensitisation Initiated by Covalent Binding to Proteins, OECD Series on Testing and Assessment, No. 168, OECD Publishing, Paris. </w:t>
      </w:r>
      <w:r w:rsidRPr="00276106">
        <w:rPr>
          <w:color w:val="3366CC"/>
        </w:rPr>
        <w:t>Available at</w:t>
      </w:r>
      <w:r>
        <w:rPr>
          <w:color w:val="3366CC"/>
        </w:rPr>
        <w:t xml:space="preserve"> [</w:t>
      </w:r>
      <w:hyperlink r:id="rId29" w:tgtFrame="_blank" w:tooltip="https://doi.org/10.1787/9789264221444-en" w:history="1">
        <w:r w:rsidRPr="00D10469">
          <w:rPr>
            <w:rStyle w:val="Hyperlink"/>
            <w:color w:val="0070C0"/>
          </w:rPr>
          <w:t>https://doi.org/10.1787/9789264221444-en</w:t>
        </w:r>
      </w:hyperlink>
      <w:r w:rsidRPr="00D10469">
        <w:rPr>
          <w:color w:val="0070C0"/>
        </w:rPr>
        <w:t>]</w:t>
      </w:r>
    </w:p>
    <w:p w14:paraId="2285C336" w14:textId="77777777" w:rsidR="00DF2EC1" w:rsidRPr="00F002C5" w:rsidRDefault="00DF2EC1" w:rsidP="00DF2EC1">
      <w:pPr>
        <w:spacing w:after="240"/>
        <w:ind w:left="851"/>
        <w:jc w:val="both"/>
        <w:rPr>
          <w:color w:val="3366CC"/>
        </w:rPr>
      </w:pPr>
      <w:r w:rsidRPr="00F002C5">
        <w:rPr>
          <w:color w:val="3366CC"/>
        </w:rPr>
        <w:t xml:space="preserve">OECD 2016b. Annex I: Case Studies to the Guidance Document on the Reporting of Defined Approaches and Individual Information Sources to be Used Within Integrated Approaches to Testing and Assessment (IATA) for </w:t>
      </w:r>
      <w:r>
        <w:rPr>
          <w:color w:val="3366CC"/>
        </w:rPr>
        <w:t>Skin sensitization</w:t>
      </w:r>
      <w:r w:rsidRPr="00F002C5">
        <w:rPr>
          <w:color w:val="3366CC"/>
        </w:rPr>
        <w:t xml:space="preserve">. Series on Testing &amp; Assessment No. 256. </w:t>
      </w:r>
      <w:hyperlink r:id="rId30" w:history="1">
        <w:r w:rsidRPr="00F002C5">
          <w:rPr>
            <w:rStyle w:val="Hyperlink"/>
            <w:color w:val="3366CC"/>
          </w:rPr>
          <w:t>http://www.oecd.org/chemicalsafety/risk-assessment/iata-integrated-approaches-to-testing-and-assessment.htm</w:t>
        </w:r>
      </w:hyperlink>
    </w:p>
    <w:p w14:paraId="60AC052A" w14:textId="77777777" w:rsidR="00DF2EC1" w:rsidRPr="00F002C5" w:rsidRDefault="00DF2EC1" w:rsidP="00DF2EC1">
      <w:pPr>
        <w:spacing w:after="240"/>
        <w:ind w:left="851"/>
        <w:jc w:val="both"/>
        <w:rPr>
          <w:color w:val="3366CC"/>
        </w:rPr>
      </w:pPr>
      <w:r w:rsidRPr="00F002C5">
        <w:rPr>
          <w:color w:val="3366CC"/>
        </w:rPr>
        <w:t xml:space="preserve">OECD (2012). Series on Testing and Assessment No. 168. The Adverse Outcome Pathway for </w:t>
      </w:r>
      <w:r>
        <w:rPr>
          <w:color w:val="3366CC"/>
        </w:rPr>
        <w:t>Skin sensitization</w:t>
      </w:r>
      <w:r w:rsidRPr="00F002C5">
        <w:rPr>
          <w:color w:val="3366CC"/>
        </w:rPr>
        <w:t xml:space="preserve"> Initiated by Covalent Binding to Proteins. Part 1: Scientific Evidence. Organisation for Economic Cooperation and Development, Paris. Available at [https://www.oecd.org/chemicalsafety/testing/series-testingassessment-publications-number.htm]</w:t>
      </w:r>
    </w:p>
    <w:p w14:paraId="6DE75050" w14:textId="77777777" w:rsidR="00DF2EC1" w:rsidRPr="00F002C5" w:rsidRDefault="00DF2EC1" w:rsidP="00DF2EC1">
      <w:pPr>
        <w:spacing w:after="240"/>
        <w:ind w:left="851"/>
        <w:jc w:val="both"/>
        <w:rPr>
          <w:color w:val="3366CC"/>
        </w:rPr>
      </w:pPr>
      <w:r w:rsidRPr="00F002C5">
        <w:rPr>
          <w:color w:val="3366CC"/>
        </w:rPr>
        <w:t xml:space="preserve">Saito K, </w:t>
      </w:r>
      <w:proofErr w:type="spellStart"/>
      <w:r w:rsidRPr="00F002C5">
        <w:rPr>
          <w:color w:val="3366CC"/>
        </w:rPr>
        <w:t>Takenouchi</w:t>
      </w:r>
      <w:proofErr w:type="spellEnd"/>
      <w:r w:rsidRPr="00F002C5">
        <w:rPr>
          <w:color w:val="3366CC"/>
        </w:rPr>
        <w:t xml:space="preserve"> O, </w:t>
      </w:r>
      <w:proofErr w:type="spellStart"/>
      <w:r w:rsidRPr="00F002C5">
        <w:rPr>
          <w:color w:val="3366CC"/>
        </w:rPr>
        <w:t>Nukada</w:t>
      </w:r>
      <w:proofErr w:type="spellEnd"/>
      <w:r w:rsidRPr="00F002C5">
        <w:rPr>
          <w:color w:val="3366CC"/>
        </w:rPr>
        <w:t xml:space="preserve"> Y, Miyazawa M, </w:t>
      </w:r>
      <w:proofErr w:type="spellStart"/>
      <w:r w:rsidRPr="00F002C5">
        <w:rPr>
          <w:color w:val="3366CC"/>
        </w:rPr>
        <w:t>Sakaguchi</w:t>
      </w:r>
      <w:proofErr w:type="spellEnd"/>
      <w:r w:rsidRPr="00F002C5">
        <w:rPr>
          <w:color w:val="3366CC"/>
        </w:rPr>
        <w:t xml:space="preserve"> H. </w:t>
      </w:r>
      <w:hyperlink r:id="rId31" w:history="1">
        <w:r w:rsidRPr="00F002C5">
          <w:rPr>
            <w:color w:val="3366CC"/>
          </w:rPr>
          <w:t xml:space="preserve">An in vitro skin sensitization assay termed </w:t>
        </w:r>
        <w:proofErr w:type="spellStart"/>
        <w:r w:rsidRPr="00F002C5">
          <w:rPr>
            <w:color w:val="3366CC"/>
          </w:rPr>
          <w:t>EpiSensA</w:t>
        </w:r>
        <w:proofErr w:type="spellEnd"/>
        <w:r w:rsidRPr="00F002C5">
          <w:rPr>
            <w:color w:val="3366CC"/>
          </w:rPr>
          <w:t xml:space="preserve"> for broad sets of chemicals including lipophilic chemicals and pre/pro-</w:t>
        </w:r>
        <w:proofErr w:type="spellStart"/>
        <w:r w:rsidRPr="00F002C5">
          <w:rPr>
            <w:color w:val="3366CC"/>
          </w:rPr>
          <w:t>haptens</w:t>
        </w:r>
        <w:proofErr w:type="spellEnd"/>
        <w:r w:rsidRPr="00F002C5">
          <w:rPr>
            <w:color w:val="3366CC"/>
          </w:rPr>
          <w:t>.</w:t>
        </w:r>
      </w:hyperlink>
    </w:p>
    <w:p w14:paraId="5E010C4A" w14:textId="77777777" w:rsidR="00DF2EC1" w:rsidRDefault="00DF2EC1" w:rsidP="00DF2EC1">
      <w:pPr>
        <w:spacing w:after="240"/>
        <w:ind w:left="851"/>
        <w:jc w:val="both"/>
        <w:rPr>
          <w:color w:val="3366CC"/>
        </w:rPr>
      </w:pPr>
      <w:r w:rsidRPr="00F002C5">
        <w:rPr>
          <w:color w:val="3366CC"/>
          <w:lang w:val="it-IT"/>
        </w:rPr>
        <w:t xml:space="preserve">Toxicol In Vitro. 2017 Apr;40:11-25. doi: 10.1016/j.tiv.2016.12.005. </w:t>
      </w:r>
      <w:proofErr w:type="spellStart"/>
      <w:r w:rsidRPr="00F002C5">
        <w:rPr>
          <w:color w:val="3366CC"/>
        </w:rPr>
        <w:t>Epub</w:t>
      </w:r>
      <w:proofErr w:type="spellEnd"/>
      <w:r w:rsidRPr="00F002C5">
        <w:rPr>
          <w:color w:val="3366CC"/>
        </w:rPr>
        <w:t xml:space="preserve"> 2016 Dec </w:t>
      </w:r>
      <w:proofErr w:type="gramStart"/>
      <w:r w:rsidRPr="00F002C5">
        <w:rPr>
          <w:color w:val="3366CC"/>
        </w:rPr>
        <w:t>10.PMID</w:t>
      </w:r>
      <w:proofErr w:type="gramEnd"/>
      <w:r w:rsidRPr="00F002C5">
        <w:rPr>
          <w:color w:val="3366CC"/>
        </w:rPr>
        <w:t>: 27965148</w:t>
      </w:r>
    </w:p>
    <w:p w14:paraId="0BA18A6E" w14:textId="77777777" w:rsidR="00DF2EC1" w:rsidRPr="0049035A" w:rsidRDefault="00DF2EC1" w:rsidP="00DF2EC1">
      <w:pPr>
        <w:spacing w:after="240"/>
        <w:ind w:left="851"/>
        <w:jc w:val="both"/>
        <w:rPr>
          <w:color w:val="0070C0"/>
          <w:lang w:val="it-IT"/>
        </w:rPr>
      </w:pPr>
      <w:r w:rsidRPr="0049035A">
        <w:rPr>
          <w:color w:val="0070C0"/>
          <w:lang w:val="it-IT"/>
        </w:rPr>
        <w:t>Wright ZM, Basketter PA, Blaikie L, Cooper KJ, Warbrick EV, Dearman RJ, Kimber I. Vehicle effects on skin sensitizing potency of four chemicals: assessment using the local lymph node assay. Int J Cosmet Sci. 2001 Apr;23(2):75-83. doi: 10.1046/j.1467-2494.2001.00066.x. PMID: 18498452</w:t>
      </w:r>
    </w:p>
    <w:p w14:paraId="63EFEF3A" w14:textId="644A3A14" w:rsidR="00760F29" w:rsidRDefault="00DF2EC1" w:rsidP="00DF2EC1">
      <w:pPr>
        <w:spacing w:after="240"/>
        <w:ind w:left="851"/>
        <w:jc w:val="both"/>
        <w:rPr>
          <w:color w:val="0070C0"/>
          <w:lang w:val="it-IT"/>
        </w:rPr>
      </w:pPr>
      <w:r w:rsidRPr="00DF2EC1">
        <w:rPr>
          <w:color w:val="0070C0"/>
          <w:lang w:val="it-IT"/>
        </w:rPr>
        <w:t>Zeller K.S., Forreryd A., Lindberg T., Gradin R., Chawade A., Lindstedt M. (2017) The GARD platform for potency assessment of skin sensitizing chemicals. ALTEX 34(4):539-559. Doi: 10.14573/altex.1701101.</w:t>
      </w:r>
      <w:r w:rsidR="00145FA5">
        <w:rPr>
          <w:color w:val="0070C0"/>
          <w:lang w:val="it-IT"/>
        </w:rPr>
        <w:t>”</w:t>
      </w:r>
    </w:p>
    <w:p w14:paraId="00893344" w14:textId="2A848388" w:rsidR="00DF2EC1" w:rsidRPr="00DF2EC1" w:rsidRDefault="00DF2EC1" w:rsidP="00DF2EC1">
      <w:pPr>
        <w:spacing w:before="240"/>
        <w:jc w:val="center"/>
        <w:rPr>
          <w:u w:val="single"/>
          <w:lang w:val="it-IT"/>
        </w:rPr>
      </w:pPr>
      <w:r>
        <w:rPr>
          <w:u w:val="single"/>
          <w:lang w:val="it-IT"/>
        </w:rPr>
        <w:tab/>
      </w:r>
      <w:r>
        <w:rPr>
          <w:u w:val="single"/>
          <w:lang w:val="it-IT"/>
        </w:rPr>
        <w:tab/>
      </w:r>
      <w:r>
        <w:rPr>
          <w:u w:val="single"/>
          <w:lang w:val="it-IT"/>
        </w:rPr>
        <w:tab/>
      </w:r>
    </w:p>
    <w:sectPr w:rsidR="00DF2EC1" w:rsidRPr="00DF2EC1" w:rsidSect="00760F29">
      <w:headerReference w:type="even" r:id="rId32"/>
      <w:headerReference w:type="default" r:id="rId33"/>
      <w:footerReference w:type="even"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DCE46" w14:textId="77777777" w:rsidR="006E2F97" w:rsidRDefault="006E2F97" w:rsidP="00760F29">
      <w:pPr>
        <w:spacing w:line="240" w:lineRule="auto"/>
      </w:pPr>
      <w:r>
        <w:separator/>
      </w:r>
    </w:p>
  </w:endnote>
  <w:endnote w:type="continuationSeparator" w:id="0">
    <w:p w14:paraId="5ED664B6" w14:textId="77777777" w:rsidR="006E2F97" w:rsidRDefault="006E2F97" w:rsidP="00760F29">
      <w:pPr>
        <w:spacing w:line="240" w:lineRule="auto"/>
      </w:pPr>
      <w:r>
        <w:continuationSeparator/>
      </w:r>
    </w:p>
  </w:endnote>
  <w:endnote w:type="continuationNotice" w:id="1">
    <w:p w14:paraId="4A2DB128" w14:textId="77777777" w:rsidR="006E2F97" w:rsidRDefault="006E2F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72241"/>
      <w:docPartObj>
        <w:docPartGallery w:val="Page Numbers (Bottom of Page)"/>
        <w:docPartUnique/>
      </w:docPartObj>
    </w:sdtPr>
    <w:sdtEndPr>
      <w:rPr>
        <w:b/>
        <w:noProof/>
        <w:sz w:val="18"/>
      </w:rPr>
    </w:sdtEndPr>
    <w:sdtContent>
      <w:p w14:paraId="4BBDDDF4" w14:textId="77777777" w:rsidR="00574027" w:rsidRPr="00CE031D" w:rsidRDefault="00574027">
        <w:pPr>
          <w:pStyle w:val="Footer"/>
          <w:rPr>
            <w:b/>
            <w:sz w:val="18"/>
          </w:rPr>
        </w:pPr>
        <w:r w:rsidRPr="00CE031D">
          <w:rPr>
            <w:b/>
            <w:sz w:val="18"/>
          </w:rPr>
          <w:fldChar w:fldCharType="begin"/>
        </w:r>
        <w:r w:rsidRPr="00CE031D">
          <w:rPr>
            <w:b/>
            <w:sz w:val="18"/>
          </w:rPr>
          <w:instrText xml:space="preserve"> PAGE   \* MERGEFORMAT </w:instrText>
        </w:r>
        <w:r w:rsidRPr="00CE031D">
          <w:rPr>
            <w:b/>
            <w:sz w:val="18"/>
          </w:rPr>
          <w:fldChar w:fldCharType="separate"/>
        </w:r>
        <w:r w:rsidR="00D660CB">
          <w:rPr>
            <w:b/>
            <w:noProof/>
            <w:sz w:val="18"/>
          </w:rPr>
          <w:t>12</w:t>
        </w:r>
        <w:r w:rsidRPr="00CE031D">
          <w:rPr>
            <w:b/>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570040"/>
      <w:docPartObj>
        <w:docPartGallery w:val="Page Numbers (Bottom of Page)"/>
        <w:docPartUnique/>
      </w:docPartObj>
    </w:sdtPr>
    <w:sdtEndPr>
      <w:rPr>
        <w:b/>
        <w:noProof/>
        <w:sz w:val="18"/>
      </w:rPr>
    </w:sdtEndPr>
    <w:sdtContent>
      <w:p w14:paraId="5707BE81" w14:textId="77777777" w:rsidR="00574027" w:rsidRPr="00CE031D" w:rsidRDefault="00574027">
        <w:pPr>
          <w:pStyle w:val="Footer"/>
          <w:jc w:val="right"/>
          <w:rPr>
            <w:b/>
            <w:sz w:val="18"/>
          </w:rPr>
        </w:pPr>
        <w:r w:rsidRPr="00CE031D">
          <w:rPr>
            <w:b/>
            <w:sz w:val="18"/>
          </w:rPr>
          <w:fldChar w:fldCharType="begin"/>
        </w:r>
        <w:r w:rsidRPr="00CE031D">
          <w:rPr>
            <w:b/>
            <w:sz w:val="18"/>
          </w:rPr>
          <w:instrText xml:space="preserve"> PAGE   \* MERGEFORMAT </w:instrText>
        </w:r>
        <w:r w:rsidRPr="00CE031D">
          <w:rPr>
            <w:b/>
            <w:sz w:val="18"/>
          </w:rPr>
          <w:fldChar w:fldCharType="separate"/>
        </w:r>
        <w:r w:rsidR="00D660CB">
          <w:rPr>
            <w:b/>
            <w:noProof/>
            <w:sz w:val="18"/>
          </w:rPr>
          <w:t>13</w:t>
        </w:r>
        <w:r w:rsidRPr="00CE031D">
          <w:rPr>
            <w:b/>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A99F" w14:textId="77777777" w:rsidR="00574027" w:rsidRPr="0099001C" w:rsidRDefault="00574027" w:rsidP="009E1F11">
    <w:r>
      <w:rPr>
        <w:noProof/>
        <w:lang w:eastAsia="en-GB"/>
      </w:rPr>
      <w:drawing>
        <wp:anchor distT="0" distB="0" distL="114300" distR="114300" simplePos="0" relativeHeight="251658248" behindDoc="0" locked="1" layoutInCell="1" allowOverlap="1" wp14:anchorId="720F4044" wp14:editId="2854583D">
          <wp:simplePos x="0" y="0"/>
          <wp:positionH relativeFrom="column">
            <wp:posOffset>5148580</wp:posOffset>
          </wp:positionH>
          <wp:positionV relativeFrom="paragraph">
            <wp:posOffset>-79375</wp:posOffset>
          </wp:positionV>
          <wp:extent cx="930275" cy="230505"/>
          <wp:effectExtent l="0" t="0" r="3175" b="0"/>
          <wp:wrapNone/>
          <wp:docPr id="20" name="Picture 20"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p w14:paraId="0E5523B0" w14:textId="77777777" w:rsidR="00574027" w:rsidRDefault="00574027">
    <w:pPr>
      <w:pStyle w:val="Footer"/>
    </w:pPr>
    <w:r>
      <w:rPr>
        <w:noProof/>
        <w:lang w:eastAsia="en-GB"/>
      </w:rPr>
      <w:drawing>
        <wp:anchor distT="0" distB="0" distL="114300" distR="114300" simplePos="0" relativeHeight="251658247" behindDoc="0" locked="1" layoutInCell="1" allowOverlap="1" wp14:anchorId="1496A578" wp14:editId="46C9EB10">
          <wp:simplePos x="0" y="0"/>
          <wp:positionH relativeFrom="column">
            <wp:posOffset>5868670</wp:posOffset>
          </wp:positionH>
          <wp:positionV relativeFrom="paragraph">
            <wp:posOffset>9381490</wp:posOffset>
          </wp:positionV>
          <wp:extent cx="930275" cy="230505"/>
          <wp:effectExtent l="0" t="0" r="3175" b="0"/>
          <wp:wrapNone/>
          <wp:docPr id="19" name="Picture 19"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3" behindDoc="0" locked="1" layoutInCell="1" allowOverlap="1" wp14:anchorId="7F30D0C1" wp14:editId="4B4B998E">
          <wp:simplePos x="0" y="0"/>
          <wp:positionH relativeFrom="column">
            <wp:posOffset>5868670</wp:posOffset>
          </wp:positionH>
          <wp:positionV relativeFrom="paragraph">
            <wp:posOffset>9381490</wp:posOffset>
          </wp:positionV>
          <wp:extent cx="930275" cy="230505"/>
          <wp:effectExtent l="0" t="0" r="3175" b="0"/>
          <wp:wrapNone/>
          <wp:docPr id="18" name="Picture 18"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2D0C" w14:textId="77777777" w:rsidR="00574027" w:rsidRDefault="005740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8506" w14:textId="77777777" w:rsidR="00574027" w:rsidRPr="00D841B8" w:rsidRDefault="00574027">
    <w:pPr>
      <w:pStyle w:val="Footer"/>
      <w:jc w:val="right"/>
      <w:rPr>
        <w:b/>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841143"/>
      <w:docPartObj>
        <w:docPartGallery w:val="Page Numbers (Bottom of Page)"/>
        <w:docPartUnique/>
      </w:docPartObj>
    </w:sdtPr>
    <w:sdtEndPr>
      <w:rPr>
        <w:b/>
        <w:noProof/>
        <w:sz w:val="18"/>
      </w:rPr>
    </w:sdtEndPr>
    <w:sdtContent>
      <w:p w14:paraId="4544BF83" w14:textId="77777777" w:rsidR="00574027" w:rsidRPr="00AA3D2B" w:rsidRDefault="00574027">
        <w:pPr>
          <w:pStyle w:val="Footer"/>
          <w:rPr>
            <w:b/>
            <w:sz w:val="18"/>
          </w:rPr>
        </w:pPr>
        <w:r w:rsidRPr="00AA3D2B">
          <w:rPr>
            <w:b/>
            <w:sz w:val="18"/>
          </w:rPr>
          <w:fldChar w:fldCharType="begin"/>
        </w:r>
        <w:r w:rsidRPr="00AA3D2B">
          <w:rPr>
            <w:b/>
            <w:sz w:val="18"/>
          </w:rPr>
          <w:instrText xml:space="preserve"> PAGE   \* MERGEFORMAT </w:instrText>
        </w:r>
        <w:r w:rsidRPr="00AA3D2B">
          <w:rPr>
            <w:b/>
            <w:sz w:val="18"/>
          </w:rPr>
          <w:fldChar w:fldCharType="separate"/>
        </w:r>
        <w:r w:rsidR="00D660CB">
          <w:rPr>
            <w:b/>
            <w:noProof/>
            <w:sz w:val="18"/>
          </w:rPr>
          <w:t>6</w:t>
        </w:r>
        <w:r w:rsidRPr="00AA3D2B">
          <w:rPr>
            <w:b/>
            <w:noProof/>
            <w:sz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527124"/>
      <w:docPartObj>
        <w:docPartGallery w:val="Page Numbers (Bottom of Page)"/>
        <w:docPartUnique/>
      </w:docPartObj>
    </w:sdtPr>
    <w:sdtEndPr>
      <w:rPr>
        <w:b/>
        <w:noProof/>
        <w:sz w:val="18"/>
      </w:rPr>
    </w:sdtEndPr>
    <w:sdtContent>
      <w:p w14:paraId="6EFD7E8D" w14:textId="77777777" w:rsidR="00574027" w:rsidRPr="00AA3D2B" w:rsidRDefault="00574027">
        <w:pPr>
          <w:pStyle w:val="Footer"/>
          <w:jc w:val="right"/>
          <w:rPr>
            <w:b/>
            <w:sz w:val="18"/>
          </w:rPr>
        </w:pPr>
        <w:r w:rsidRPr="00AA3D2B">
          <w:rPr>
            <w:b/>
            <w:sz w:val="18"/>
          </w:rPr>
          <w:fldChar w:fldCharType="begin"/>
        </w:r>
        <w:r w:rsidRPr="00AA3D2B">
          <w:rPr>
            <w:b/>
            <w:sz w:val="18"/>
          </w:rPr>
          <w:instrText xml:space="preserve"> PAGE   \* MERGEFORMAT </w:instrText>
        </w:r>
        <w:r w:rsidRPr="00AA3D2B">
          <w:rPr>
            <w:b/>
            <w:sz w:val="18"/>
          </w:rPr>
          <w:fldChar w:fldCharType="separate"/>
        </w:r>
        <w:r w:rsidR="00D660CB">
          <w:rPr>
            <w:b/>
            <w:noProof/>
            <w:sz w:val="18"/>
          </w:rPr>
          <w:t>5</w:t>
        </w:r>
        <w:r w:rsidRPr="00AA3D2B">
          <w:rPr>
            <w:b/>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7D7D" w14:textId="77777777" w:rsidR="006E2F97" w:rsidRDefault="006E2F97" w:rsidP="00760F29">
      <w:pPr>
        <w:spacing w:line="240" w:lineRule="auto"/>
      </w:pPr>
      <w:r>
        <w:separator/>
      </w:r>
    </w:p>
  </w:footnote>
  <w:footnote w:type="continuationSeparator" w:id="0">
    <w:p w14:paraId="0C589F68" w14:textId="77777777" w:rsidR="006E2F97" w:rsidRDefault="006E2F97" w:rsidP="00760F29">
      <w:pPr>
        <w:spacing w:line="240" w:lineRule="auto"/>
      </w:pPr>
      <w:r>
        <w:continuationSeparator/>
      </w:r>
    </w:p>
  </w:footnote>
  <w:footnote w:type="continuationNotice" w:id="1">
    <w:p w14:paraId="67BAE22C" w14:textId="77777777" w:rsidR="006E2F97" w:rsidRDefault="006E2F97">
      <w:pPr>
        <w:spacing w:line="240" w:lineRule="auto"/>
      </w:pPr>
    </w:p>
  </w:footnote>
  <w:footnote w:id="2">
    <w:p w14:paraId="7566BB30" w14:textId="77777777" w:rsidR="00891B72" w:rsidRPr="000E0449" w:rsidRDefault="00891B72" w:rsidP="00891B72">
      <w:pPr>
        <w:pStyle w:val="FootnoteText"/>
        <w:tabs>
          <w:tab w:val="clear" w:pos="1021"/>
          <w:tab w:val="left" w:pos="426"/>
        </w:tabs>
        <w:ind w:left="0" w:right="-1" w:firstLine="0"/>
        <w:jc w:val="both"/>
        <w:rPr>
          <w:sz w:val="20"/>
        </w:rPr>
      </w:pPr>
      <w:r>
        <w:rPr>
          <w:rStyle w:val="FootnoteReference"/>
        </w:rPr>
        <w:footnoteRef/>
      </w:r>
      <w:r>
        <w:t xml:space="preserve"> </w:t>
      </w:r>
      <w:r>
        <w:tab/>
      </w:r>
      <w:r w:rsidRPr="000E0449">
        <w:rPr>
          <w:i/>
          <w:sz w:val="20"/>
          <w:lang w:eastAsia="fr-FR"/>
        </w:rPr>
        <w:t>At present, recognized and validated animal models for the testing of respiratory hypersensitivity are not available. Under certain circumstances, data from animal studies may provide valuable information in a weight of evidence assessment.</w:t>
      </w:r>
    </w:p>
  </w:footnote>
  <w:footnote w:id="3">
    <w:p w14:paraId="331983EA" w14:textId="7A066CA6" w:rsidR="00AA46B2" w:rsidRPr="00AA46B2" w:rsidRDefault="00AA46B2" w:rsidP="004214EF">
      <w:pPr>
        <w:pStyle w:val="FootnoteText"/>
        <w:tabs>
          <w:tab w:val="clear" w:pos="1021"/>
          <w:tab w:val="left" w:pos="567"/>
        </w:tabs>
        <w:ind w:left="0" w:right="-1" w:firstLine="0"/>
        <w:jc w:val="both"/>
        <w:rPr>
          <w:lang w:val="fr-CH"/>
        </w:rPr>
      </w:pPr>
      <w:r>
        <w:rPr>
          <w:rStyle w:val="FootnoteReference"/>
        </w:rPr>
        <w:t>1</w:t>
      </w:r>
      <w:r w:rsidR="00C66473">
        <w:rPr>
          <w:i/>
          <w:sz w:val="20"/>
        </w:rPr>
        <w:tab/>
      </w:r>
      <w:r w:rsidR="00C66473" w:rsidRPr="000E0449">
        <w:rPr>
          <w:i/>
          <w:sz w:val="20"/>
        </w:rPr>
        <w:t xml:space="preserve">At present, recognized </w:t>
      </w:r>
      <w:r w:rsidR="00C66473" w:rsidRPr="000E0449">
        <w:rPr>
          <w:i/>
          <w:sz w:val="20"/>
          <w:lang w:eastAsia="fr-FR"/>
        </w:rPr>
        <w:t>and validated</w:t>
      </w:r>
      <w:r w:rsidR="00C66473" w:rsidRPr="000E0449">
        <w:rPr>
          <w:i/>
          <w:sz w:val="20"/>
        </w:rPr>
        <w:t xml:space="preserve"> animal models for the testing of respiratory hypersensitivity are not available. Under cert</w:t>
      </w:r>
      <w:r w:rsidR="00C66473">
        <w:rPr>
          <w:i/>
          <w:sz w:val="20"/>
        </w:rPr>
        <w:t>ai</w:t>
      </w:r>
      <w:r w:rsidR="00C66473" w:rsidRPr="000E0449">
        <w:rPr>
          <w:i/>
          <w:sz w:val="20"/>
        </w:rPr>
        <w:t xml:space="preserve">n circumstances, </w:t>
      </w:r>
      <w:r w:rsidR="00C66473" w:rsidRPr="000E0449">
        <w:rPr>
          <w:i/>
          <w:sz w:val="20"/>
          <w:lang w:eastAsia="fr-FR"/>
        </w:rPr>
        <w:t>data from</w:t>
      </w:r>
      <w:r w:rsidR="00C66473" w:rsidRPr="000E0449">
        <w:rPr>
          <w:i/>
          <w:sz w:val="20"/>
        </w:rPr>
        <w:t xml:space="preserve"> animal studies may </w:t>
      </w:r>
      <w:r w:rsidR="00C66473" w:rsidRPr="000E0449">
        <w:rPr>
          <w:i/>
          <w:sz w:val="20"/>
          <w:lang w:eastAsia="fr-FR"/>
        </w:rPr>
        <w:t>provide valuable information in a weight of evidence assessment.</w:t>
      </w:r>
    </w:p>
  </w:footnote>
  <w:footnote w:id="4">
    <w:p w14:paraId="465ACB04" w14:textId="45024CDF" w:rsidR="00217516" w:rsidRDefault="00217516" w:rsidP="00217516">
      <w:pPr>
        <w:pStyle w:val="GHStext"/>
        <w:tabs>
          <w:tab w:val="left" w:pos="284"/>
        </w:tabs>
      </w:pPr>
      <w:r>
        <w:rPr>
          <w:rStyle w:val="FootnoteReference"/>
        </w:rPr>
        <w:footnoteRef/>
      </w:r>
      <w:r>
        <w:t xml:space="preserve"> </w:t>
      </w:r>
      <w:r>
        <w:tab/>
      </w:r>
      <w:proofErr w:type="spellStart"/>
      <w:r w:rsidRPr="000E0449">
        <w:rPr>
          <w:i/>
        </w:rPr>
        <w:t>The</w:t>
      </w:r>
      <w:proofErr w:type="spellEnd"/>
      <w:r w:rsidRPr="000E0449">
        <w:rPr>
          <w:i/>
        </w:rPr>
        <w:t xml:space="preserve"> </w:t>
      </w:r>
      <w:proofErr w:type="spellStart"/>
      <w:r w:rsidRPr="000E0449">
        <w:rPr>
          <w:i/>
        </w:rPr>
        <w:t>mechanisms</w:t>
      </w:r>
      <w:proofErr w:type="spellEnd"/>
      <w:r w:rsidRPr="000E0449">
        <w:rPr>
          <w:i/>
        </w:rPr>
        <w:t xml:space="preserve"> </w:t>
      </w:r>
      <w:proofErr w:type="spellStart"/>
      <w:r w:rsidRPr="000E0449">
        <w:rPr>
          <w:i/>
        </w:rPr>
        <w:t>by</w:t>
      </w:r>
      <w:proofErr w:type="spellEnd"/>
      <w:r w:rsidRPr="000E0449">
        <w:rPr>
          <w:i/>
        </w:rPr>
        <w:t xml:space="preserve"> </w:t>
      </w:r>
      <w:proofErr w:type="spellStart"/>
      <w:r w:rsidRPr="000E0449">
        <w:rPr>
          <w:i/>
        </w:rPr>
        <w:t>which</w:t>
      </w:r>
      <w:proofErr w:type="spellEnd"/>
      <w:r w:rsidRPr="000E0449">
        <w:rPr>
          <w:i/>
        </w:rPr>
        <w:t xml:space="preserve"> </w:t>
      </w:r>
      <w:proofErr w:type="spellStart"/>
      <w:r w:rsidRPr="000E0449">
        <w:rPr>
          <w:i/>
        </w:rPr>
        <w:t>substances</w:t>
      </w:r>
      <w:proofErr w:type="spellEnd"/>
      <w:r w:rsidRPr="000E0449">
        <w:rPr>
          <w:i/>
        </w:rPr>
        <w:t xml:space="preserve"> induce </w:t>
      </w:r>
      <w:proofErr w:type="spellStart"/>
      <w:r w:rsidRPr="000E0449">
        <w:rPr>
          <w:i/>
        </w:rPr>
        <w:t>symptoms</w:t>
      </w:r>
      <w:proofErr w:type="spellEnd"/>
      <w:r w:rsidRPr="000E0449">
        <w:rPr>
          <w:i/>
        </w:rPr>
        <w:t xml:space="preserve"> of </w:t>
      </w:r>
      <w:proofErr w:type="spellStart"/>
      <w:r w:rsidRPr="000E0449">
        <w:rPr>
          <w:i/>
        </w:rPr>
        <w:t>asthma</w:t>
      </w:r>
      <w:proofErr w:type="spellEnd"/>
      <w:r w:rsidRPr="000E0449">
        <w:rPr>
          <w:i/>
        </w:rPr>
        <w:t xml:space="preserve"> are </w:t>
      </w:r>
      <w:proofErr w:type="spellStart"/>
      <w:r w:rsidRPr="000E0449">
        <w:rPr>
          <w:i/>
        </w:rPr>
        <w:t>not</w:t>
      </w:r>
      <w:proofErr w:type="spellEnd"/>
      <w:r w:rsidRPr="000E0449">
        <w:rPr>
          <w:i/>
        </w:rPr>
        <w:t xml:space="preserve"> </w:t>
      </w:r>
      <w:proofErr w:type="spellStart"/>
      <w:r w:rsidRPr="000E0449">
        <w:rPr>
          <w:i/>
        </w:rPr>
        <w:t>yet</w:t>
      </w:r>
      <w:proofErr w:type="spellEnd"/>
      <w:r w:rsidRPr="000E0449">
        <w:rPr>
          <w:i/>
        </w:rPr>
        <w:t xml:space="preserve"> </w:t>
      </w:r>
      <w:proofErr w:type="spellStart"/>
      <w:r w:rsidRPr="000E0449">
        <w:rPr>
          <w:i/>
        </w:rPr>
        <w:t>fully</w:t>
      </w:r>
      <w:proofErr w:type="spellEnd"/>
      <w:r w:rsidRPr="000E0449">
        <w:rPr>
          <w:i/>
        </w:rPr>
        <w:t xml:space="preserve"> </w:t>
      </w:r>
      <w:proofErr w:type="spellStart"/>
      <w:r w:rsidRPr="000E0449">
        <w:rPr>
          <w:i/>
        </w:rPr>
        <w:t>known</w:t>
      </w:r>
      <w:proofErr w:type="spellEnd"/>
      <w:r w:rsidRPr="000E0449">
        <w:rPr>
          <w:i/>
        </w:rPr>
        <w:t xml:space="preserve">. </w:t>
      </w:r>
      <w:proofErr w:type="spellStart"/>
      <w:r w:rsidRPr="000E0449">
        <w:rPr>
          <w:i/>
        </w:rPr>
        <w:t>For</w:t>
      </w:r>
      <w:proofErr w:type="spellEnd"/>
      <w:r w:rsidRPr="000E0449">
        <w:rPr>
          <w:i/>
        </w:rPr>
        <w:t xml:space="preserve"> </w:t>
      </w:r>
      <w:proofErr w:type="spellStart"/>
      <w:r w:rsidRPr="000E0449">
        <w:rPr>
          <w:i/>
        </w:rPr>
        <w:t>preventative</w:t>
      </w:r>
      <w:proofErr w:type="spellEnd"/>
      <w:r w:rsidRPr="000E0449">
        <w:rPr>
          <w:i/>
        </w:rPr>
        <w:t xml:space="preserve"> </w:t>
      </w:r>
      <w:proofErr w:type="spellStart"/>
      <w:r w:rsidRPr="000E0449">
        <w:rPr>
          <w:i/>
        </w:rPr>
        <w:t>measures</w:t>
      </w:r>
      <w:proofErr w:type="spellEnd"/>
      <w:r w:rsidRPr="000E0449">
        <w:rPr>
          <w:i/>
        </w:rPr>
        <w:t xml:space="preserve">, </w:t>
      </w:r>
      <w:proofErr w:type="spellStart"/>
      <w:r w:rsidRPr="000E0449">
        <w:rPr>
          <w:i/>
        </w:rPr>
        <w:t>these</w:t>
      </w:r>
      <w:proofErr w:type="spellEnd"/>
      <w:r w:rsidRPr="000E0449">
        <w:rPr>
          <w:i/>
        </w:rPr>
        <w:t xml:space="preserve"> </w:t>
      </w:r>
      <w:proofErr w:type="spellStart"/>
      <w:r w:rsidRPr="000E0449">
        <w:rPr>
          <w:i/>
        </w:rPr>
        <w:t>substances</w:t>
      </w:r>
      <w:proofErr w:type="spellEnd"/>
      <w:r w:rsidRPr="000E0449">
        <w:rPr>
          <w:i/>
        </w:rPr>
        <w:t xml:space="preserve"> are </w:t>
      </w:r>
      <w:proofErr w:type="spellStart"/>
      <w:r w:rsidRPr="000E0449">
        <w:rPr>
          <w:i/>
        </w:rPr>
        <w:t>considered</w:t>
      </w:r>
      <w:proofErr w:type="spellEnd"/>
      <w:r w:rsidRPr="000E0449">
        <w:rPr>
          <w:i/>
        </w:rPr>
        <w:t xml:space="preserve"> </w:t>
      </w:r>
      <w:proofErr w:type="spellStart"/>
      <w:r w:rsidRPr="000E0449">
        <w:rPr>
          <w:i/>
        </w:rPr>
        <w:t>respiratory</w:t>
      </w:r>
      <w:proofErr w:type="spellEnd"/>
      <w:r w:rsidRPr="000E0449">
        <w:rPr>
          <w:i/>
        </w:rPr>
        <w:t xml:space="preserve"> </w:t>
      </w:r>
      <w:proofErr w:type="spellStart"/>
      <w:r w:rsidRPr="000E0449">
        <w:rPr>
          <w:i/>
        </w:rPr>
        <w:t>sensitizers</w:t>
      </w:r>
      <w:proofErr w:type="spellEnd"/>
      <w:r w:rsidRPr="000E0449">
        <w:rPr>
          <w:i/>
        </w:rPr>
        <w:t xml:space="preserve">.  </w:t>
      </w:r>
      <w:proofErr w:type="spellStart"/>
      <w:r w:rsidRPr="000E0449">
        <w:rPr>
          <w:i/>
        </w:rPr>
        <w:t>However</w:t>
      </w:r>
      <w:proofErr w:type="spellEnd"/>
      <w:r w:rsidRPr="000E0449">
        <w:rPr>
          <w:i/>
        </w:rPr>
        <w:t xml:space="preserve">, </w:t>
      </w:r>
      <w:proofErr w:type="spellStart"/>
      <w:r w:rsidRPr="000E0449">
        <w:rPr>
          <w:i/>
        </w:rPr>
        <w:t>if</w:t>
      </w:r>
      <w:proofErr w:type="spellEnd"/>
      <w:r w:rsidRPr="000E0449">
        <w:rPr>
          <w:i/>
        </w:rPr>
        <w:t xml:space="preserve"> </w:t>
      </w:r>
      <w:proofErr w:type="spellStart"/>
      <w:r w:rsidRPr="000E0449">
        <w:rPr>
          <w:i/>
        </w:rPr>
        <w:t>on</w:t>
      </w:r>
      <w:proofErr w:type="spellEnd"/>
      <w:r w:rsidRPr="000E0449">
        <w:rPr>
          <w:i/>
        </w:rPr>
        <w:t xml:space="preserve"> </w:t>
      </w:r>
      <w:proofErr w:type="spellStart"/>
      <w:r w:rsidRPr="000E0449">
        <w:rPr>
          <w:i/>
        </w:rPr>
        <w:t>the</w:t>
      </w:r>
      <w:proofErr w:type="spellEnd"/>
      <w:r w:rsidRPr="000E0449">
        <w:rPr>
          <w:i/>
        </w:rPr>
        <w:t xml:space="preserve"> basis of </w:t>
      </w:r>
      <w:proofErr w:type="spellStart"/>
      <w:r w:rsidRPr="000E0449">
        <w:rPr>
          <w:i/>
        </w:rPr>
        <w:t>the</w:t>
      </w:r>
      <w:proofErr w:type="spellEnd"/>
      <w:r w:rsidRPr="000E0449">
        <w:rPr>
          <w:i/>
        </w:rPr>
        <w:t xml:space="preserve"> </w:t>
      </w:r>
      <w:proofErr w:type="spellStart"/>
      <w:r w:rsidRPr="000E0449">
        <w:rPr>
          <w:i/>
        </w:rPr>
        <w:t>evidence</w:t>
      </w:r>
      <w:proofErr w:type="spellEnd"/>
      <w:r w:rsidRPr="000E0449">
        <w:rPr>
          <w:i/>
        </w:rPr>
        <w:t xml:space="preserve">, </w:t>
      </w:r>
      <w:proofErr w:type="spellStart"/>
      <w:r w:rsidRPr="000E0449">
        <w:rPr>
          <w:i/>
        </w:rPr>
        <w:t>it</w:t>
      </w:r>
      <w:proofErr w:type="spellEnd"/>
      <w:r w:rsidRPr="000E0449">
        <w:rPr>
          <w:i/>
        </w:rPr>
        <w:t xml:space="preserve"> can be </w:t>
      </w:r>
      <w:proofErr w:type="spellStart"/>
      <w:r w:rsidRPr="000E0449">
        <w:rPr>
          <w:i/>
        </w:rPr>
        <w:t>demonstrated</w:t>
      </w:r>
      <w:proofErr w:type="spellEnd"/>
      <w:r w:rsidRPr="000E0449">
        <w:rPr>
          <w:i/>
        </w:rPr>
        <w:t xml:space="preserve"> </w:t>
      </w:r>
      <w:proofErr w:type="spellStart"/>
      <w:r w:rsidRPr="000E0449">
        <w:rPr>
          <w:i/>
        </w:rPr>
        <w:t>that</w:t>
      </w:r>
      <w:proofErr w:type="spellEnd"/>
      <w:r w:rsidRPr="000E0449">
        <w:rPr>
          <w:i/>
        </w:rPr>
        <w:t xml:space="preserve"> </w:t>
      </w:r>
      <w:proofErr w:type="spellStart"/>
      <w:r w:rsidRPr="000E0449">
        <w:rPr>
          <w:i/>
        </w:rPr>
        <w:t>these</w:t>
      </w:r>
      <w:proofErr w:type="spellEnd"/>
      <w:r w:rsidRPr="000E0449">
        <w:rPr>
          <w:i/>
        </w:rPr>
        <w:t xml:space="preserve"> </w:t>
      </w:r>
      <w:proofErr w:type="spellStart"/>
      <w:r w:rsidRPr="000E0449">
        <w:rPr>
          <w:i/>
        </w:rPr>
        <w:t>substances</w:t>
      </w:r>
      <w:proofErr w:type="spellEnd"/>
      <w:r w:rsidRPr="000E0449">
        <w:rPr>
          <w:i/>
        </w:rPr>
        <w:t xml:space="preserve"> induce </w:t>
      </w:r>
      <w:proofErr w:type="spellStart"/>
      <w:r w:rsidRPr="000E0449">
        <w:rPr>
          <w:i/>
        </w:rPr>
        <w:t>symptoms</w:t>
      </w:r>
      <w:proofErr w:type="spellEnd"/>
      <w:r w:rsidRPr="000E0449">
        <w:rPr>
          <w:i/>
        </w:rPr>
        <w:t xml:space="preserve"> of </w:t>
      </w:r>
      <w:proofErr w:type="spellStart"/>
      <w:r w:rsidRPr="000E0449">
        <w:rPr>
          <w:i/>
        </w:rPr>
        <w:t>asthma</w:t>
      </w:r>
      <w:proofErr w:type="spellEnd"/>
      <w:r w:rsidRPr="000E0449">
        <w:rPr>
          <w:i/>
        </w:rPr>
        <w:t xml:space="preserve"> </w:t>
      </w:r>
      <w:proofErr w:type="spellStart"/>
      <w:r w:rsidRPr="000E0449">
        <w:rPr>
          <w:i/>
        </w:rPr>
        <w:t>by</w:t>
      </w:r>
      <w:proofErr w:type="spellEnd"/>
      <w:r w:rsidRPr="000E0449">
        <w:rPr>
          <w:i/>
        </w:rPr>
        <w:t xml:space="preserve"> </w:t>
      </w:r>
      <w:proofErr w:type="spellStart"/>
      <w:r w:rsidRPr="000E0449">
        <w:rPr>
          <w:i/>
        </w:rPr>
        <w:t>irritation</w:t>
      </w:r>
      <w:proofErr w:type="spellEnd"/>
      <w:r w:rsidRPr="000E0449">
        <w:rPr>
          <w:i/>
        </w:rPr>
        <w:t xml:space="preserve"> </w:t>
      </w:r>
      <w:proofErr w:type="spellStart"/>
      <w:r w:rsidRPr="000E0449">
        <w:rPr>
          <w:i/>
        </w:rPr>
        <w:t>only</w:t>
      </w:r>
      <w:proofErr w:type="spellEnd"/>
      <w:r w:rsidRPr="000E0449">
        <w:rPr>
          <w:i/>
        </w:rPr>
        <w:t xml:space="preserve"> in </w:t>
      </w:r>
      <w:proofErr w:type="spellStart"/>
      <w:r w:rsidRPr="000E0449">
        <w:rPr>
          <w:i/>
        </w:rPr>
        <w:t>people</w:t>
      </w:r>
      <w:proofErr w:type="spellEnd"/>
      <w:r w:rsidRPr="000E0449">
        <w:rPr>
          <w:i/>
        </w:rPr>
        <w:t xml:space="preserve"> </w:t>
      </w:r>
      <w:proofErr w:type="spellStart"/>
      <w:r w:rsidRPr="000E0449">
        <w:rPr>
          <w:i/>
        </w:rPr>
        <w:t>with</w:t>
      </w:r>
      <w:proofErr w:type="spellEnd"/>
      <w:r w:rsidRPr="000E0449">
        <w:rPr>
          <w:i/>
        </w:rPr>
        <w:t xml:space="preserve"> </w:t>
      </w:r>
      <w:proofErr w:type="spellStart"/>
      <w:r w:rsidRPr="000E0449">
        <w:rPr>
          <w:i/>
        </w:rPr>
        <w:t>bronchial</w:t>
      </w:r>
      <w:proofErr w:type="spellEnd"/>
      <w:r w:rsidRPr="000E0449">
        <w:rPr>
          <w:i/>
        </w:rPr>
        <w:t xml:space="preserve"> </w:t>
      </w:r>
      <w:proofErr w:type="spellStart"/>
      <w:r w:rsidRPr="000E0449">
        <w:rPr>
          <w:i/>
        </w:rPr>
        <w:t>hyperreactivity</w:t>
      </w:r>
      <w:proofErr w:type="spellEnd"/>
      <w:r w:rsidRPr="000E0449">
        <w:rPr>
          <w:i/>
        </w:rPr>
        <w:t xml:space="preserve">, </w:t>
      </w:r>
      <w:proofErr w:type="spellStart"/>
      <w:r w:rsidRPr="000E0449">
        <w:rPr>
          <w:i/>
        </w:rPr>
        <w:t>they</w:t>
      </w:r>
      <w:proofErr w:type="spellEnd"/>
      <w:r w:rsidRPr="000E0449">
        <w:rPr>
          <w:i/>
        </w:rPr>
        <w:t xml:space="preserve"> </w:t>
      </w:r>
      <w:proofErr w:type="spellStart"/>
      <w:r w:rsidRPr="000E0449">
        <w:rPr>
          <w:i/>
        </w:rPr>
        <w:t>should</w:t>
      </w:r>
      <w:proofErr w:type="spellEnd"/>
      <w:r w:rsidRPr="000E0449">
        <w:rPr>
          <w:i/>
        </w:rPr>
        <w:t xml:space="preserve"> </w:t>
      </w:r>
      <w:proofErr w:type="spellStart"/>
      <w:r w:rsidRPr="000E0449">
        <w:rPr>
          <w:i/>
        </w:rPr>
        <w:t>not</w:t>
      </w:r>
      <w:proofErr w:type="spellEnd"/>
      <w:r w:rsidRPr="000E0449">
        <w:rPr>
          <w:i/>
        </w:rPr>
        <w:t xml:space="preserve"> be </w:t>
      </w:r>
      <w:proofErr w:type="spellStart"/>
      <w:r w:rsidRPr="000E0449">
        <w:rPr>
          <w:i/>
        </w:rPr>
        <w:t>considered</w:t>
      </w:r>
      <w:proofErr w:type="spellEnd"/>
      <w:r w:rsidRPr="000E0449">
        <w:rPr>
          <w:i/>
        </w:rPr>
        <w:t xml:space="preserve"> as </w:t>
      </w:r>
      <w:proofErr w:type="spellStart"/>
      <w:r w:rsidRPr="000E0449">
        <w:rPr>
          <w:i/>
        </w:rPr>
        <w:t>respiratory</w:t>
      </w:r>
      <w:proofErr w:type="spellEnd"/>
      <w:r w:rsidRPr="000E0449">
        <w:rPr>
          <w:i/>
        </w:rPr>
        <w:t xml:space="preserve"> </w:t>
      </w:r>
      <w:proofErr w:type="spellStart"/>
      <w:r w:rsidRPr="000E0449">
        <w:rPr>
          <w:i/>
        </w:rPr>
        <w:t>sensitizers</w:t>
      </w:r>
      <w:proofErr w:type="spellEnd"/>
      <w:r w:rsidRPr="000E0449">
        <w:rPr>
          <w:i/>
        </w:rPr>
        <w:t>.</w:t>
      </w:r>
    </w:p>
    <w:p w14:paraId="5BE69648" w14:textId="242B2841" w:rsidR="00217516" w:rsidRPr="00217516" w:rsidRDefault="00217516">
      <w:pPr>
        <w:pStyle w:val="FootnoteText"/>
        <w:rPr>
          <w:lang w:val="fr-CH"/>
        </w:rPr>
      </w:pPr>
    </w:p>
  </w:footnote>
  <w:footnote w:id="5">
    <w:p w14:paraId="63E267C4" w14:textId="7F0B1B29" w:rsidR="00D02BEB" w:rsidRPr="00D02BEB" w:rsidRDefault="00D02BEB" w:rsidP="00D02BEB">
      <w:pPr>
        <w:pStyle w:val="GHSHeading5"/>
        <w:keepNext w:val="0"/>
        <w:keepLines w:val="0"/>
        <w:widowControl/>
        <w:tabs>
          <w:tab w:val="clear" w:pos="1418"/>
          <w:tab w:val="clear" w:pos="1985"/>
          <w:tab w:val="clear" w:pos="2552"/>
          <w:tab w:val="clear" w:pos="3119"/>
          <w:tab w:val="clear" w:pos="3686"/>
          <w:tab w:val="left" w:pos="567"/>
          <w:tab w:val="left" w:pos="2268"/>
        </w:tabs>
        <w:autoSpaceDE w:val="0"/>
        <w:autoSpaceDN w:val="0"/>
        <w:adjustRightInd w:val="0"/>
        <w:spacing w:after="120"/>
        <w:ind w:right="119"/>
        <w:rPr>
          <w:i/>
          <w:iCs/>
          <w:color w:val="4F81BD" w:themeColor="accent1"/>
          <w:sz w:val="20"/>
          <w:szCs w:val="20"/>
        </w:rPr>
      </w:pPr>
      <w:r>
        <w:rPr>
          <w:rStyle w:val="FootnoteReference"/>
        </w:rPr>
        <w:footnoteRef/>
      </w:r>
      <w:r>
        <w:t xml:space="preserve"> </w:t>
      </w:r>
      <w:r w:rsidRPr="00D02BEB">
        <w:rPr>
          <w:i/>
          <w:iCs/>
          <w:color w:val="4F81BD" w:themeColor="accent1"/>
          <w:sz w:val="20"/>
          <w:szCs w:val="20"/>
        </w:rPr>
        <w:t>Additional defined approaches have been proposed for skin sensit</w:t>
      </w:r>
      <w:r>
        <w:rPr>
          <w:i/>
          <w:iCs/>
          <w:color w:val="4F81BD" w:themeColor="accent1"/>
          <w:sz w:val="20"/>
          <w:szCs w:val="20"/>
        </w:rPr>
        <w:t>i</w:t>
      </w:r>
      <w:r w:rsidRPr="00D02BEB">
        <w:rPr>
          <w:i/>
          <w:iCs/>
          <w:color w:val="4F81BD" w:themeColor="accent1"/>
          <w:sz w:val="20"/>
          <w:szCs w:val="20"/>
        </w:rPr>
        <w:t>zation (OECD 2016b</w:t>
      </w:r>
      <w:proofErr w:type="gramStart"/>
      <w:r w:rsidRPr="00D02BEB">
        <w:rPr>
          <w:i/>
          <w:iCs/>
          <w:color w:val="4F81BD" w:themeColor="accent1"/>
          <w:sz w:val="20"/>
          <w:szCs w:val="20"/>
        </w:rPr>
        <w:t>)</w:t>
      </w:r>
      <w:proofErr w:type="gramEnd"/>
      <w:r w:rsidRPr="00D02BEB">
        <w:rPr>
          <w:i/>
          <w:iCs/>
          <w:color w:val="4F81BD" w:themeColor="accent1"/>
          <w:sz w:val="20"/>
          <w:szCs w:val="20"/>
        </w:rPr>
        <w:t xml:space="preserve"> but no classification criteria have yet been agreed internationally.</w:t>
      </w:r>
    </w:p>
    <w:p w14:paraId="072278AD" w14:textId="7FB3C754" w:rsidR="00D02BEB" w:rsidRPr="00D02BEB" w:rsidRDefault="00D02BEB">
      <w:pPr>
        <w:pStyle w:val="FootnoteText"/>
        <w:rPr>
          <w:lang w:val="fr-CH"/>
        </w:rPr>
      </w:pPr>
    </w:p>
  </w:footnote>
  <w:footnote w:id="6">
    <w:p w14:paraId="2B78388B" w14:textId="77FD73FD" w:rsidR="0032407E" w:rsidRPr="0032407E" w:rsidRDefault="0032407E" w:rsidP="000E421A">
      <w:pPr>
        <w:pStyle w:val="GHSHeading5"/>
        <w:keepNext w:val="0"/>
        <w:keepLines w:val="0"/>
        <w:widowControl/>
        <w:tabs>
          <w:tab w:val="clear" w:pos="1418"/>
          <w:tab w:val="clear" w:pos="1985"/>
          <w:tab w:val="clear" w:pos="2552"/>
          <w:tab w:val="clear" w:pos="3119"/>
          <w:tab w:val="clear" w:pos="3686"/>
          <w:tab w:val="left" w:pos="567"/>
          <w:tab w:val="left" w:pos="2268"/>
        </w:tabs>
        <w:autoSpaceDE w:val="0"/>
        <w:autoSpaceDN w:val="0"/>
        <w:adjustRightInd w:val="0"/>
        <w:spacing w:after="240"/>
        <w:ind w:right="119"/>
        <w:rPr>
          <w:lang w:val="fr-CH"/>
        </w:rPr>
      </w:pPr>
      <w:r w:rsidRPr="000E421A">
        <w:rPr>
          <w:rStyle w:val="FootnoteReference"/>
          <w:color w:val="4F81BD" w:themeColor="accent1"/>
        </w:rPr>
        <w:footnoteRef/>
      </w:r>
      <w:r w:rsidRPr="0032407E">
        <w:t xml:space="preserve">  </w:t>
      </w:r>
      <w:r w:rsidRPr="0032407E">
        <w:rPr>
          <w:i/>
          <w:iCs/>
          <w:color w:val="4F81BD" w:themeColor="accent1"/>
          <w:sz w:val="20"/>
          <w:szCs w:val="20"/>
        </w:rPr>
        <w:t xml:space="preserve">Additional in </w:t>
      </w:r>
      <w:proofErr w:type="spellStart"/>
      <w:r w:rsidRPr="0032407E">
        <w:rPr>
          <w:i/>
          <w:iCs/>
          <w:color w:val="4F81BD" w:themeColor="accent1"/>
          <w:sz w:val="20"/>
          <w:szCs w:val="20"/>
        </w:rPr>
        <w:t>chemico</w:t>
      </w:r>
      <w:proofErr w:type="spellEnd"/>
      <w:r w:rsidRPr="0032407E">
        <w:rPr>
          <w:i/>
          <w:iCs/>
          <w:color w:val="4F81BD" w:themeColor="accent1"/>
          <w:sz w:val="20"/>
          <w:szCs w:val="20"/>
        </w:rPr>
        <w:t>/in vitro methods have been proposed for skin sensitization (see 3.4.5.3.6.1) but no classification criteria have yet been agreed internationally.</w:t>
      </w:r>
    </w:p>
  </w:footnote>
  <w:footnote w:id="7">
    <w:p w14:paraId="199FC850" w14:textId="7B95CFE1" w:rsidR="00010F65" w:rsidRPr="00010F65" w:rsidRDefault="00010F65" w:rsidP="00712C27">
      <w:pPr>
        <w:pStyle w:val="FootnoteText"/>
        <w:tabs>
          <w:tab w:val="clear" w:pos="1021"/>
          <w:tab w:val="left" w:pos="284"/>
        </w:tabs>
        <w:ind w:left="0" w:firstLine="0"/>
        <w:rPr>
          <w:lang w:val="fr-CH"/>
        </w:rPr>
      </w:pPr>
      <w:r w:rsidRPr="00712C27">
        <w:rPr>
          <w:rStyle w:val="FootnoteReference"/>
          <w:b/>
          <w:bCs/>
          <w:color w:val="4F81BD" w:themeColor="accent1"/>
        </w:rPr>
        <w:footnoteRef/>
      </w:r>
      <w:r w:rsidR="00712C27" w:rsidRPr="00712C27">
        <w:rPr>
          <w:b/>
          <w:bCs/>
          <w:strike/>
          <w:color w:val="000000" w:themeColor="text1"/>
          <w:vertAlign w:val="superscript"/>
        </w:rPr>
        <w:t>3</w:t>
      </w:r>
      <w:r w:rsidRPr="00712C27">
        <w:rPr>
          <w:b/>
          <w:bCs/>
          <w:color w:val="000000" w:themeColor="text1"/>
        </w:rPr>
        <w:t xml:space="preserve"> </w:t>
      </w:r>
      <w:r w:rsidR="00712C27">
        <w:tab/>
      </w:r>
      <w:r w:rsidR="00712C27" w:rsidRPr="007D7000">
        <w:rPr>
          <w:i/>
          <w:sz w:val="20"/>
        </w:rPr>
        <w:t>For specific concentration limits, see “The use of cut-off values/concentration limits” in Chapter 1.3, paragraph 1.3.3.2.</w:t>
      </w:r>
    </w:p>
  </w:footnote>
  <w:footnote w:id="8">
    <w:p w14:paraId="4BA0F4D6" w14:textId="7B14B0E6" w:rsidR="000F74DE" w:rsidRPr="000F74DE" w:rsidRDefault="000F74DE" w:rsidP="000F74DE">
      <w:pPr>
        <w:pStyle w:val="FootnoteText"/>
        <w:tabs>
          <w:tab w:val="left" w:pos="284"/>
        </w:tabs>
        <w:rPr>
          <w:lang w:val="fr-CH"/>
        </w:rPr>
      </w:pPr>
      <w:r w:rsidRPr="00825225">
        <w:rPr>
          <w:rStyle w:val="FootnoteReference"/>
          <w:b/>
          <w:bCs/>
          <w:color w:val="4F81BD" w:themeColor="accent1"/>
        </w:rPr>
        <w:footnoteRef/>
      </w:r>
      <w:r w:rsidRPr="00825225">
        <w:rPr>
          <w:b/>
          <w:bCs/>
          <w:strike/>
          <w:color w:val="000000" w:themeColor="text1"/>
          <w:sz w:val="20"/>
          <w:szCs w:val="22"/>
          <w:vertAlign w:val="superscript"/>
        </w:rPr>
        <w:t>4</w:t>
      </w:r>
      <w:r w:rsidRPr="00825225">
        <w:rPr>
          <w:color w:val="000000" w:themeColor="text1"/>
        </w:rPr>
        <w:t xml:space="preserve"> </w:t>
      </w:r>
      <w:r>
        <w:tab/>
      </w:r>
      <w:r>
        <w:tab/>
      </w:r>
      <w:r w:rsidRPr="007D7000">
        <w:rPr>
          <w:i/>
          <w:sz w:val="20"/>
        </w:rPr>
        <w:t>See 3.4.4.2.</w:t>
      </w:r>
    </w:p>
  </w:footnote>
  <w:footnote w:id="9">
    <w:p w14:paraId="73E6929F" w14:textId="2ADB3A95" w:rsidR="00825225" w:rsidRPr="00825225" w:rsidRDefault="00825225" w:rsidP="00825225">
      <w:pPr>
        <w:pStyle w:val="FootnoteText"/>
        <w:tabs>
          <w:tab w:val="left" w:pos="284"/>
        </w:tabs>
        <w:rPr>
          <w:lang w:val="fr-CH"/>
        </w:rPr>
      </w:pPr>
      <w:r w:rsidRPr="00825225">
        <w:rPr>
          <w:rStyle w:val="FootnoteReference"/>
          <w:b/>
          <w:bCs/>
          <w:color w:val="4F81BD" w:themeColor="accent1"/>
        </w:rPr>
        <w:footnoteRef/>
      </w:r>
      <w:r w:rsidRPr="00825225">
        <w:rPr>
          <w:b/>
          <w:bCs/>
          <w:color w:val="4F81BD" w:themeColor="accent1"/>
        </w:rPr>
        <w:t xml:space="preserve"> </w:t>
      </w:r>
      <w:r w:rsidRPr="00825225">
        <w:rPr>
          <w:b/>
          <w:bCs/>
          <w:strike/>
          <w:vertAlign w:val="superscript"/>
        </w:rPr>
        <w:t>5</w:t>
      </w:r>
      <w:r w:rsidRPr="00825225">
        <w:rPr>
          <w:strike/>
          <w:vertAlign w:val="superscript"/>
        </w:rPr>
        <w:tab/>
      </w:r>
      <w:r w:rsidRPr="007D7000">
        <w:rPr>
          <w:i/>
          <w:sz w:val="20"/>
        </w:rPr>
        <w:t>See 3.4.2.1.1 for details on use of Category 1 sub-categories.</w:t>
      </w:r>
    </w:p>
  </w:footnote>
  <w:footnote w:id="10">
    <w:p w14:paraId="5495A838" w14:textId="35BDC32E" w:rsidR="00531DFC" w:rsidRPr="00531DFC" w:rsidRDefault="00531DFC" w:rsidP="00531DFC">
      <w:pPr>
        <w:pStyle w:val="FootnoteText"/>
        <w:tabs>
          <w:tab w:val="clear" w:pos="1021"/>
          <w:tab w:val="left" w:pos="284"/>
        </w:tabs>
        <w:ind w:left="0" w:firstLine="0"/>
        <w:rPr>
          <w:sz w:val="20"/>
          <w:lang w:val="fr-CH"/>
        </w:rPr>
      </w:pPr>
      <w:r w:rsidRPr="00531DFC">
        <w:rPr>
          <w:rStyle w:val="FootnoteReference"/>
          <w:b/>
          <w:bCs/>
          <w:color w:val="4F81BD" w:themeColor="accent1"/>
          <w:sz w:val="20"/>
        </w:rPr>
        <w:t>5</w:t>
      </w:r>
      <w:r w:rsidRPr="00531DFC">
        <w:rPr>
          <w:b/>
          <w:bCs/>
          <w:strike/>
          <w:sz w:val="20"/>
          <w:vertAlign w:val="superscript"/>
        </w:rPr>
        <w:t>3</w:t>
      </w:r>
      <w:r w:rsidRPr="00531DFC">
        <w:rPr>
          <w:b/>
          <w:bCs/>
          <w:color w:val="4F81BD" w:themeColor="accent1"/>
          <w:sz w:val="20"/>
        </w:rPr>
        <w:t xml:space="preserve"> </w:t>
      </w:r>
      <w:r w:rsidRPr="00531DFC">
        <w:rPr>
          <w:sz w:val="20"/>
        </w:rPr>
        <w:tab/>
      </w:r>
      <w:r w:rsidRPr="00531DFC">
        <w:rPr>
          <w:i/>
          <w:sz w:val="20"/>
        </w:rPr>
        <w:t>For specific concentration limits, see “The use of cut-off values/concentration limits” in Chapter 1.3, paragraph 1.3.3.2.</w:t>
      </w:r>
    </w:p>
  </w:footnote>
  <w:footnote w:id="11">
    <w:p w14:paraId="7527747F" w14:textId="69B8BAD0" w:rsidR="00531DFC" w:rsidRPr="00531DFC" w:rsidRDefault="00531DFC" w:rsidP="00531DFC">
      <w:pPr>
        <w:pStyle w:val="FootnoteText"/>
        <w:tabs>
          <w:tab w:val="clear" w:pos="1021"/>
        </w:tabs>
        <w:ind w:left="284" w:hanging="284"/>
        <w:rPr>
          <w:i/>
          <w:sz w:val="20"/>
        </w:rPr>
      </w:pPr>
      <w:r w:rsidRPr="00531DFC">
        <w:rPr>
          <w:rStyle w:val="FootnoteReference"/>
          <w:b/>
          <w:bCs/>
          <w:color w:val="4F81BD" w:themeColor="accent1"/>
          <w:sz w:val="20"/>
        </w:rPr>
        <w:t>6</w:t>
      </w:r>
      <w:r w:rsidRPr="00531DFC">
        <w:rPr>
          <w:b/>
          <w:bCs/>
          <w:strike/>
          <w:sz w:val="20"/>
          <w:vertAlign w:val="superscript"/>
        </w:rPr>
        <w:t>4</w:t>
      </w:r>
      <w:r w:rsidRPr="00531DFC">
        <w:rPr>
          <w:sz w:val="20"/>
        </w:rPr>
        <w:t xml:space="preserve"> </w:t>
      </w:r>
      <w:r w:rsidRPr="00531DFC">
        <w:rPr>
          <w:sz w:val="20"/>
        </w:rPr>
        <w:tab/>
      </w:r>
      <w:r w:rsidRPr="00531DFC">
        <w:rPr>
          <w:i/>
          <w:sz w:val="20"/>
        </w:rPr>
        <w:t>See 3.4.4.2.</w:t>
      </w:r>
    </w:p>
  </w:footnote>
  <w:footnote w:id="12">
    <w:p w14:paraId="20414265" w14:textId="1521A9F8" w:rsidR="00531DFC" w:rsidRPr="00531DFC" w:rsidRDefault="00531DFC" w:rsidP="00531DFC">
      <w:pPr>
        <w:pStyle w:val="FootnoteText"/>
        <w:tabs>
          <w:tab w:val="left" w:pos="284"/>
        </w:tabs>
        <w:rPr>
          <w:lang w:val="fr-CH"/>
        </w:rPr>
      </w:pPr>
      <w:r w:rsidRPr="00531DFC">
        <w:rPr>
          <w:rStyle w:val="FootnoteReference"/>
          <w:b/>
          <w:bCs/>
          <w:color w:val="4F81BD" w:themeColor="accent1"/>
        </w:rPr>
        <w:footnoteRef/>
      </w:r>
      <w:r w:rsidRPr="00D25AB1">
        <w:rPr>
          <w:b/>
          <w:bCs/>
          <w:strike/>
          <w:sz w:val="20"/>
          <w:vertAlign w:val="superscript"/>
        </w:rPr>
        <w:t>5</w:t>
      </w:r>
      <w:r>
        <w:t xml:space="preserve"> </w:t>
      </w:r>
      <w:r>
        <w:tab/>
      </w:r>
      <w:r w:rsidRPr="007D7000">
        <w:rPr>
          <w:i/>
          <w:sz w:val="20"/>
        </w:rPr>
        <w:t>See 3.4.2.2.1 for details on use of Category 1 sub-categories.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0665" w14:textId="16092DEF" w:rsidR="00574027" w:rsidRPr="00CE031D" w:rsidRDefault="00574027" w:rsidP="003E1BD4">
    <w:pPr>
      <w:pStyle w:val="Header"/>
      <w:rPr>
        <w:szCs w:val="18"/>
      </w:rPr>
    </w:pPr>
    <w:r w:rsidRPr="00655BD4">
      <w:rPr>
        <w:szCs w:val="18"/>
      </w:rPr>
      <w:t>UN/SCE</w:t>
    </w:r>
    <w:r w:rsidR="0028150B" w:rsidRPr="00655BD4">
      <w:rPr>
        <w:szCs w:val="18"/>
      </w:rPr>
      <w:t>GHS</w:t>
    </w:r>
    <w:r w:rsidRPr="00655BD4">
      <w:rPr>
        <w:szCs w:val="18"/>
      </w:rPr>
      <w:t>/</w:t>
    </w:r>
    <w:r w:rsidR="0028150B" w:rsidRPr="00655BD4">
      <w:rPr>
        <w:szCs w:val="18"/>
      </w:rPr>
      <w:t>4</w:t>
    </w:r>
    <w:r w:rsidR="00647244" w:rsidRPr="00655BD4">
      <w:rPr>
        <w:szCs w:val="18"/>
      </w:rPr>
      <w:t>3</w:t>
    </w:r>
    <w:r w:rsidRPr="00655BD4">
      <w:rPr>
        <w:szCs w:val="18"/>
      </w:rPr>
      <w:t>/INF.</w:t>
    </w:r>
    <w:r w:rsidR="00116B96" w:rsidRPr="00655BD4">
      <w:rPr>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7F5E" w14:textId="47EE0273" w:rsidR="00574027" w:rsidRDefault="00DB3DC7" w:rsidP="00DB3DC7">
    <w:pPr>
      <w:pStyle w:val="Header"/>
      <w:jc w:val="right"/>
    </w:pPr>
    <w:r w:rsidRPr="00655BD4">
      <w:rPr>
        <w:szCs w:val="18"/>
      </w:rPr>
      <w:t>UN/SCEGHS/43/INF.3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C0B6" w14:textId="77777777" w:rsidR="00574027" w:rsidRDefault="00574027" w:rsidP="00CE031D">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99E0" w14:textId="77777777" w:rsidR="00574027" w:rsidRPr="0062617C" w:rsidRDefault="00574027" w:rsidP="0062617C">
    <w:pPr>
      <w:pStyle w:val="Header"/>
      <w:pBdr>
        <w:bottom w:val="none" w:sz="0" w:space="0" w:color="auto"/>
      </w:pBdr>
    </w:pPr>
    <w:r>
      <w:rPr>
        <w:b w:val="0"/>
        <w:noProof/>
        <w:lang w:eastAsia="en-GB"/>
      </w:rPr>
      <mc:AlternateContent>
        <mc:Choice Requires="wps">
          <w:drawing>
            <wp:anchor distT="0" distB="0" distL="114300" distR="114300" simplePos="0" relativeHeight="251658246" behindDoc="0" locked="0" layoutInCell="1" allowOverlap="1" wp14:anchorId="103759B8" wp14:editId="2E4EC723">
              <wp:simplePos x="0" y="0"/>
              <wp:positionH relativeFrom="margin">
                <wp:posOffset>-370840</wp:posOffset>
              </wp:positionH>
              <wp:positionV relativeFrom="margin">
                <wp:posOffset>11430</wp:posOffset>
              </wp:positionV>
              <wp:extent cx="222885" cy="6120130"/>
              <wp:effectExtent l="0" t="0" r="571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AFBCB" w14:textId="77777777" w:rsidR="00574027" w:rsidRPr="002077D8" w:rsidRDefault="00574027" w:rsidP="00AA3D2B">
                          <w:pPr>
                            <w:pStyle w:val="Footer"/>
                            <w:rPr>
                              <w:b/>
                              <w:sz w:val="18"/>
                            </w:rPr>
                          </w:pPr>
                          <w:r w:rsidRPr="002077D8">
                            <w:rPr>
                              <w:b/>
                              <w:sz w:val="18"/>
                            </w:rPr>
                            <w:fldChar w:fldCharType="begin"/>
                          </w:r>
                          <w:r w:rsidRPr="002077D8">
                            <w:rPr>
                              <w:b/>
                              <w:sz w:val="18"/>
                            </w:rPr>
                            <w:instrText xml:space="preserve"> PAGE   \* MERGEFORMAT </w:instrText>
                          </w:r>
                          <w:r w:rsidRPr="002077D8">
                            <w:rPr>
                              <w:b/>
                              <w:sz w:val="18"/>
                            </w:rPr>
                            <w:fldChar w:fldCharType="separate"/>
                          </w:r>
                          <w:r w:rsidR="00D660CB">
                            <w:rPr>
                              <w:b/>
                              <w:noProof/>
                              <w:sz w:val="18"/>
                            </w:rPr>
                            <w:t>4</w:t>
                          </w:r>
                          <w:r w:rsidRPr="002077D8">
                            <w:rPr>
                              <w:b/>
                              <w:noProof/>
                              <w:sz w:val="18"/>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759B8" id="_x0000_t202" coordsize="21600,21600" o:spt="202" path="m,l,21600r21600,l21600,xe">
              <v:stroke joinstyle="miter"/>
              <v:path gradientshapeok="t" o:connecttype="rect"/>
            </v:shapetype>
            <v:shape id="Text Box 12" o:spid="_x0000_s1026" type="#_x0000_t202" style="position:absolute;margin-left:-29.2pt;margin-top:.9pt;width:17.55pt;height:481.9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" stroked="f">
              <v:textbox style="layout-flow:vertical" inset="0,0,0,0">
                <w:txbxContent>
                  <w:p w14:paraId="2C2AFBCB" w14:textId="77777777" w:rsidR="00574027" w:rsidRPr="002077D8" w:rsidRDefault="00574027" w:rsidP="00AA3D2B">
                    <w:pPr>
                      <w:pStyle w:val="Footer"/>
                      <w:rPr>
                        <w:b/>
                        <w:sz w:val="18"/>
                      </w:rPr>
                    </w:pPr>
                    <w:r w:rsidRPr="002077D8">
                      <w:rPr>
                        <w:b/>
                        <w:sz w:val="18"/>
                      </w:rPr>
                      <w:fldChar w:fldCharType="begin"/>
                    </w:r>
                    <w:r w:rsidRPr="002077D8">
                      <w:rPr>
                        <w:b/>
                        <w:sz w:val="18"/>
                      </w:rPr>
                      <w:instrText xml:space="preserve"> PAGE   \* MERGEFORMAT </w:instrText>
                    </w:r>
                    <w:r w:rsidRPr="002077D8">
                      <w:rPr>
                        <w:b/>
                        <w:sz w:val="18"/>
                      </w:rPr>
                      <w:fldChar w:fldCharType="separate"/>
                    </w:r>
                    <w:r w:rsidR="00D660CB">
                      <w:rPr>
                        <w:b/>
                        <w:noProof/>
                        <w:sz w:val="18"/>
                      </w:rPr>
                      <w:t>4</w:t>
                    </w:r>
                    <w:r w:rsidRPr="002077D8">
                      <w:rPr>
                        <w:b/>
                        <w:noProof/>
                        <w:sz w:val="18"/>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8244" behindDoc="0" locked="0" layoutInCell="1" allowOverlap="1" wp14:anchorId="4FC9FACA" wp14:editId="1F3A486F">
              <wp:simplePos x="0" y="0"/>
              <wp:positionH relativeFrom="page">
                <wp:posOffset>9880600</wp:posOffset>
              </wp:positionH>
              <wp:positionV relativeFrom="margin">
                <wp:posOffset>7620</wp:posOffset>
              </wp:positionV>
              <wp:extent cx="215900" cy="612013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30343" w14:textId="13CC009F" w:rsidR="00574027" w:rsidRDefault="00574027" w:rsidP="0062617C">
                          <w:pPr>
                            <w:pStyle w:val="Header"/>
                          </w:pPr>
                          <w:r>
                            <w:t>UN/SCEG</w:t>
                          </w:r>
                          <w:r w:rsidR="00D660CB">
                            <w:t>HS</w:t>
                          </w:r>
                          <w:r>
                            <w:t>/</w:t>
                          </w:r>
                          <w:r w:rsidR="003E1BD4">
                            <w:t>4</w:t>
                          </w:r>
                          <w:r w:rsidR="00D660CB">
                            <w:t>3</w:t>
                          </w:r>
                          <w:r>
                            <w:t>/INF.</w:t>
                          </w:r>
                          <w:r w:rsidR="00D63572">
                            <w:t>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9FACA" id="Text Box 11" o:spid="_x0000_s1027" type="#_x0000_t202" style="position:absolute;margin-left:778pt;margin-top:.6pt;width:17pt;height:481.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" stroked="f">
              <v:textbox style="layout-flow:vertical" inset="0,0,0,0">
                <w:txbxContent>
                  <w:p w14:paraId="2B030343" w14:textId="13CC009F" w:rsidR="00574027" w:rsidRDefault="00574027" w:rsidP="0062617C">
                    <w:pPr>
                      <w:pStyle w:val="Header"/>
                    </w:pPr>
                    <w:r>
                      <w:t>UN/SCEG</w:t>
                    </w:r>
                    <w:r w:rsidR="00D660CB">
                      <w:t>HS</w:t>
                    </w:r>
                    <w:r>
                      <w:t>/</w:t>
                    </w:r>
                    <w:r w:rsidR="003E1BD4">
                      <w:t>4</w:t>
                    </w:r>
                    <w:r w:rsidR="00D660CB">
                      <w:t>3</w:t>
                    </w:r>
                    <w:r>
                      <w:t>/INF.</w:t>
                    </w:r>
                    <w:r w:rsidR="00D63572">
                      <w:t>3</w:t>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47D8" w14:textId="3C107D27" w:rsidR="00574027" w:rsidRPr="00CE031D" w:rsidRDefault="007E0B86" w:rsidP="0062617C">
    <w:pPr>
      <w:pStyle w:val="Header"/>
      <w:pBdr>
        <w:bottom w:val="none" w:sz="0" w:space="0" w:color="auto"/>
      </w:pBdr>
    </w:pPr>
    <w:r>
      <w:rPr>
        <w:b w:val="0"/>
        <w:noProof/>
        <w:lang w:eastAsia="en-GB"/>
      </w:rPr>
      <mc:AlternateContent>
        <mc:Choice Requires="wps">
          <w:drawing>
            <wp:anchor distT="0" distB="0" distL="114300" distR="114300" simplePos="0" relativeHeight="251658241" behindDoc="0" locked="0" layoutInCell="1" allowOverlap="1" wp14:anchorId="284D5738" wp14:editId="19F97F14">
              <wp:simplePos x="0" y="0"/>
              <wp:positionH relativeFrom="margin">
                <wp:posOffset>-295275</wp:posOffset>
              </wp:positionH>
              <wp:positionV relativeFrom="margin">
                <wp:posOffset>-28575</wp:posOffset>
              </wp:positionV>
              <wp:extent cx="222885" cy="5724525"/>
              <wp:effectExtent l="0" t="0" r="571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572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0E53D" w14:textId="77777777" w:rsidR="00574027" w:rsidRPr="002077D8" w:rsidRDefault="00574027" w:rsidP="00AA3D2B">
                          <w:pPr>
                            <w:pStyle w:val="Footer"/>
                            <w:jc w:val="right"/>
                            <w:rPr>
                              <w:b/>
                              <w:sz w:val="18"/>
                            </w:rPr>
                          </w:pPr>
                          <w:r w:rsidRPr="002077D8">
                            <w:rPr>
                              <w:b/>
                              <w:sz w:val="18"/>
                            </w:rPr>
                            <w:fldChar w:fldCharType="begin"/>
                          </w:r>
                          <w:r w:rsidRPr="002077D8">
                            <w:rPr>
                              <w:b/>
                              <w:sz w:val="18"/>
                            </w:rPr>
                            <w:instrText xml:space="preserve"> PAGE   \* MERGEFORMAT </w:instrText>
                          </w:r>
                          <w:r w:rsidRPr="002077D8">
                            <w:rPr>
                              <w:b/>
                              <w:sz w:val="18"/>
                            </w:rPr>
                            <w:fldChar w:fldCharType="separate"/>
                          </w:r>
                          <w:r w:rsidR="00D660CB">
                            <w:rPr>
                              <w:b/>
                              <w:noProof/>
                              <w:sz w:val="18"/>
                            </w:rPr>
                            <w:t>77</w:t>
                          </w:r>
                          <w:r w:rsidRPr="002077D8">
                            <w:rPr>
                              <w:b/>
                              <w:noProof/>
                              <w:sz w:val="18"/>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D5738" id="_x0000_t202" coordsize="21600,21600" o:spt="202" path="m,l,21600r21600,l21600,xe">
              <v:stroke joinstyle="miter"/>
              <v:path gradientshapeok="t" o:connecttype="rect"/>
            </v:shapetype>
            <v:shape id="Text Box 10" o:spid="_x0000_s1028" type="#_x0000_t202" style="position:absolute;margin-left:-23.25pt;margin-top:-2.25pt;width:17.55pt;height:450.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" stroked="f">
              <v:textbox style="layout-flow:vertical" inset="0,0,0,0">
                <w:txbxContent>
                  <w:p w14:paraId="74A0E53D" w14:textId="77777777" w:rsidR="00574027" w:rsidRPr="002077D8" w:rsidRDefault="00574027" w:rsidP="00AA3D2B">
                    <w:pPr>
                      <w:pStyle w:val="Footer"/>
                      <w:jc w:val="right"/>
                      <w:rPr>
                        <w:b/>
                        <w:sz w:val="18"/>
                      </w:rPr>
                    </w:pPr>
                    <w:r w:rsidRPr="002077D8">
                      <w:rPr>
                        <w:b/>
                        <w:sz w:val="18"/>
                      </w:rPr>
                      <w:fldChar w:fldCharType="begin"/>
                    </w:r>
                    <w:r w:rsidRPr="002077D8">
                      <w:rPr>
                        <w:b/>
                        <w:sz w:val="18"/>
                      </w:rPr>
                      <w:instrText xml:space="preserve"> PAGE   \* MERGEFORMAT </w:instrText>
                    </w:r>
                    <w:r w:rsidRPr="002077D8">
                      <w:rPr>
                        <w:b/>
                        <w:sz w:val="18"/>
                      </w:rPr>
                      <w:fldChar w:fldCharType="separate"/>
                    </w:r>
                    <w:r w:rsidR="00D660CB">
                      <w:rPr>
                        <w:b/>
                        <w:noProof/>
                        <w:sz w:val="18"/>
                      </w:rPr>
                      <w:t>77</w:t>
                    </w:r>
                    <w:r w:rsidRPr="002077D8">
                      <w:rPr>
                        <w:b/>
                        <w:noProof/>
                        <w:sz w:val="18"/>
                      </w:rPr>
                      <w:fldChar w:fldCharType="end"/>
                    </w:r>
                  </w:p>
                </w:txbxContent>
              </v:textbox>
              <w10:wrap anchorx="margin" anchory="margin"/>
            </v:shape>
          </w:pict>
        </mc:Fallback>
      </mc:AlternateContent>
    </w:r>
    <w:r w:rsidR="00F47212">
      <w:rPr>
        <w:noProof/>
        <w:lang w:eastAsia="en-GB"/>
      </w:rPr>
      <mc:AlternateContent>
        <mc:Choice Requires="wps">
          <w:drawing>
            <wp:anchor distT="0" distB="0" distL="114300" distR="114300" simplePos="0" relativeHeight="251658240" behindDoc="0" locked="0" layoutInCell="1" allowOverlap="1" wp14:anchorId="3CF9F405" wp14:editId="138CD0F3">
              <wp:simplePos x="0" y="0"/>
              <wp:positionH relativeFrom="page">
                <wp:posOffset>9820275</wp:posOffset>
              </wp:positionH>
              <wp:positionV relativeFrom="margin">
                <wp:posOffset>0</wp:posOffset>
              </wp:positionV>
              <wp:extent cx="200025" cy="56959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569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10483" w14:textId="3ABC106B" w:rsidR="00574027" w:rsidRDefault="00574027" w:rsidP="0062617C">
                          <w:pPr>
                            <w:pStyle w:val="Header"/>
                            <w:jc w:val="right"/>
                          </w:pPr>
                          <w:r w:rsidRPr="00D63572">
                            <w:t>UN/SCEG</w:t>
                          </w:r>
                          <w:r w:rsidR="007D47BB" w:rsidRPr="00D63572">
                            <w:t>HS</w:t>
                          </w:r>
                          <w:r w:rsidRPr="00D63572">
                            <w:t>/4</w:t>
                          </w:r>
                          <w:r w:rsidR="00101999" w:rsidRPr="00D63572">
                            <w:t>3</w:t>
                          </w:r>
                          <w:r w:rsidRPr="00D63572">
                            <w:t>/INF.</w:t>
                          </w:r>
                          <w:r w:rsidR="00D63572" w:rsidRPr="00D63572">
                            <w:t>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9F405" id="Text Box 9" o:spid="_x0000_s1029" type="#_x0000_t202" style="position:absolute;margin-left:773.25pt;margin-top:0;width:15.75pt;height:4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" stroked="f">
              <v:textbox style="layout-flow:vertical" inset="0,0,0,0">
                <w:txbxContent>
                  <w:p w14:paraId="28810483" w14:textId="3ABC106B" w:rsidR="00574027" w:rsidRDefault="00574027" w:rsidP="0062617C">
                    <w:pPr>
                      <w:pStyle w:val="Header"/>
                      <w:jc w:val="right"/>
                    </w:pPr>
                    <w:r w:rsidRPr="00D63572">
                      <w:t>UN/SCEG</w:t>
                    </w:r>
                    <w:r w:rsidR="007D47BB" w:rsidRPr="00D63572">
                      <w:t>HS</w:t>
                    </w:r>
                    <w:r w:rsidRPr="00D63572">
                      <w:t>/4</w:t>
                    </w:r>
                    <w:r w:rsidR="00101999" w:rsidRPr="00D63572">
                      <w:t>3</w:t>
                    </w:r>
                    <w:r w:rsidRPr="00D63572">
                      <w:t>/INF.</w:t>
                    </w:r>
                    <w:r w:rsidR="00D63572" w:rsidRPr="00D63572">
                      <w:t>3</w:t>
                    </w:r>
                  </w:p>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7C53" w14:textId="3E924565" w:rsidR="00574027" w:rsidRPr="0062617C" w:rsidRDefault="00574027" w:rsidP="00265B17">
    <w:pPr>
      <w:pStyle w:val="Header"/>
    </w:pPr>
    <w:r w:rsidRPr="002E51EF">
      <w:rPr>
        <w:szCs w:val="18"/>
      </w:rPr>
      <w:t>UN/SCE</w:t>
    </w:r>
    <w:r w:rsidR="00F47212" w:rsidRPr="002E51EF">
      <w:rPr>
        <w:szCs w:val="18"/>
      </w:rPr>
      <w:t>GHS</w:t>
    </w:r>
    <w:r w:rsidRPr="002E51EF">
      <w:rPr>
        <w:szCs w:val="18"/>
      </w:rPr>
      <w:t>/4</w:t>
    </w:r>
    <w:r w:rsidR="00101999" w:rsidRPr="002E51EF">
      <w:rPr>
        <w:szCs w:val="18"/>
      </w:rPr>
      <w:t>3/</w:t>
    </w:r>
    <w:r w:rsidRPr="002E51EF">
      <w:rPr>
        <w:szCs w:val="18"/>
      </w:rPr>
      <w:t>INF.</w:t>
    </w:r>
    <w:r w:rsidR="002E51EF" w:rsidRPr="002E51EF">
      <w:rPr>
        <w:szCs w:val="18"/>
      </w:rPr>
      <w:t>3</w:t>
    </w:r>
    <w:r>
      <w:rPr>
        <w:noProof/>
        <w:lang w:eastAsia="en-GB"/>
      </w:rPr>
      <mc:AlternateContent>
        <mc:Choice Requires="wps">
          <w:drawing>
            <wp:anchor distT="0" distB="0" distL="114300" distR="114300" simplePos="0" relativeHeight="251660288" behindDoc="0" locked="0" layoutInCell="1" allowOverlap="1" wp14:anchorId="69A23957" wp14:editId="1C38B3FA">
              <wp:simplePos x="0" y="0"/>
              <wp:positionH relativeFrom="page">
                <wp:posOffset>9880600</wp:posOffset>
              </wp:positionH>
              <wp:positionV relativeFrom="margin">
                <wp:posOffset>7620</wp:posOffset>
              </wp:positionV>
              <wp:extent cx="215900" cy="61201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6DE3E" w14:textId="77777777" w:rsidR="00574027" w:rsidRDefault="00574027" w:rsidP="0062617C">
                          <w:pPr>
                            <w:pStyle w:val="Header"/>
                          </w:pPr>
                          <w:r>
                            <w:t>UN/SCETDG/49/INF.xx</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23957" id="_x0000_t202" coordsize="21600,21600" o:spt="202" path="m,l,21600r21600,l21600,xe">
              <v:stroke joinstyle="miter"/>
              <v:path gradientshapeok="t" o:connecttype="rect"/>
            </v:shapetype>
            <v:shape id="Text Box 16" o:spid="_x0000_s1030" type="#_x0000_t202" style="position:absolute;margin-left:778pt;margin-top:.6pt;width:17pt;height:48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" stroked="f">
              <v:textbox style="layout-flow:vertical" inset="0,0,0,0">
                <w:txbxContent>
                  <w:p w14:paraId="7536DE3E" w14:textId="77777777" w:rsidR="00574027" w:rsidRDefault="00574027" w:rsidP="0062617C">
                    <w:pPr>
                      <w:pStyle w:val="Header"/>
                    </w:pPr>
                    <w:r>
                      <w:t>UN/SCETDG/49/INF.xx</w:t>
                    </w:r>
                  </w:p>
                </w:txbxContent>
              </v:textbox>
              <w10:wrap anchorx="page"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EDCB" w14:textId="069DC571" w:rsidR="00574027" w:rsidRPr="00CE031D" w:rsidRDefault="00574027" w:rsidP="00265B17">
    <w:pPr>
      <w:pStyle w:val="Header"/>
      <w:jc w:val="right"/>
    </w:pPr>
    <w:r w:rsidRPr="00CE031D">
      <w:rPr>
        <w:szCs w:val="18"/>
      </w:rPr>
      <w:t>UN/SCE</w:t>
    </w:r>
    <w:r w:rsidR="00D660CB">
      <w:rPr>
        <w:szCs w:val="18"/>
      </w:rPr>
      <w:t>GHS</w:t>
    </w:r>
    <w:r w:rsidRPr="00CE031D">
      <w:rPr>
        <w:szCs w:val="18"/>
      </w:rPr>
      <w:t>/</w:t>
    </w:r>
    <w:r w:rsidR="002E51EF">
      <w:rPr>
        <w:szCs w:val="18"/>
      </w:rPr>
      <w:t>4</w:t>
    </w:r>
    <w:r w:rsidR="00D660CB">
      <w:rPr>
        <w:szCs w:val="18"/>
      </w:rPr>
      <w:t>3</w:t>
    </w:r>
    <w:r w:rsidRPr="00CE031D">
      <w:rPr>
        <w:szCs w:val="18"/>
      </w:rPr>
      <w:t>/INF.</w:t>
    </w:r>
    <w:r w:rsidR="002E51EF">
      <w:rPr>
        <w:szCs w:val="18"/>
      </w:rPr>
      <w:t>3</w:t>
    </w:r>
    <w:r>
      <w:rPr>
        <w:noProof/>
        <w:lang w:eastAsia="en-GB"/>
      </w:rPr>
      <mc:AlternateContent>
        <mc:Choice Requires="wps">
          <w:drawing>
            <wp:anchor distT="0" distB="0" distL="114300" distR="114300" simplePos="0" relativeHeight="251656192" behindDoc="0" locked="0" layoutInCell="1" allowOverlap="1" wp14:anchorId="7C83A48F" wp14:editId="465D2C0D">
              <wp:simplePos x="0" y="0"/>
              <wp:positionH relativeFrom="page">
                <wp:posOffset>9728200</wp:posOffset>
              </wp:positionH>
              <wp:positionV relativeFrom="margin">
                <wp:posOffset>64770</wp:posOffset>
              </wp:positionV>
              <wp:extent cx="215900" cy="612013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A0A0B" w14:textId="77777777" w:rsidR="00574027" w:rsidRDefault="00574027" w:rsidP="0062617C">
                          <w:pPr>
                            <w:pStyle w:val="Header"/>
                            <w:jc w:val="right"/>
                          </w:pPr>
                          <w:r>
                            <w:t>UN/SCETDG/49/INF.xx</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A48F" id="_x0000_t202" coordsize="21600,21600" o:spt="202" path="m,l,21600r21600,l21600,xe">
              <v:stroke joinstyle="miter"/>
              <v:path gradientshapeok="t" o:connecttype="rect"/>
            </v:shapetype>
            <v:shape id="Text Box 14" o:spid="_x0000_s1031" type="#_x0000_t202" style="position:absolute;left:0;text-align:left;margin-left:766pt;margin-top:5.1pt;width:17pt;height:48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" stroked="f">
              <v:textbox style="layout-flow:vertical" inset="0,0,0,0">
                <w:txbxContent>
                  <w:p w14:paraId="799A0A0B" w14:textId="77777777" w:rsidR="00574027" w:rsidRDefault="00574027" w:rsidP="0062617C">
                    <w:pPr>
                      <w:pStyle w:val="Header"/>
                      <w:jc w:val="right"/>
                    </w:pPr>
                    <w:r>
                      <w:t>UN/SCETDG/49/INF.xx</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26D65"/>
    <w:multiLevelType w:val="hybridMultilevel"/>
    <w:tmpl w:val="F93613F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F3E7E69"/>
    <w:multiLevelType w:val="hybridMultilevel"/>
    <w:tmpl w:val="BEDA222C"/>
    <w:lvl w:ilvl="0" w:tplc="DF2AFC68">
      <w:start w:val="1"/>
      <w:numFmt w:val="lowerLetter"/>
      <w:lvlText w:val="(%1)"/>
      <w:lvlJc w:val="left"/>
      <w:pPr>
        <w:ind w:left="2132" w:hanging="360"/>
      </w:pPr>
      <w:rPr>
        <w:rFonts w:hint="default"/>
      </w:rPr>
    </w:lvl>
    <w:lvl w:ilvl="1" w:tplc="04100019" w:tentative="1">
      <w:start w:val="1"/>
      <w:numFmt w:val="lowerLetter"/>
      <w:lvlText w:val="%2."/>
      <w:lvlJc w:val="left"/>
      <w:pPr>
        <w:ind w:left="2852" w:hanging="360"/>
      </w:pPr>
    </w:lvl>
    <w:lvl w:ilvl="2" w:tplc="0410001B" w:tentative="1">
      <w:start w:val="1"/>
      <w:numFmt w:val="lowerRoman"/>
      <w:lvlText w:val="%3."/>
      <w:lvlJc w:val="right"/>
      <w:pPr>
        <w:ind w:left="3572" w:hanging="180"/>
      </w:pPr>
    </w:lvl>
    <w:lvl w:ilvl="3" w:tplc="0410000F" w:tentative="1">
      <w:start w:val="1"/>
      <w:numFmt w:val="decimal"/>
      <w:lvlText w:val="%4."/>
      <w:lvlJc w:val="left"/>
      <w:pPr>
        <w:ind w:left="4292" w:hanging="360"/>
      </w:pPr>
    </w:lvl>
    <w:lvl w:ilvl="4" w:tplc="04100019" w:tentative="1">
      <w:start w:val="1"/>
      <w:numFmt w:val="lowerLetter"/>
      <w:lvlText w:val="%5."/>
      <w:lvlJc w:val="left"/>
      <w:pPr>
        <w:ind w:left="5012" w:hanging="360"/>
      </w:pPr>
    </w:lvl>
    <w:lvl w:ilvl="5" w:tplc="0410001B" w:tentative="1">
      <w:start w:val="1"/>
      <w:numFmt w:val="lowerRoman"/>
      <w:lvlText w:val="%6."/>
      <w:lvlJc w:val="right"/>
      <w:pPr>
        <w:ind w:left="5732" w:hanging="180"/>
      </w:pPr>
    </w:lvl>
    <w:lvl w:ilvl="6" w:tplc="0410000F" w:tentative="1">
      <w:start w:val="1"/>
      <w:numFmt w:val="decimal"/>
      <w:lvlText w:val="%7."/>
      <w:lvlJc w:val="left"/>
      <w:pPr>
        <w:ind w:left="6452" w:hanging="360"/>
      </w:pPr>
    </w:lvl>
    <w:lvl w:ilvl="7" w:tplc="04100019" w:tentative="1">
      <w:start w:val="1"/>
      <w:numFmt w:val="lowerLetter"/>
      <w:lvlText w:val="%8."/>
      <w:lvlJc w:val="left"/>
      <w:pPr>
        <w:ind w:left="7172" w:hanging="360"/>
      </w:pPr>
    </w:lvl>
    <w:lvl w:ilvl="8" w:tplc="0410001B" w:tentative="1">
      <w:start w:val="1"/>
      <w:numFmt w:val="lowerRoman"/>
      <w:lvlText w:val="%9."/>
      <w:lvlJc w:val="right"/>
      <w:pPr>
        <w:ind w:left="7892" w:hanging="180"/>
      </w:pPr>
    </w:lvl>
  </w:abstractNum>
  <w:abstractNum w:abstractNumId="3" w15:restartNumberingAfterBreak="0">
    <w:nsid w:val="3F1A093E"/>
    <w:multiLevelType w:val="hybridMultilevel"/>
    <w:tmpl w:val="7EC49F1C"/>
    <w:lvl w:ilvl="0" w:tplc="77EE69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6626852"/>
    <w:multiLevelType w:val="hybridMultilevel"/>
    <w:tmpl w:val="A20043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471244F1"/>
    <w:multiLevelType w:val="hybridMultilevel"/>
    <w:tmpl w:val="BBB6B8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51502AF8"/>
    <w:multiLevelType w:val="hybridMultilevel"/>
    <w:tmpl w:val="7CA2B210"/>
    <w:lvl w:ilvl="0" w:tplc="E3C6E98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B8627B"/>
    <w:multiLevelType w:val="hybridMultilevel"/>
    <w:tmpl w:val="A9221F8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892037"/>
    <w:multiLevelType w:val="hybridMultilevel"/>
    <w:tmpl w:val="B57A7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8A20FE"/>
    <w:multiLevelType w:val="hybridMultilevel"/>
    <w:tmpl w:val="C8BA4460"/>
    <w:lvl w:ilvl="0" w:tplc="DF2AFC68">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num w:numId="1">
    <w:abstractNumId w:val="7"/>
  </w:num>
  <w:num w:numId="2">
    <w:abstractNumId w:val="11"/>
  </w:num>
  <w:num w:numId="3">
    <w:abstractNumId w:val="0"/>
  </w:num>
  <w:num w:numId="4">
    <w:abstractNumId w:val="9"/>
  </w:num>
  <w:num w:numId="5">
    <w:abstractNumId w:val="6"/>
  </w:num>
  <w:num w:numId="6">
    <w:abstractNumId w:val="5"/>
  </w:num>
  <w:num w:numId="7">
    <w:abstractNumId w:val="1"/>
  </w:num>
  <w:num w:numId="8">
    <w:abstractNumId w:val="8"/>
  </w:num>
  <w:num w:numId="9">
    <w:abstractNumId w:val="4"/>
  </w:num>
  <w:num w:numId="10">
    <w:abstractNumId w:val="7"/>
  </w:num>
  <w:num w:numId="11">
    <w:abstractNumId w:val="7"/>
  </w:num>
  <w:num w:numId="12">
    <w:abstractNumId w:val="7"/>
  </w:num>
  <w:num w:numId="13">
    <w:abstractNumId w:val="7"/>
  </w:num>
  <w:num w:numId="14">
    <w:abstractNumId w:val="3"/>
  </w:num>
  <w:num w:numId="15">
    <w:abstractNumId w:val="2"/>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408"/>
    <w:rsid w:val="00010F65"/>
    <w:rsid w:val="000214BC"/>
    <w:rsid w:val="0003079A"/>
    <w:rsid w:val="00032E04"/>
    <w:rsid w:val="0006039D"/>
    <w:rsid w:val="000B6ACF"/>
    <w:rsid w:val="000C0C69"/>
    <w:rsid w:val="000E421A"/>
    <w:rsid w:val="000F74DE"/>
    <w:rsid w:val="00101999"/>
    <w:rsid w:val="00116B96"/>
    <w:rsid w:val="00145FA5"/>
    <w:rsid w:val="00173D05"/>
    <w:rsid w:val="0018632C"/>
    <w:rsid w:val="001B057F"/>
    <w:rsid w:val="001C5FE4"/>
    <w:rsid w:val="001D7F5C"/>
    <w:rsid w:val="00217516"/>
    <w:rsid w:val="00223F9F"/>
    <w:rsid w:val="00225747"/>
    <w:rsid w:val="00226AB8"/>
    <w:rsid w:val="00226CEA"/>
    <w:rsid w:val="00236385"/>
    <w:rsid w:val="00237AF0"/>
    <w:rsid w:val="00256CE1"/>
    <w:rsid w:val="00260117"/>
    <w:rsid w:val="00265B17"/>
    <w:rsid w:val="0028150B"/>
    <w:rsid w:val="002E51EF"/>
    <w:rsid w:val="003143EF"/>
    <w:rsid w:val="0032407E"/>
    <w:rsid w:val="0032524A"/>
    <w:rsid w:val="00364002"/>
    <w:rsid w:val="00371089"/>
    <w:rsid w:val="003754C1"/>
    <w:rsid w:val="00396C56"/>
    <w:rsid w:val="003A2A96"/>
    <w:rsid w:val="003A3245"/>
    <w:rsid w:val="003B2653"/>
    <w:rsid w:val="003C10B9"/>
    <w:rsid w:val="003C425A"/>
    <w:rsid w:val="003E1BD4"/>
    <w:rsid w:val="003E64B9"/>
    <w:rsid w:val="00406A6B"/>
    <w:rsid w:val="004108A7"/>
    <w:rsid w:val="004214EF"/>
    <w:rsid w:val="00463233"/>
    <w:rsid w:val="00477D4B"/>
    <w:rsid w:val="004A33A6"/>
    <w:rsid w:val="004B5A77"/>
    <w:rsid w:val="004E7435"/>
    <w:rsid w:val="00512E3F"/>
    <w:rsid w:val="005214E7"/>
    <w:rsid w:val="00522D72"/>
    <w:rsid w:val="00531DFC"/>
    <w:rsid w:val="00574027"/>
    <w:rsid w:val="0058222C"/>
    <w:rsid w:val="00592369"/>
    <w:rsid w:val="005C023D"/>
    <w:rsid w:val="005C0B65"/>
    <w:rsid w:val="005C1828"/>
    <w:rsid w:val="005E593D"/>
    <w:rsid w:val="005E79BB"/>
    <w:rsid w:val="005F7AE9"/>
    <w:rsid w:val="0062617C"/>
    <w:rsid w:val="00630265"/>
    <w:rsid w:val="00633F54"/>
    <w:rsid w:val="00647244"/>
    <w:rsid w:val="00655BD4"/>
    <w:rsid w:val="00656EEA"/>
    <w:rsid w:val="00686B73"/>
    <w:rsid w:val="006A2C7D"/>
    <w:rsid w:val="006B668D"/>
    <w:rsid w:val="006D3E76"/>
    <w:rsid w:val="006E2F97"/>
    <w:rsid w:val="006F06E3"/>
    <w:rsid w:val="00703671"/>
    <w:rsid w:val="00712C27"/>
    <w:rsid w:val="00717408"/>
    <w:rsid w:val="00722323"/>
    <w:rsid w:val="00760F29"/>
    <w:rsid w:val="007A5031"/>
    <w:rsid w:val="007C1E4D"/>
    <w:rsid w:val="007C61DB"/>
    <w:rsid w:val="007D47BB"/>
    <w:rsid w:val="007E0B86"/>
    <w:rsid w:val="007F1D3F"/>
    <w:rsid w:val="0081680A"/>
    <w:rsid w:val="00822F3B"/>
    <w:rsid w:val="00825225"/>
    <w:rsid w:val="00891B72"/>
    <w:rsid w:val="008A2B38"/>
    <w:rsid w:val="008B37F4"/>
    <w:rsid w:val="008D54D0"/>
    <w:rsid w:val="00930F93"/>
    <w:rsid w:val="00933CF1"/>
    <w:rsid w:val="0094551F"/>
    <w:rsid w:val="009855D0"/>
    <w:rsid w:val="00994ED2"/>
    <w:rsid w:val="009B11B2"/>
    <w:rsid w:val="009E1F11"/>
    <w:rsid w:val="009E245E"/>
    <w:rsid w:val="009E42E4"/>
    <w:rsid w:val="00A279CD"/>
    <w:rsid w:val="00A55BFD"/>
    <w:rsid w:val="00A57ACB"/>
    <w:rsid w:val="00A7584D"/>
    <w:rsid w:val="00A83A4A"/>
    <w:rsid w:val="00A91B52"/>
    <w:rsid w:val="00AA3D2B"/>
    <w:rsid w:val="00AA46B2"/>
    <w:rsid w:val="00AA6BD9"/>
    <w:rsid w:val="00AD27A1"/>
    <w:rsid w:val="00AE30AB"/>
    <w:rsid w:val="00B21CEB"/>
    <w:rsid w:val="00B2410D"/>
    <w:rsid w:val="00B64854"/>
    <w:rsid w:val="00B77E3D"/>
    <w:rsid w:val="00B80E36"/>
    <w:rsid w:val="00B85035"/>
    <w:rsid w:val="00BF0E50"/>
    <w:rsid w:val="00C13576"/>
    <w:rsid w:val="00C13F89"/>
    <w:rsid w:val="00C21DFE"/>
    <w:rsid w:val="00C2479A"/>
    <w:rsid w:val="00C60AE5"/>
    <w:rsid w:val="00C64B5C"/>
    <w:rsid w:val="00C64CCA"/>
    <w:rsid w:val="00C65283"/>
    <w:rsid w:val="00C66473"/>
    <w:rsid w:val="00C77638"/>
    <w:rsid w:val="00C94795"/>
    <w:rsid w:val="00CA28D8"/>
    <w:rsid w:val="00CA3BB9"/>
    <w:rsid w:val="00CA5128"/>
    <w:rsid w:val="00CE031D"/>
    <w:rsid w:val="00CE640E"/>
    <w:rsid w:val="00D00DAA"/>
    <w:rsid w:val="00D02BEB"/>
    <w:rsid w:val="00D21AA8"/>
    <w:rsid w:val="00D63572"/>
    <w:rsid w:val="00D660CB"/>
    <w:rsid w:val="00D841B8"/>
    <w:rsid w:val="00DB3DC7"/>
    <w:rsid w:val="00DB521F"/>
    <w:rsid w:val="00DD396E"/>
    <w:rsid w:val="00DF2EC1"/>
    <w:rsid w:val="00E15AE8"/>
    <w:rsid w:val="00E1727E"/>
    <w:rsid w:val="00E7454A"/>
    <w:rsid w:val="00E97BCE"/>
    <w:rsid w:val="00EA091F"/>
    <w:rsid w:val="00EA3F81"/>
    <w:rsid w:val="00EA5B52"/>
    <w:rsid w:val="00F22714"/>
    <w:rsid w:val="00F27F2C"/>
    <w:rsid w:val="00F41B6B"/>
    <w:rsid w:val="00F47212"/>
    <w:rsid w:val="00F84D75"/>
    <w:rsid w:val="00FA63B2"/>
    <w:rsid w:val="00FE179E"/>
    <w:rsid w:val="00FE77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DCCC7"/>
  <w15:docId w15:val="{28BF58E0-68D0-4E51-804D-0C6FD199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08"/>
    <w:pPr>
      <w:suppressAutoHyphens/>
      <w:spacing w:line="240" w:lineRule="atLeast"/>
    </w:pPr>
    <w:rPr>
      <w:rFonts w:eastAsia="Times New Roman"/>
      <w:lang w:eastAsia="en-US"/>
    </w:rPr>
  </w:style>
  <w:style w:type="paragraph" w:styleId="Heading1">
    <w:name w:val="heading 1"/>
    <w:aliases w:val="Table_G"/>
    <w:basedOn w:val="SingleTxtG"/>
    <w:next w:val="SingleTxtG"/>
    <w:link w:val="Heading1Char"/>
    <w:qFormat/>
    <w:rsid w:val="00C65283"/>
    <w:pPr>
      <w:spacing w:after="0" w:line="240" w:lineRule="auto"/>
      <w:ind w:right="0"/>
      <w:jc w:val="left"/>
      <w:outlineLvl w:val="0"/>
    </w:pPr>
  </w:style>
  <w:style w:type="paragraph" w:styleId="Heading2">
    <w:name w:val="heading 2"/>
    <w:aliases w:val="GHS Chapter Heading"/>
    <w:basedOn w:val="Normal"/>
    <w:next w:val="Normal"/>
    <w:link w:val="Heading2Char"/>
    <w:qFormat/>
    <w:rsid w:val="00C65283"/>
    <w:pPr>
      <w:spacing w:line="240" w:lineRule="auto"/>
      <w:outlineLvl w:val="1"/>
    </w:pPr>
  </w:style>
  <w:style w:type="paragraph" w:styleId="Heading3">
    <w:name w:val="heading 3"/>
    <w:basedOn w:val="Normal"/>
    <w:next w:val="Normal"/>
    <w:link w:val="Heading3Char"/>
    <w:qFormat/>
    <w:rsid w:val="00C65283"/>
    <w:pPr>
      <w:spacing w:line="240" w:lineRule="auto"/>
      <w:outlineLvl w:val="2"/>
    </w:pPr>
  </w:style>
  <w:style w:type="paragraph" w:styleId="Heading4">
    <w:name w:val="heading 4"/>
    <w:basedOn w:val="Normal"/>
    <w:next w:val="Normal"/>
    <w:link w:val="Heading4Char"/>
    <w:qFormat/>
    <w:rsid w:val="00C65283"/>
    <w:pPr>
      <w:spacing w:line="240" w:lineRule="auto"/>
      <w:outlineLvl w:val="3"/>
    </w:pPr>
  </w:style>
  <w:style w:type="paragraph" w:styleId="Heading5">
    <w:name w:val="heading 5"/>
    <w:basedOn w:val="Normal"/>
    <w:next w:val="Normal"/>
    <w:link w:val="Heading5Char"/>
    <w:qFormat/>
    <w:rsid w:val="00C65283"/>
    <w:pPr>
      <w:spacing w:line="240" w:lineRule="auto"/>
      <w:outlineLvl w:val="4"/>
    </w:pPr>
  </w:style>
  <w:style w:type="paragraph" w:styleId="Heading6">
    <w:name w:val="heading 6"/>
    <w:basedOn w:val="Normal"/>
    <w:next w:val="Normal"/>
    <w:link w:val="Heading6Char"/>
    <w:qFormat/>
    <w:rsid w:val="00C65283"/>
    <w:pPr>
      <w:spacing w:line="240" w:lineRule="auto"/>
      <w:outlineLvl w:val="5"/>
    </w:pPr>
  </w:style>
  <w:style w:type="paragraph" w:styleId="Heading7">
    <w:name w:val="heading 7"/>
    <w:basedOn w:val="Normal"/>
    <w:next w:val="Normal"/>
    <w:link w:val="Heading7Char"/>
    <w:qFormat/>
    <w:rsid w:val="00C65283"/>
    <w:pPr>
      <w:spacing w:line="240" w:lineRule="auto"/>
      <w:outlineLvl w:val="6"/>
    </w:pPr>
  </w:style>
  <w:style w:type="paragraph" w:styleId="Heading8">
    <w:name w:val="heading 8"/>
    <w:basedOn w:val="Normal"/>
    <w:next w:val="Normal"/>
    <w:link w:val="Heading8Char"/>
    <w:qFormat/>
    <w:rsid w:val="00C65283"/>
    <w:pPr>
      <w:spacing w:line="240" w:lineRule="auto"/>
      <w:outlineLvl w:val="7"/>
    </w:pPr>
  </w:style>
  <w:style w:type="paragraph" w:styleId="Heading9">
    <w:name w:val="heading 9"/>
    <w:basedOn w:val="Normal"/>
    <w:next w:val="Normal"/>
    <w:link w:val="Heading9Char"/>
    <w:qFormat/>
    <w:rsid w:val="00C6528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C65283"/>
  </w:style>
  <w:style w:type="character" w:customStyle="1" w:styleId="Heading2Char">
    <w:name w:val="Heading 2 Char"/>
    <w:aliases w:val="GHS Chapter Heading Char"/>
    <w:basedOn w:val="DefaultParagraphFont"/>
    <w:link w:val="Heading2"/>
    <w:rsid w:val="00C65283"/>
  </w:style>
  <w:style w:type="character" w:customStyle="1" w:styleId="Heading3Char">
    <w:name w:val="Heading 3 Char"/>
    <w:basedOn w:val="DefaultParagraphFont"/>
    <w:link w:val="Heading3"/>
    <w:rsid w:val="00C65283"/>
  </w:style>
  <w:style w:type="character" w:customStyle="1" w:styleId="Heading4Char">
    <w:name w:val="Heading 4 Char"/>
    <w:basedOn w:val="DefaultParagraphFont"/>
    <w:link w:val="Heading4"/>
    <w:rsid w:val="00C65283"/>
  </w:style>
  <w:style w:type="character" w:customStyle="1" w:styleId="Heading5Char">
    <w:name w:val="Heading 5 Char"/>
    <w:basedOn w:val="DefaultParagraphFont"/>
    <w:link w:val="Heading5"/>
    <w:rsid w:val="00C65283"/>
  </w:style>
  <w:style w:type="character" w:customStyle="1" w:styleId="Heading6Char">
    <w:name w:val="Heading 6 Char"/>
    <w:basedOn w:val="DefaultParagraphFont"/>
    <w:link w:val="Heading6"/>
    <w:rsid w:val="00C65283"/>
  </w:style>
  <w:style w:type="character" w:customStyle="1" w:styleId="Heading7Char">
    <w:name w:val="Heading 7 Char"/>
    <w:basedOn w:val="DefaultParagraphFont"/>
    <w:link w:val="Heading7"/>
    <w:rsid w:val="00C65283"/>
  </w:style>
  <w:style w:type="character" w:customStyle="1" w:styleId="Heading8Char">
    <w:name w:val="Heading 8 Char"/>
    <w:basedOn w:val="DefaultParagraphFont"/>
    <w:link w:val="Heading8"/>
    <w:rsid w:val="00C65283"/>
  </w:style>
  <w:style w:type="character" w:customStyle="1" w:styleId="Heading9Char">
    <w:name w:val="Heading 9 Char"/>
    <w:basedOn w:val="DefaultParagraphFont"/>
    <w:link w:val="Heading9"/>
    <w:rsid w:val="00C65283"/>
  </w:style>
  <w:style w:type="paragraph" w:customStyle="1" w:styleId="HMG">
    <w:name w:val="_ H __M_G"/>
    <w:basedOn w:val="Normal"/>
    <w:next w:val="Normal"/>
    <w:rsid w:val="00930F9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930F93"/>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930F9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930F9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930F9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930F93"/>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uiPriority w:val="99"/>
    <w:qFormat/>
    <w:rsid w:val="00930F93"/>
    <w:pPr>
      <w:spacing w:after="120"/>
      <w:ind w:left="1134" w:right="1134"/>
      <w:jc w:val="both"/>
    </w:pPr>
  </w:style>
  <w:style w:type="paragraph" w:customStyle="1" w:styleId="SLG">
    <w:name w:val="__S_L_G"/>
    <w:basedOn w:val="Normal"/>
    <w:next w:val="Normal"/>
    <w:rsid w:val="00930F93"/>
    <w:pPr>
      <w:keepNext/>
      <w:keepLines/>
      <w:spacing w:before="240" w:after="240" w:line="580" w:lineRule="exact"/>
      <w:ind w:left="1134" w:right="1134"/>
    </w:pPr>
    <w:rPr>
      <w:b/>
      <w:sz w:val="56"/>
    </w:rPr>
  </w:style>
  <w:style w:type="paragraph" w:customStyle="1" w:styleId="SMG">
    <w:name w:val="__S_M_G"/>
    <w:basedOn w:val="Normal"/>
    <w:next w:val="Normal"/>
    <w:rsid w:val="00930F93"/>
    <w:pPr>
      <w:keepNext/>
      <w:keepLines/>
      <w:spacing w:before="240" w:after="240" w:line="420" w:lineRule="exact"/>
      <w:ind w:left="1134" w:right="1134"/>
    </w:pPr>
    <w:rPr>
      <w:b/>
      <w:sz w:val="40"/>
    </w:rPr>
  </w:style>
  <w:style w:type="paragraph" w:customStyle="1" w:styleId="SSG">
    <w:name w:val="__S_S_G"/>
    <w:basedOn w:val="Normal"/>
    <w:next w:val="Normal"/>
    <w:rsid w:val="00930F93"/>
    <w:pPr>
      <w:keepNext/>
      <w:keepLines/>
      <w:spacing w:before="240" w:after="240" w:line="300" w:lineRule="exact"/>
      <w:ind w:left="1134" w:right="1134"/>
    </w:pPr>
    <w:rPr>
      <w:b/>
      <w:sz w:val="28"/>
    </w:rPr>
  </w:style>
  <w:style w:type="paragraph" w:customStyle="1" w:styleId="XLargeG">
    <w:name w:val="__XLarge_G"/>
    <w:basedOn w:val="Normal"/>
    <w:next w:val="Normal"/>
    <w:rsid w:val="00930F93"/>
    <w:pPr>
      <w:keepNext/>
      <w:keepLines/>
      <w:spacing w:before="240" w:after="240" w:line="420" w:lineRule="exact"/>
      <w:ind w:left="1134" w:right="1134"/>
    </w:pPr>
    <w:rPr>
      <w:b/>
      <w:sz w:val="40"/>
    </w:rPr>
  </w:style>
  <w:style w:type="paragraph" w:customStyle="1" w:styleId="Bullet1G">
    <w:name w:val="_Bullet 1_G"/>
    <w:basedOn w:val="Normal"/>
    <w:rsid w:val="00930F93"/>
    <w:pPr>
      <w:numPr>
        <w:numId w:val="1"/>
      </w:numPr>
      <w:spacing w:after="120"/>
      <w:ind w:right="1134"/>
      <w:jc w:val="both"/>
    </w:pPr>
  </w:style>
  <w:style w:type="paragraph" w:customStyle="1" w:styleId="Bullet2G">
    <w:name w:val="_Bullet 2_G"/>
    <w:basedOn w:val="Normal"/>
    <w:rsid w:val="00930F93"/>
    <w:pPr>
      <w:numPr>
        <w:numId w:val="2"/>
      </w:numPr>
      <w:spacing w:after="120"/>
      <w:ind w:right="1134"/>
      <w:jc w:val="both"/>
    </w:pPr>
  </w:style>
  <w:style w:type="character" w:styleId="EndnoteReference">
    <w:name w:val="endnote reference"/>
    <w:aliases w:val="1_G"/>
    <w:basedOn w:val="FootnoteReference"/>
    <w:rsid w:val="00930F93"/>
    <w:rPr>
      <w:rFonts w:ascii="Times New Roman" w:hAnsi="Times New Roman"/>
      <w:sz w:val="18"/>
      <w:vertAlign w:val="superscript"/>
    </w:rPr>
  </w:style>
  <w:style w:type="character" w:styleId="FootnoteReference">
    <w:name w:val="footnote reference"/>
    <w:aliases w:val="4_G,Footnote Reference/"/>
    <w:basedOn w:val="DefaultParagraphFont"/>
    <w:qFormat/>
    <w:rsid w:val="00930F93"/>
    <w:rPr>
      <w:rFonts w:ascii="Times New Roman" w:hAnsi="Times New Roman"/>
      <w:sz w:val="18"/>
      <w:vertAlign w:val="superscript"/>
    </w:rPr>
  </w:style>
  <w:style w:type="paragraph" w:styleId="EndnoteText">
    <w:name w:val="endnote text"/>
    <w:aliases w:val="2_G"/>
    <w:basedOn w:val="FootnoteText"/>
    <w:link w:val="EndnoteTextChar"/>
    <w:rsid w:val="00930F93"/>
  </w:style>
  <w:style w:type="character" w:customStyle="1" w:styleId="EndnoteTextChar">
    <w:name w:val="Endnote Text Char"/>
    <w:aliases w:val="2_G Char"/>
    <w:basedOn w:val="DefaultParagraphFont"/>
    <w:link w:val="EndnoteText"/>
    <w:rsid w:val="00930F93"/>
    <w:rPr>
      <w:sz w:val="18"/>
    </w:rPr>
  </w:style>
  <w:style w:type="paragraph" w:styleId="FootnoteText">
    <w:name w:val="footnote text"/>
    <w:aliases w:val="5_G"/>
    <w:basedOn w:val="Normal"/>
    <w:link w:val="FootnoteTextChar"/>
    <w:qFormat/>
    <w:rsid w:val="00930F93"/>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930F93"/>
    <w:rPr>
      <w:sz w:val="18"/>
    </w:rPr>
  </w:style>
  <w:style w:type="character" w:styleId="FollowedHyperlink">
    <w:name w:val="FollowedHyperlink"/>
    <w:basedOn w:val="DefaultParagraphFont"/>
    <w:uiPriority w:val="99"/>
    <w:semiHidden/>
    <w:rsid w:val="00930F93"/>
    <w:rPr>
      <w:color w:val="auto"/>
      <w:u w:val="none"/>
    </w:rPr>
  </w:style>
  <w:style w:type="paragraph" w:styleId="Footer">
    <w:name w:val="footer"/>
    <w:aliases w:val="3_G"/>
    <w:basedOn w:val="Normal"/>
    <w:link w:val="FooterChar"/>
    <w:uiPriority w:val="99"/>
    <w:rsid w:val="00930F93"/>
    <w:pPr>
      <w:spacing w:line="240" w:lineRule="auto"/>
    </w:pPr>
    <w:rPr>
      <w:sz w:val="16"/>
    </w:rPr>
  </w:style>
  <w:style w:type="character" w:customStyle="1" w:styleId="FooterChar">
    <w:name w:val="Footer Char"/>
    <w:aliases w:val="3_G Char"/>
    <w:basedOn w:val="DefaultParagraphFont"/>
    <w:link w:val="Footer"/>
    <w:uiPriority w:val="99"/>
    <w:rsid w:val="00930F93"/>
    <w:rPr>
      <w:sz w:val="16"/>
    </w:rPr>
  </w:style>
  <w:style w:type="paragraph" w:styleId="Header">
    <w:name w:val="header"/>
    <w:aliases w:val="6_G"/>
    <w:basedOn w:val="Normal"/>
    <w:link w:val="HeaderChar"/>
    <w:uiPriority w:val="99"/>
    <w:qFormat/>
    <w:rsid w:val="00930F9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930F93"/>
    <w:rPr>
      <w:b/>
      <w:sz w:val="18"/>
    </w:rPr>
  </w:style>
  <w:style w:type="character" w:styleId="PageNumber">
    <w:name w:val="page number"/>
    <w:aliases w:val="7_G"/>
    <w:basedOn w:val="DefaultParagraphFont"/>
    <w:rsid w:val="00930F93"/>
    <w:rPr>
      <w:rFonts w:ascii="Times New Roman" w:hAnsi="Times New Roman"/>
      <w:b/>
      <w:sz w:val="18"/>
    </w:rPr>
  </w:style>
  <w:style w:type="character" w:customStyle="1" w:styleId="SingleTxtGChar">
    <w:name w:val="_ Single Txt_G Char"/>
    <w:link w:val="SingleTxtG"/>
    <w:uiPriority w:val="99"/>
    <w:qFormat/>
    <w:rsid w:val="00760F29"/>
  </w:style>
  <w:style w:type="character" w:customStyle="1" w:styleId="HChGChar">
    <w:name w:val="_ H _Ch_G Char"/>
    <w:link w:val="HChG"/>
    <w:rsid w:val="00760F29"/>
    <w:rPr>
      <w:b/>
      <w:sz w:val="28"/>
    </w:rPr>
  </w:style>
  <w:style w:type="table" w:styleId="TableGrid">
    <w:name w:val="Table Grid"/>
    <w:basedOn w:val="TableNormal"/>
    <w:rsid w:val="00760F29"/>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760F29"/>
    <w:rPr>
      <w:color w:val="auto"/>
      <w:u w:val="none"/>
    </w:rPr>
  </w:style>
  <w:style w:type="paragraph" w:styleId="BalloonText">
    <w:name w:val="Balloon Text"/>
    <w:basedOn w:val="Normal"/>
    <w:link w:val="BalloonTextChar"/>
    <w:rsid w:val="00760F2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60F29"/>
    <w:rPr>
      <w:rFonts w:ascii="Tahoma" w:eastAsia="Times New Roman" w:hAnsi="Tahoma" w:cs="Tahoma"/>
      <w:sz w:val="16"/>
      <w:szCs w:val="16"/>
      <w:lang w:eastAsia="en-US"/>
    </w:rPr>
  </w:style>
  <w:style w:type="character" w:customStyle="1" w:styleId="H1GChar">
    <w:name w:val="_ H_1_G Char"/>
    <w:link w:val="H1G"/>
    <w:rsid w:val="00E97BCE"/>
    <w:rPr>
      <w:rFonts w:eastAsia="Times New Roman"/>
      <w:b/>
      <w:sz w:val="24"/>
      <w:lang w:eastAsia="en-US"/>
    </w:rPr>
  </w:style>
  <w:style w:type="paragraph" w:customStyle="1" w:styleId="Default">
    <w:name w:val="Default"/>
    <w:uiPriority w:val="99"/>
    <w:rsid w:val="00891B72"/>
    <w:pPr>
      <w:autoSpaceDE w:val="0"/>
      <w:autoSpaceDN w:val="0"/>
      <w:adjustRightInd w:val="0"/>
    </w:pPr>
    <w:rPr>
      <w:rFonts w:eastAsia="Times New Roman"/>
      <w:color w:val="000000"/>
      <w:sz w:val="24"/>
      <w:szCs w:val="24"/>
      <w:lang w:val="sv-SE" w:eastAsia="sv-SE"/>
    </w:rPr>
  </w:style>
  <w:style w:type="paragraph" w:customStyle="1" w:styleId="GHSHeading4">
    <w:name w:val="GHSHeading4"/>
    <w:basedOn w:val="Normal"/>
    <w:rsid w:val="00891B72"/>
    <w:pPr>
      <w:keepNext/>
      <w:keepLines/>
      <w:tabs>
        <w:tab w:val="left" w:pos="1418"/>
        <w:tab w:val="left" w:pos="1985"/>
        <w:tab w:val="left" w:pos="2552"/>
        <w:tab w:val="left" w:pos="3119"/>
        <w:tab w:val="left" w:pos="3686"/>
      </w:tabs>
      <w:suppressAutoHyphens w:val="0"/>
      <w:autoSpaceDE w:val="0"/>
      <w:autoSpaceDN w:val="0"/>
      <w:adjustRightInd w:val="0"/>
      <w:spacing w:line="240" w:lineRule="auto"/>
      <w:jc w:val="both"/>
    </w:pPr>
    <w:rPr>
      <w:b/>
      <w:bCs/>
      <w:color w:val="000000"/>
      <w:sz w:val="22"/>
      <w:szCs w:val="22"/>
      <w:lang w:eastAsia="fr-FR"/>
    </w:rPr>
  </w:style>
  <w:style w:type="paragraph" w:customStyle="1" w:styleId="GHSHeading5">
    <w:name w:val="GHSHeading5"/>
    <w:basedOn w:val="Normal"/>
    <w:rsid w:val="00891B72"/>
    <w:pPr>
      <w:keepNext/>
      <w:keepLines/>
      <w:widowControl w:val="0"/>
      <w:tabs>
        <w:tab w:val="left" w:pos="1418"/>
        <w:tab w:val="left" w:pos="1985"/>
        <w:tab w:val="left" w:pos="2552"/>
        <w:tab w:val="left" w:pos="3119"/>
        <w:tab w:val="left" w:pos="3686"/>
      </w:tabs>
      <w:suppressAutoHyphens w:val="0"/>
      <w:spacing w:line="240" w:lineRule="auto"/>
      <w:jc w:val="both"/>
    </w:pPr>
    <w:rPr>
      <w:snapToGrid w:val="0"/>
      <w:color w:val="000000"/>
      <w:sz w:val="22"/>
      <w:szCs w:val="22"/>
    </w:rPr>
  </w:style>
  <w:style w:type="paragraph" w:customStyle="1" w:styleId="Style1">
    <w:name w:val="Style1"/>
    <w:basedOn w:val="Normal"/>
    <w:rsid w:val="00891B72"/>
    <w:pPr>
      <w:suppressAutoHyphens w:val="0"/>
      <w:spacing w:line="240" w:lineRule="auto"/>
    </w:pPr>
    <w:rPr>
      <w:sz w:val="22"/>
      <w:szCs w:val="24"/>
    </w:rPr>
  </w:style>
  <w:style w:type="paragraph" w:customStyle="1" w:styleId="GHSHeading3">
    <w:name w:val="GHSHeading3"/>
    <w:basedOn w:val="Heading3"/>
    <w:rsid w:val="00891B72"/>
    <w:pPr>
      <w:keepNext/>
      <w:tabs>
        <w:tab w:val="left" w:pos="1418"/>
      </w:tabs>
      <w:suppressAutoHyphens w:val="0"/>
      <w:autoSpaceDE w:val="0"/>
      <w:autoSpaceDN w:val="0"/>
      <w:adjustRightInd w:val="0"/>
    </w:pPr>
    <w:rPr>
      <w:b/>
      <w:bCs/>
      <w:color w:val="000000"/>
      <w:sz w:val="22"/>
      <w:szCs w:val="22"/>
      <w:lang w:eastAsia="fr-FR"/>
    </w:rPr>
  </w:style>
  <w:style w:type="paragraph" w:customStyle="1" w:styleId="GHSBodyText">
    <w:name w:val="GHSBody Text"/>
    <w:basedOn w:val="BodyText"/>
    <w:link w:val="GHSBodyTextChar"/>
    <w:qFormat/>
    <w:rsid w:val="00891B72"/>
    <w:pPr>
      <w:tabs>
        <w:tab w:val="left" w:pos="1418"/>
        <w:tab w:val="left" w:pos="1985"/>
        <w:tab w:val="left" w:pos="2552"/>
        <w:tab w:val="left" w:pos="3119"/>
        <w:tab w:val="left" w:pos="3686"/>
      </w:tabs>
      <w:suppressAutoHyphens w:val="0"/>
      <w:autoSpaceDE w:val="0"/>
      <w:autoSpaceDN w:val="0"/>
      <w:adjustRightInd w:val="0"/>
      <w:spacing w:after="240" w:line="240" w:lineRule="auto"/>
      <w:jc w:val="both"/>
    </w:pPr>
    <w:rPr>
      <w:sz w:val="22"/>
    </w:rPr>
  </w:style>
  <w:style w:type="character" w:customStyle="1" w:styleId="GHSBodyTextChar">
    <w:name w:val="GHSBody Text Char"/>
    <w:link w:val="GHSBodyText"/>
    <w:rsid w:val="00891B72"/>
    <w:rPr>
      <w:rFonts w:eastAsia="Times New Roman"/>
      <w:sz w:val="22"/>
      <w:lang w:eastAsia="en-US"/>
    </w:rPr>
  </w:style>
  <w:style w:type="paragraph" w:customStyle="1" w:styleId="StyleGHSHeading410pt">
    <w:name w:val="Style GHSHeading4 + 10 pt"/>
    <w:basedOn w:val="GHSHeading4"/>
    <w:rsid w:val="00891B72"/>
    <w:pPr>
      <w:spacing w:after="240"/>
    </w:pPr>
    <w:rPr>
      <w:sz w:val="20"/>
    </w:rPr>
  </w:style>
  <w:style w:type="paragraph" w:customStyle="1" w:styleId="StyleGHSHeading410ptAuto">
    <w:name w:val="Style GHSHeading4 + 10 pt Auto"/>
    <w:basedOn w:val="GHSHeading4"/>
    <w:rsid w:val="00891B72"/>
    <w:pPr>
      <w:spacing w:after="240"/>
    </w:pPr>
    <w:rPr>
      <w:color w:val="auto"/>
      <w:sz w:val="20"/>
    </w:rPr>
  </w:style>
  <w:style w:type="paragraph" w:customStyle="1" w:styleId="GHSSubparas1">
    <w:name w:val="GHS Subparas1"/>
    <w:basedOn w:val="Normal"/>
    <w:qFormat/>
    <w:rsid w:val="00891B72"/>
    <w:pPr>
      <w:suppressAutoHyphens w:val="0"/>
      <w:spacing w:after="240" w:line="240" w:lineRule="auto"/>
      <w:ind w:left="1973" w:hanging="561"/>
      <w:jc w:val="both"/>
    </w:pPr>
    <w:rPr>
      <w:bCs/>
      <w:color w:val="000000"/>
      <w:szCs w:val="24"/>
    </w:rPr>
  </w:style>
  <w:style w:type="paragraph" w:customStyle="1" w:styleId="GHS1stline">
    <w:name w:val="GHS_1st line"/>
    <w:basedOn w:val="GHSBodyText"/>
    <w:qFormat/>
    <w:rsid w:val="00891B72"/>
    <w:pPr>
      <w:ind w:firstLine="1418"/>
    </w:pPr>
    <w:rPr>
      <w:sz w:val="20"/>
    </w:rPr>
  </w:style>
  <w:style w:type="character" w:styleId="Strong">
    <w:name w:val="Strong"/>
    <w:qFormat/>
    <w:rsid w:val="00891B72"/>
    <w:rPr>
      <w:b/>
      <w:bCs/>
    </w:rPr>
  </w:style>
  <w:style w:type="paragraph" w:customStyle="1" w:styleId="GHSSub2">
    <w:name w:val="GHS Sub2"/>
    <w:basedOn w:val="Normal"/>
    <w:qFormat/>
    <w:rsid w:val="00891B72"/>
    <w:pPr>
      <w:suppressAutoHyphens w:val="0"/>
      <w:spacing w:after="240" w:line="240" w:lineRule="auto"/>
      <w:ind w:left="2552" w:hanging="567"/>
      <w:jc w:val="both"/>
    </w:pPr>
    <w:rPr>
      <w:szCs w:val="22"/>
    </w:rPr>
  </w:style>
  <w:style w:type="paragraph" w:customStyle="1" w:styleId="GHStext">
    <w:name w:val="GHS_text"/>
    <w:basedOn w:val="Normal"/>
    <w:link w:val="GHStextChar"/>
    <w:qFormat/>
    <w:rsid w:val="00891B72"/>
    <w:pPr>
      <w:suppressAutoHyphens w:val="0"/>
      <w:spacing w:after="240" w:line="240" w:lineRule="auto"/>
      <w:jc w:val="both"/>
    </w:pPr>
    <w:rPr>
      <w:rFonts w:eastAsia="SimSun"/>
      <w:snapToGrid w:val="0"/>
      <w:color w:val="000000"/>
      <w:szCs w:val="22"/>
      <w:lang w:val="es-ES"/>
    </w:rPr>
  </w:style>
  <w:style w:type="character" w:customStyle="1" w:styleId="GHStextChar">
    <w:name w:val="GHS_text Char"/>
    <w:link w:val="GHStext"/>
    <w:rsid w:val="00891B72"/>
    <w:rPr>
      <w:rFonts w:eastAsia="SimSun"/>
      <w:snapToGrid w:val="0"/>
      <w:color w:val="000000"/>
      <w:szCs w:val="22"/>
      <w:lang w:val="es-ES" w:eastAsia="en-US"/>
    </w:rPr>
  </w:style>
  <w:style w:type="paragraph" w:styleId="NormalWeb">
    <w:name w:val="Normal (Web)"/>
    <w:basedOn w:val="Normal"/>
    <w:uiPriority w:val="99"/>
    <w:semiHidden/>
    <w:unhideWhenUsed/>
    <w:rsid w:val="00891B72"/>
    <w:pPr>
      <w:suppressAutoHyphens w:val="0"/>
      <w:spacing w:before="100" w:beforeAutospacing="1" w:after="100" w:afterAutospacing="1" w:line="240" w:lineRule="auto"/>
    </w:pPr>
    <w:rPr>
      <w:sz w:val="24"/>
      <w:szCs w:val="24"/>
      <w:lang w:val="it-IT" w:eastAsia="it-IT"/>
    </w:rPr>
  </w:style>
  <w:style w:type="paragraph" w:customStyle="1" w:styleId="GHSHeading2">
    <w:name w:val="GHSHeading2"/>
    <w:basedOn w:val="Normal"/>
    <w:rsid w:val="00891B72"/>
    <w:pPr>
      <w:suppressAutoHyphens w:val="0"/>
      <w:autoSpaceDE w:val="0"/>
      <w:autoSpaceDN w:val="0"/>
      <w:adjustRightInd w:val="0"/>
      <w:spacing w:after="240" w:line="240" w:lineRule="auto"/>
      <w:jc w:val="center"/>
    </w:pPr>
    <w:rPr>
      <w:b/>
      <w:bCs/>
      <w:color w:val="000000"/>
      <w:szCs w:val="28"/>
      <w:lang w:eastAsia="fr-FR"/>
    </w:rPr>
  </w:style>
  <w:style w:type="paragraph" w:styleId="NormalIndent">
    <w:name w:val="Normal Indent"/>
    <w:basedOn w:val="Normal"/>
    <w:uiPriority w:val="99"/>
    <w:rsid w:val="00891B72"/>
    <w:pPr>
      <w:suppressAutoHyphens w:val="0"/>
      <w:spacing w:line="240" w:lineRule="auto"/>
      <w:ind w:left="720"/>
    </w:pPr>
    <w:rPr>
      <w:sz w:val="22"/>
      <w:szCs w:val="24"/>
    </w:rPr>
  </w:style>
  <w:style w:type="character" w:customStyle="1" w:styleId="normaltextrun">
    <w:name w:val="normaltextrun"/>
    <w:basedOn w:val="DefaultParagraphFont"/>
    <w:rsid w:val="00891B72"/>
  </w:style>
  <w:style w:type="character" w:customStyle="1" w:styleId="spellingerror">
    <w:name w:val="spellingerror"/>
    <w:basedOn w:val="DefaultParagraphFont"/>
    <w:rsid w:val="00891B72"/>
  </w:style>
  <w:style w:type="paragraph" w:styleId="BodyText">
    <w:name w:val="Body Text"/>
    <w:basedOn w:val="Normal"/>
    <w:link w:val="BodyTextChar"/>
    <w:uiPriority w:val="99"/>
    <w:semiHidden/>
    <w:unhideWhenUsed/>
    <w:rsid w:val="00891B72"/>
    <w:pPr>
      <w:spacing w:after="120"/>
    </w:pPr>
  </w:style>
  <w:style w:type="character" w:customStyle="1" w:styleId="BodyTextChar">
    <w:name w:val="Body Text Char"/>
    <w:basedOn w:val="DefaultParagraphFont"/>
    <w:link w:val="BodyText"/>
    <w:uiPriority w:val="99"/>
    <w:semiHidden/>
    <w:rsid w:val="00891B72"/>
    <w:rPr>
      <w:rFonts w:eastAsia="Times New Roman"/>
      <w:lang w:eastAsia="en-US"/>
    </w:rPr>
  </w:style>
  <w:style w:type="paragraph" w:styleId="ListParagraph">
    <w:name w:val="List Paragraph"/>
    <w:basedOn w:val="Normal"/>
    <w:link w:val="ListParagraphChar"/>
    <w:uiPriority w:val="34"/>
    <w:qFormat/>
    <w:rsid w:val="00396C56"/>
    <w:pPr>
      <w:suppressAutoHyphens w:val="0"/>
      <w:spacing w:line="240" w:lineRule="auto"/>
      <w:ind w:left="720"/>
      <w:jc w:val="both"/>
    </w:pPr>
    <w:rPr>
      <w:sz w:val="24"/>
      <w:szCs w:val="24"/>
      <w:lang w:val="en-US"/>
    </w:rPr>
  </w:style>
  <w:style w:type="character" w:customStyle="1" w:styleId="ListParagraphChar">
    <w:name w:val="List Paragraph Char"/>
    <w:basedOn w:val="DefaultParagraphFont"/>
    <w:link w:val="ListParagraph"/>
    <w:uiPriority w:val="34"/>
    <w:locked/>
    <w:rsid w:val="00396C56"/>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2.xml"/><Relationship Id="rId29" Type="http://schemas.openxmlformats.org/officeDocument/2006/relationships/hyperlink" Target="https://doi.org/10.1787/978926422144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4.xml"/><Relationship Id="rId28" Type="http://schemas.openxmlformats.org/officeDocument/2006/relationships/hyperlink" Target="http://www.oecd.org/chemicalsafety/risk-assessment/iata-integrated-approaches-to-testing-and-assessment.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pubmed.ncbi.nlm.nih.gov/279651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3.xml"/><Relationship Id="rId27" Type="http://schemas.openxmlformats.org/officeDocument/2006/relationships/hyperlink" Target="https://pubmed.ncbi.nlm.nih.gov/25724174/" TargetMode="External"/><Relationship Id="rId30" Type="http://schemas.openxmlformats.org/officeDocument/2006/relationships/hyperlink" Target="http://www.oecd.org/chemicalsafety/risk-assessment/iata-integrated-approaches-to-testing-and-assessment.htm" TargetMode="External"/><Relationship Id="rId35"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BB150-6975-4088-9F31-83C3C5F7E88A}">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EB386F50-0583-403A-B539-FB4A34E27874}">
  <ds:schemaRefs>
    <ds:schemaRef ds:uri="http://schemas.openxmlformats.org/officeDocument/2006/bibliography"/>
  </ds:schemaRefs>
</ds:datastoreItem>
</file>

<file path=customXml/itemProps3.xml><?xml version="1.0" encoding="utf-8"?>
<ds:datastoreItem xmlns:ds="http://schemas.openxmlformats.org/officeDocument/2006/customXml" ds:itemID="{35834247-6F58-4884-B2FF-26F6269CB1D7}">
  <ds:schemaRefs>
    <ds:schemaRef ds:uri="http://schemas.microsoft.com/sharepoint/v3/contenttype/forms"/>
  </ds:schemaRefs>
</ds:datastoreItem>
</file>

<file path=customXml/itemProps4.xml><?xml version="1.0" encoding="utf-8"?>
<ds:datastoreItem xmlns:ds="http://schemas.openxmlformats.org/officeDocument/2006/customXml" ds:itemID="{B814967D-801F-4849-BAFC-2C529185C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21</Pages>
  <Words>8378</Words>
  <Characters>47758</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ECE-ISU</Company>
  <LinksUpToDate>false</LinksUpToDate>
  <CharactersWithSpaces>56024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Garcia-Couto</dc:creator>
  <cp:lastModifiedBy>Rosa Garcia Couto</cp:lastModifiedBy>
  <cp:revision>54</cp:revision>
  <dcterms:created xsi:type="dcterms:W3CDTF">2022-09-12T11:38:00Z</dcterms:created>
  <dcterms:modified xsi:type="dcterms:W3CDTF">2022-09-15T13:46:00Z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7926000</vt:r8>
  </property>
  <property fmtid="{D5CDD505-2E9C-101B-9397-08002B2CF9AE}" pid="4" name="Office of Origin">
    <vt:lpwstr/>
  </property>
  <property fmtid="{D5CDD505-2E9C-101B-9397-08002B2CF9AE}" pid="5" name="MediaServiceImageTags">
    <vt:lpwstr/>
  </property>
  <property fmtid="{D5CDD505-2E9C-101B-9397-08002B2CF9AE}" pid="6" name="Office_x0020_of_x0020_Origin">
    <vt:lpwstr/>
  </property>
  <property fmtid="{D5CDD505-2E9C-101B-9397-08002B2CF9AE}" pid="7" name="gba66df640194346a5267c50f24d4797">
    <vt:lpwstr/>
  </property>
</Properties>
</file>