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4563B91" w14:textId="77777777" w:rsidTr="006476E1">
        <w:trPr>
          <w:trHeight w:val="851"/>
        </w:trPr>
        <w:tc>
          <w:tcPr>
            <w:tcW w:w="1259" w:type="dxa"/>
            <w:tcBorders>
              <w:top w:val="nil"/>
              <w:left w:val="nil"/>
              <w:bottom w:val="single" w:sz="4" w:space="0" w:color="auto"/>
              <w:right w:val="nil"/>
            </w:tcBorders>
          </w:tcPr>
          <w:p w14:paraId="1115F59C" w14:textId="77777777" w:rsidR="00E52109" w:rsidRPr="002A32CB" w:rsidRDefault="00E52109" w:rsidP="004858F5"/>
        </w:tc>
        <w:tc>
          <w:tcPr>
            <w:tcW w:w="2236" w:type="dxa"/>
            <w:tcBorders>
              <w:top w:val="nil"/>
              <w:left w:val="nil"/>
              <w:bottom w:val="single" w:sz="4" w:space="0" w:color="auto"/>
              <w:right w:val="nil"/>
            </w:tcBorders>
            <w:vAlign w:val="bottom"/>
          </w:tcPr>
          <w:p w14:paraId="127C0A49"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BA3573B" w14:textId="0B9E248E" w:rsidR="00E52109" w:rsidRDefault="009D081F" w:rsidP="009D081F">
            <w:pPr>
              <w:suppressAutoHyphens w:val="0"/>
              <w:jc w:val="right"/>
            </w:pPr>
            <w:r w:rsidRPr="009D081F">
              <w:rPr>
                <w:sz w:val="40"/>
              </w:rPr>
              <w:t>ST</w:t>
            </w:r>
            <w:r>
              <w:t>/SG/AC.10/C.3/2022/77</w:t>
            </w:r>
          </w:p>
        </w:tc>
      </w:tr>
      <w:tr w:rsidR="00E52109" w14:paraId="5922E24D" w14:textId="77777777" w:rsidTr="006476E1">
        <w:trPr>
          <w:trHeight w:val="2835"/>
        </w:trPr>
        <w:tc>
          <w:tcPr>
            <w:tcW w:w="1259" w:type="dxa"/>
            <w:tcBorders>
              <w:top w:val="single" w:sz="4" w:space="0" w:color="auto"/>
              <w:left w:val="nil"/>
              <w:bottom w:val="single" w:sz="12" w:space="0" w:color="auto"/>
              <w:right w:val="nil"/>
            </w:tcBorders>
          </w:tcPr>
          <w:p w14:paraId="7B37E7F0" w14:textId="77777777" w:rsidR="00E52109" w:rsidRDefault="00E52109" w:rsidP="006476E1">
            <w:pPr>
              <w:spacing w:before="120"/>
              <w:jc w:val="center"/>
            </w:pPr>
            <w:r>
              <w:rPr>
                <w:noProof/>
                <w:lang w:val="fr-CH" w:eastAsia="fr-CH"/>
              </w:rPr>
              <w:drawing>
                <wp:inline distT="0" distB="0" distL="0" distR="0" wp14:anchorId="6E1C990A" wp14:editId="5A28160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AC9E03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0889F3F" w14:textId="77777777" w:rsidR="00D94B05" w:rsidRDefault="009D081F" w:rsidP="009D081F">
            <w:pPr>
              <w:suppressAutoHyphens w:val="0"/>
              <w:spacing w:before="240" w:line="240" w:lineRule="exact"/>
            </w:pPr>
            <w:r>
              <w:t>Distr.: General</w:t>
            </w:r>
          </w:p>
          <w:p w14:paraId="10409359" w14:textId="21427BCE" w:rsidR="009D081F" w:rsidRDefault="009D081F" w:rsidP="009D081F">
            <w:pPr>
              <w:suppressAutoHyphens w:val="0"/>
              <w:spacing w:line="240" w:lineRule="exact"/>
            </w:pPr>
            <w:r>
              <w:t>1</w:t>
            </w:r>
            <w:r w:rsidR="00A15CC8">
              <w:t>6</w:t>
            </w:r>
            <w:r>
              <w:t xml:space="preserve"> September 2022</w:t>
            </w:r>
          </w:p>
          <w:p w14:paraId="6BF27539" w14:textId="77777777" w:rsidR="009D081F" w:rsidRDefault="009D081F" w:rsidP="009D081F">
            <w:pPr>
              <w:suppressAutoHyphens w:val="0"/>
              <w:spacing w:line="240" w:lineRule="exact"/>
            </w:pPr>
          </w:p>
          <w:p w14:paraId="1DAB8BE7" w14:textId="4F880889" w:rsidR="009D081F" w:rsidRDefault="009D081F" w:rsidP="009D081F">
            <w:pPr>
              <w:suppressAutoHyphens w:val="0"/>
              <w:spacing w:line="240" w:lineRule="exact"/>
            </w:pPr>
            <w:r>
              <w:t>Original: English</w:t>
            </w:r>
          </w:p>
        </w:tc>
      </w:tr>
    </w:tbl>
    <w:p w14:paraId="6D7D59F3" w14:textId="77777777" w:rsidR="009D081F" w:rsidRPr="006500BA" w:rsidRDefault="009D081F" w:rsidP="009D081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CF0BEE0" w14:textId="77777777" w:rsidR="009D081F" w:rsidRPr="006500BA" w:rsidRDefault="009D081F" w:rsidP="009D081F">
      <w:pPr>
        <w:spacing w:before="120"/>
        <w:rPr>
          <w:rFonts w:ascii="Helv" w:hAnsi="Helv" w:cs="Helv"/>
          <w:b/>
          <w:color w:val="000000"/>
        </w:rPr>
      </w:pPr>
      <w:r w:rsidRPr="006500BA">
        <w:rPr>
          <w:b/>
        </w:rPr>
        <w:t xml:space="preserve">Sub-Committee of Experts on the </w:t>
      </w:r>
      <w:r>
        <w:rPr>
          <w:b/>
        </w:rPr>
        <w:t>Transport of Dangerous Goods</w:t>
      </w:r>
    </w:p>
    <w:p w14:paraId="3AD7A477" w14:textId="77777777" w:rsidR="009D081F" w:rsidRPr="006500BA" w:rsidRDefault="009D081F" w:rsidP="009D081F">
      <w:pPr>
        <w:spacing w:before="120"/>
        <w:rPr>
          <w:b/>
        </w:rPr>
      </w:pPr>
      <w:r>
        <w:rPr>
          <w:b/>
        </w:rPr>
        <w:t xml:space="preserve">Sixty-first </w:t>
      </w:r>
      <w:r w:rsidRPr="006500BA">
        <w:rPr>
          <w:b/>
        </w:rPr>
        <w:t>session</w:t>
      </w:r>
    </w:p>
    <w:p w14:paraId="7DCD4444" w14:textId="77777777" w:rsidR="009D081F" w:rsidRPr="006500BA" w:rsidRDefault="009D081F" w:rsidP="009D081F">
      <w:r w:rsidRPr="006500BA">
        <w:t xml:space="preserve">Geneva, </w:t>
      </w:r>
      <w:r>
        <w:t>28 November-6 December 2022</w:t>
      </w:r>
    </w:p>
    <w:p w14:paraId="46C0D924" w14:textId="77777777" w:rsidR="009D081F" w:rsidRPr="006500BA" w:rsidRDefault="009D081F" w:rsidP="009D081F">
      <w:r w:rsidRPr="006500BA">
        <w:t xml:space="preserve">Item </w:t>
      </w:r>
      <w:r>
        <w:t>3</w:t>
      </w:r>
      <w:r w:rsidRPr="006500BA">
        <w:t xml:space="preserve"> of the provisional agenda</w:t>
      </w:r>
    </w:p>
    <w:p w14:paraId="6F571E68" w14:textId="77777777" w:rsidR="009D081F" w:rsidRDefault="009D081F" w:rsidP="009D081F">
      <w:pPr>
        <w:ind w:right="4536"/>
        <w:rPr>
          <w:b/>
          <w:bCs/>
        </w:rPr>
      </w:pPr>
      <w:r w:rsidRPr="000E439B">
        <w:rPr>
          <w:b/>
          <w:bCs/>
        </w:rPr>
        <w:t xml:space="preserve">Listing, </w:t>
      </w:r>
      <w:proofErr w:type="gramStart"/>
      <w:r w:rsidRPr="000E439B">
        <w:rPr>
          <w:b/>
          <w:bCs/>
        </w:rPr>
        <w:t>classification</w:t>
      </w:r>
      <w:proofErr w:type="gramEnd"/>
      <w:r w:rsidRPr="000E439B">
        <w:rPr>
          <w:b/>
          <w:bCs/>
        </w:rPr>
        <w:t xml:space="preserve"> and packing</w:t>
      </w:r>
    </w:p>
    <w:p w14:paraId="7C365DEF" w14:textId="31853253" w:rsidR="009D081F" w:rsidRDefault="009D081F" w:rsidP="009D081F">
      <w:pPr>
        <w:pStyle w:val="HChG"/>
      </w:pPr>
      <w:r>
        <w:tab/>
      </w:r>
      <w:r>
        <w:tab/>
      </w:r>
      <w:r w:rsidR="00857F2A">
        <w:t xml:space="preserve">Portable tank instructions </w:t>
      </w:r>
      <w:r w:rsidR="004E5C3F">
        <w:t xml:space="preserve">and portable tank special provisions </w:t>
      </w:r>
      <w:r w:rsidR="00857F2A">
        <w:t>(f</w:t>
      </w:r>
      <w:r>
        <w:t xml:space="preserve">ollow-up to </w:t>
      </w:r>
      <w:r w:rsidRPr="009D081F">
        <w:t>ST/SG/AC.10/C.3/2022/</w:t>
      </w:r>
      <w:r>
        <w:t>39</w:t>
      </w:r>
      <w:r w:rsidR="00857F2A">
        <w:t>)</w:t>
      </w:r>
    </w:p>
    <w:p w14:paraId="4CBE983A" w14:textId="77777777" w:rsidR="009D081F" w:rsidRDefault="009D081F" w:rsidP="009D081F">
      <w:pPr>
        <w:pStyle w:val="H1G"/>
      </w:pPr>
      <w:r>
        <w:tab/>
      </w:r>
      <w:r>
        <w:tab/>
        <w:t>Note by the secretariat</w:t>
      </w:r>
      <w:r w:rsidRPr="00653AAE">
        <w:rPr>
          <w:rStyle w:val="FootnoteReference"/>
          <w:sz w:val="20"/>
          <w:vertAlign w:val="baseline"/>
        </w:rPr>
        <w:footnoteReference w:customMarkFollows="1" w:id="2"/>
        <w:t>*</w:t>
      </w:r>
    </w:p>
    <w:p w14:paraId="46E2D365" w14:textId="77777777" w:rsidR="009D081F" w:rsidRDefault="009D081F" w:rsidP="009D081F">
      <w:pPr>
        <w:pStyle w:val="HChG"/>
      </w:pPr>
      <w:r>
        <w:tab/>
        <w:t>I.</w:t>
      </w:r>
      <w:r>
        <w:tab/>
        <w:t>Introduction</w:t>
      </w:r>
    </w:p>
    <w:p w14:paraId="06D499DE" w14:textId="09C14077" w:rsidR="009D081F" w:rsidRDefault="009D081F" w:rsidP="00E942D7">
      <w:pPr>
        <w:pStyle w:val="SingleTxtG"/>
      </w:pPr>
      <w:r>
        <w:t>1.</w:t>
      </w:r>
      <w:r>
        <w:tab/>
        <w:t xml:space="preserve">During </w:t>
      </w:r>
      <w:r w:rsidR="00533620">
        <w:t>its</w:t>
      </w:r>
      <w:r>
        <w:t xml:space="preserve"> sixtieth session</w:t>
      </w:r>
      <w:r w:rsidR="00533620">
        <w:t>,</w:t>
      </w:r>
      <w:r>
        <w:t xml:space="preserve"> the Sub-Committee of Experts </w:t>
      </w:r>
      <w:r w:rsidRPr="0041168D">
        <w:t>on the Transport of Dangerous Goods</w:t>
      </w:r>
      <w:r w:rsidR="00F506F5">
        <w:t xml:space="preserve"> examined document </w:t>
      </w:r>
      <w:r w:rsidR="00F506F5" w:rsidRPr="00F506F5">
        <w:t>ST/SG/AC.10/C.3/2022/39</w:t>
      </w:r>
      <w:r w:rsidR="000A4E4D">
        <w:t xml:space="preserve"> and the secretariat was asked</w:t>
      </w:r>
      <w:r w:rsidR="00E1294F">
        <w:t xml:space="preserve"> to prepare a document for the following session</w:t>
      </w:r>
      <w:r w:rsidR="00711BF2">
        <w:t xml:space="preserve"> with proposals to solve the issues discussed in sections </w:t>
      </w:r>
      <w:r w:rsidR="00BD44EB">
        <w:t>IV, V and VI</w:t>
      </w:r>
      <w:r w:rsidR="00E942D7">
        <w:t xml:space="preserve"> </w:t>
      </w:r>
      <w:r>
        <w:t>(</w:t>
      </w:r>
      <w:r w:rsidR="00E942D7">
        <w:t xml:space="preserve">see </w:t>
      </w:r>
      <w:r w:rsidRPr="001D04DF">
        <w:t>ST/SG/AC.10/C.3/120</w:t>
      </w:r>
      <w:r>
        <w:t>, para</w:t>
      </w:r>
      <w:r w:rsidR="000E720C">
        <w:t>s</w:t>
      </w:r>
      <w:r>
        <w:t xml:space="preserve">. </w:t>
      </w:r>
      <w:r w:rsidR="00DD67BA">
        <w:t>94 and 95</w:t>
      </w:r>
      <w:r>
        <w:t>).</w:t>
      </w:r>
    </w:p>
    <w:p w14:paraId="20E93A06" w14:textId="4C9A9F58" w:rsidR="00DF4EC6" w:rsidRDefault="00DF4EC6" w:rsidP="00DF4EC6">
      <w:pPr>
        <w:pStyle w:val="HChG"/>
      </w:pPr>
      <w:r>
        <w:tab/>
        <w:t>II.</w:t>
      </w:r>
      <w:r>
        <w:tab/>
        <w:t>Assignment of TP1 to UN 0331</w:t>
      </w:r>
    </w:p>
    <w:p w14:paraId="732AFB4B" w14:textId="49172FE8" w:rsidR="007A2E7E" w:rsidRPr="00793752" w:rsidRDefault="007A2E7E" w:rsidP="00812A32">
      <w:pPr>
        <w:pStyle w:val="SingleTxtG"/>
        <w:rPr>
          <w:i/>
          <w:iCs/>
        </w:rPr>
      </w:pPr>
      <w:r w:rsidRPr="00793752">
        <w:rPr>
          <w:i/>
          <w:iCs/>
        </w:rPr>
        <w:t xml:space="preserve">Note: see </w:t>
      </w:r>
      <w:r w:rsidR="00CA0B11">
        <w:rPr>
          <w:i/>
          <w:iCs/>
        </w:rPr>
        <w:t>background information</w:t>
      </w:r>
      <w:r w:rsidRPr="00793752">
        <w:rPr>
          <w:i/>
          <w:iCs/>
        </w:rPr>
        <w:t xml:space="preserve"> on </w:t>
      </w:r>
      <w:r w:rsidR="00793752" w:rsidRPr="00793752">
        <w:rPr>
          <w:i/>
          <w:iCs/>
        </w:rPr>
        <w:t>ST/SG/AC.10/C.3/2022/39, section IV.</w:t>
      </w:r>
    </w:p>
    <w:p w14:paraId="02613E68" w14:textId="139CE34B" w:rsidR="00812A32" w:rsidRDefault="00812A32" w:rsidP="00812A32">
      <w:pPr>
        <w:pStyle w:val="SingleTxtG"/>
      </w:pPr>
      <w:r>
        <w:t>2.</w:t>
      </w:r>
      <w:r>
        <w:tab/>
        <w:t>According</w:t>
      </w:r>
      <w:r w:rsidR="003054CC">
        <w:t xml:space="preserve"> to the </w:t>
      </w:r>
      <w:r w:rsidR="008D1FA7" w:rsidRPr="008D1FA7">
        <w:t>Working Group on Explosives</w:t>
      </w:r>
      <w:r w:rsidR="003054CC">
        <w:t xml:space="preserve"> (</w:t>
      </w:r>
      <w:r w:rsidR="003054CC" w:rsidRPr="003054CC">
        <w:t>UN/SCETDG/60/INF.44</w:t>
      </w:r>
      <w:r w:rsidR="00880C74">
        <w:t>, para. 16</w:t>
      </w:r>
      <w:r w:rsidR="003054CC">
        <w:t>)</w:t>
      </w:r>
      <w:r w:rsidR="007A2E7E">
        <w:t>,</w:t>
      </w:r>
      <w:r w:rsidR="007A2E7E" w:rsidRPr="007A2E7E">
        <w:t xml:space="preserve"> UN 0331 (EXPLOSIVE, BLASTING, TYPE B) </w:t>
      </w:r>
      <w:r w:rsidR="007A2E7E">
        <w:t xml:space="preserve">is only </w:t>
      </w:r>
      <w:r w:rsidR="007A2E7E" w:rsidRPr="007A2E7E">
        <w:t xml:space="preserve">used for </w:t>
      </w:r>
      <w:r w:rsidR="005D06D1">
        <w:t>ammonium nitrate fuel oil (</w:t>
      </w:r>
      <w:r w:rsidR="007A2E7E" w:rsidRPr="007A2E7E">
        <w:t>ANFO</w:t>
      </w:r>
      <w:r w:rsidR="005D06D1">
        <w:t>)</w:t>
      </w:r>
      <w:r w:rsidR="007A2E7E" w:rsidRPr="007A2E7E">
        <w:t xml:space="preserve"> and therefore there is no need for the degree of filling requirement stipulated by TP1. The work group </w:t>
      </w:r>
      <w:r w:rsidR="008D1FA7">
        <w:t>did</w:t>
      </w:r>
      <w:r w:rsidR="007A2E7E" w:rsidRPr="007A2E7E">
        <w:t xml:space="preserve"> not believe there </w:t>
      </w:r>
      <w:r w:rsidR="008D1FA7">
        <w:t>wa</w:t>
      </w:r>
      <w:r w:rsidR="007A2E7E" w:rsidRPr="007A2E7E">
        <w:t>s the need for the assignment of TP1 to UN</w:t>
      </w:r>
      <w:r w:rsidR="005E3E2B">
        <w:t> </w:t>
      </w:r>
      <w:r w:rsidR="007A2E7E" w:rsidRPr="007A2E7E">
        <w:t>0331</w:t>
      </w:r>
      <w:r w:rsidR="008D1FA7">
        <w:t>.</w:t>
      </w:r>
    </w:p>
    <w:p w14:paraId="2067AFE6" w14:textId="641BDEF3" w:rsidR="008D1FA7" w:rsidRDefault="008D1FA7" w:rsidP="008D1FA7">
      <w:pPr>
        <w:pStyle w:val="H1G"/>
      </w:pPr>
      <w:r>
        <w:tab/>
      </w:r>
      <w:r>
        <w:tab/>
        <w:t>Proposal 1</w:t>
      </w:r>
    </w:p>
    <w:p w14:paraId="1DE42F65" w14:textId="40297F73" w:rsidR="008D1FA7" w:rsidRDefault="000224D2" w:rsidP="000224D2">
      <w:pPr>
        <w:pStyle w:val="H23G"/>
      </w:pPr>
      <w:r>
        <w:tab/>
      </w:r>
      <w:r>
        <w:tab/>
        <w:t>Chapter 3.2, dangerous goods list</w:t>
      </w:r>
    </w:p>
    <w:p w14:paraId="2F0C6825" w14:textId="27FB9444" w:rsidR="000224D2" w:rsidRDefault="000224D2" w:rsidP="000224D2">
      <w:pPr>
        <w:pStyle w:val="SingleTxtG"/>
        <w:rPr>
          <w:lang w:val="en-US"/>
        </w:rPr>
      </w:pPr>
      <w:r>
        <w:t xml:space="preserve">For UN 0331, </w:t>
      </w:r>
      <w:r w:rsidR="007406D7">
        <w:rPr>
          <w:lang w:val="en-US"/>
        </w:rPr>
        <w:t>in column (11), delete</w:t>
      </w:r>
      <w:r w:rsidR="006C780C">
        <w:rPr>
          <w:lang w:val="en-US"/>
        </w:rPr>
        <w:t xml:space="preserve"> “TP1”.</w:t>
      </w:r>
    </w:p>
    <w:p w14:paraId="5217165D" w14:textId="078648D8" w:rsidR="00234AF9" w:rsidRDefault="00234AF9" w:rsidP="00234AF9">
      <w:pPr>
        <w:pStyle w:val="HChG"/>
      </w:pPr>
      <w:r>
        <w:tab/>
        <w:t>III.</w:t>
      </w:r>
      <w:r>
        <w:tab/>
        <w:t>Assignment of TP31 to UN Nos. 14</w:t>
      </w:r>
      <w:r w:rsidR="007D1F26">
        <w:t>2</w:t>
      </w:r>
      <w:r>
        <w:t>2 and 1381</w:t>
      </w:r>
    </w:p>
    <w:p w14:paraId="1F601979" w14:textId="605707DE" w:rsidR="00234AF9" w:rsidRPr="00793752" w:rsidRDefault="00234AF9" w:rsidP="00234AF9">
      <w:pPr>
        <w:pStyle w:val="SingleTxtG"/>
        <w:rPr>
          <w:i/>
          <w:iCs/>
        </w:rPr>
      </w:pPr>
      <w:r w:rsidRPr="00793752">
        <w:rPr>
          <w:i/>
          <w:iCs/>
        </w:rPr>
        <w:t xml:space="preserve">Note: see </w:t>
      </w:r>
      <w:r w:rsidR="00CA0B11">
        <w:rPr>
          <w:i/>
          <w:iCs/>
        </w:rPr>
        <w:t xml:space="preserve">background information </w:t>
      </w:r>
      <w:r w:rsidRPr="00793752">
        <w:rPr>
          <w:i/>
          <w:iCs/>
        </w:rPr>
        <w:t>on ST/SG/AC.10/C.3/2022/39, section V.</w:t>
      </w:r>
    </w:p>
    <w:p w14:paraId="4A2D0F4D" w14:textId="04AC9849" w:rsidR="00AF5DE1" w:rsidRDefault="00CA0B11" w:rsidP="005C5A6D">
      <w:pPr>
        <w:pStyle w:val="SingleTxtG"/>
      </w:pPr>
      <w:r>
        <w:lastRenderedPageBreak/>
        <w:t>3.</w:t>
      </w:r>
      <w:r>
        <w:tab/>
        <w:t>After the initial di</w:t>
      </w:r>
      <w:r w:rsidR="00726445">
        <w:t>scussion</w:t>
      </w:r>
      <w:r w:rsidR="0056793B">
        <w:t xml:space="preserve"> during the sixtieth session of the Sub-Committee, it was agreed that the assignment</w:t>
      </w:r>
      <w:r w:rsidR="00E35527">
        <w:t xml:space="preserve"> of TP31 to</w:t>
      </w:r>
      <w:r w:rsidR="00802A83">
        <w:t xml:space="preserve"> </w:t>
      </w:r>
      <w:r w:rsidR="00802A83" w:rsidRPr="00802A83">
        <w:t>UN Nos. 14</w:t>
      </w:r>
      <w:r w:rsidR="007D1F26">
        <w:t>2</w:t>
      </w:r>
      <w:r w:rsidR="00802A83" w:rsidRPr="00802A83">
        <w:t xml:space="preserve">2 </w:t>
      </w:r>
      <w:r w:rsidR="00DA2F26">
        <w:t>(</w:t>
      </w:r>
      <w:r w:rsidR="00DA2F26" w:rsidRPr="00DA2F26">
        <w:t>POTASSIUM SODIUM ALLOYS,</w:t>
      </w:r>
      <w:r w:rsidR="00482147">
        <w:t xml:space="preserve"> </w:t>
      </w:r>
      <w:r w:rsidR="00DA2F26" w:rsidRPr="00DA2F26">
        <w:t>LIQUID</w:t>
      </w:r>
      <w:r w:rsidR="00DA2F26">
        <w:t>)</w:t>
      </w:r>
      <w:r w:rsidR="00482147">
        <w:t xml:space="preserve"> </w:t>
      </w:r>
      <w:r w:rsidR="00802A83" w:rsidRPr="00802A83">
        <w:t>and 1381</w:t>
      </w:r>
      <w:r w:rsidR="00802A83">
        <w:t xml:space="preserve"> </w:t>
      </w:r>
      <w:r w:rsidR="00482147">
        <w:t>(</w:t>
      </w:r>
      <w:r w:rsidR="00482147" w:rsidRPr="00482147">
        <w:t>PHOSPHORUS, WHITE or YELLOW, DRY or UNDER WATER or IN SOLUTION</w:t>
      </w:r>
      <w:r w:rsidR="00482147">
        <w:t xml:space="preserve">) </w:t>
      </w:r>
      <w:r w:rsidR="00802A83">
        <w:t>was not correct.</w:t>
      </w:r>
    </w:p>
    <w:p w14:paraId="335BC310" w14:textId="36944BEA" w:rsidR="00D15142" w:rsidRDefault="00D15142" w:rsidP="00D15142">
      <w:pPr>
        <w:pStyle w:val="H1G"/>
      </w:pPr>
      <w:r>
        <w:tab/>
      </w:r>
      <w:r>
        <w:tab/>
        <w:t>Proposal 2</w:t>
      </w:r>
    </w:p>
    <w:p w14:paraId="6256FEE6" w14:textId="77777777" w:rsidR="00D15142" w:rsidRDefault="00D15142" w:rsidP="00D15142">
      <w:pPr>
        <w:pStyle w:val="H23G"/>
      </w:pPr>
      <w:r>
        <w:tab/>
      </w:r>
      <w:r>
        <w:tab/>
        <w:t>Chapter 3.2, dangerous goods list</w:t>
      </w:r>
    </w:p>
    <w:p w14:paraId="3E7D9F56" w14:textId="54BDE989" w:rsidR="00D15142" w:rsidRDefault="00D15142" w:rsidP="00D15142">
      <w:pPr>
        <w:pStyle w:val="SingleTxtG"/>
        <w:rPr>
          <w:lang w:val="en-US"/>
        </w:rPr>
      </w:pPr>
      <w:r>
        <w:t xml:space="preserve">For UN Nos. </w:t>
      </w:r>
      <w:r w:rsidR="00482147">
        <w:t xml:space="preserve">1381 and </w:t>
      </w:r>
      <w:r>
        <w:t>14</w:t>
      </w:r>
      <w:r w:rsidR="007D1F26">
        <w:t>2</w:t>
      </w:r>
      <w:r>
        <w:t xml:space="preserve">2, </w:t>
      </w:r>
      <w:r>
        <w:rPr>
          <w:lang w:val="en-US"/>
        </w:rPr>
        <w:t>in column (11), delete “TP31”.</w:t>
      </w:r>
    </w:p>
    <w:p w14:paraId="19E405E5" w14:textId="015B11B8" w:rsidR="00593F8D" w:rsidRDefault="00593F8D" w:rsidP="002A65AA">
      <w:pPr>
        <w:pStyle w:val="HChG"/>
      </w:pPr>
      <w:r>
        <w:tab/>
      </w:r>
      <w:r w:rsidR="002A65AA">
        <w:t>I</w:t>
      </w:r>
      <w:r>
        <w:t>V.</w:t>
      </w:r>
      <w:r>
        <w:tab/>
        <w:t>Unused portable tank instructions</w:t>
      </w:r>
    </w:p>
    <w:p w14:paraId="3DEBBFF2" w14:textId="6E51E17A" w:rsidR="00E0615F" w:rsidRPr="00793752" w:rsidRDefault="00E0615F" w:rsidP="00E0615F">
      <w:pPr>
        <w:pStyle w:val="SingleTxtG"/>
        <w:rPr>
          <w:i/>
          <w:iCs/>
        </w:rPr>
      </w:pPr>
      <w:r w:rsidRPr="00793752">
        <w:rPr>
          <w:i/>
          <w:iCs/>
        </w:rPr>
        <w:t xml:space="preserve">Note: see </w:t>
      </w:r>
      <w:r>
        <w:rPr>
          <w:i/>
          <w:iCs/>
        </w:rPr>
        <w:t xml:space="preserve">background information </w:t>
      </w:r>
      <w:r w:rsidRPr="00793752">
        <w:rPr>
          <w:i/>
          <w:iCs/>
        </w:rPr>
        <w:t>on ST/SG/AC.10/C.3/2022/39, section V</w:t>
      </w:r>
      <w:r>
        <w:rPr>
          <w:i/>
          <w:iCs/>
        </w:rPr>
        <w:t>I</w:t>
      </w:r>
      <w:r w:rsidRPr="00793752">
        <w:rPr>
          <w:i/>
          <w:iCs/>
        </w:rPr>
        <w:t>.</w:t>
      </w:r>
    </w:p>
    <w:p w14:paraId="087E0F7C" w14:textId="0999F731" w:rsidR="00E0615F" w:rsidRDefault="00E322EA" w:rsidP="00E0615F">
      <w:pPr>
        <w:pStyle w:val="SingleTxtG"/>
      </w:pPr>
      <w:r>
        <w:t>4</w:t>
      </w:r>
      <w:r w:rsidR="00E0615F">
        <w:t>.</w:t>
      </w:r>
      <w:r w:rsidR="00E0615F">
        <w:tab/>
        <w:t xml:space="preserve">After the initial discussion during the sixtieth session of the Sub-Committee, it was </w:t>
      </w:r>
      <w:r w:rsidR="00A75E1A">
        <w:t>noted</w:t>
      </w:r>
      <w:r w:rsidR="00E0615F">
        <w:t xml:space="preserve"> that it was useful to keep</w:t>
      </w:r>
      <w:r w:rsidR="001B454C">
        <w:t xml:space="preserve"> unused portable tank instructions in the Model Regulations</w:t>
      </w:r>
      <w:r w:rsidR="00E0615F">
        <w:t>.</w:t>
      </w:r>
      <w:r w:rsidR="001B454C">
        <w:t xml:space="preserve"> </w:t>
      </w:r>
      <w:r w:rsidR="005E2F06">
        <w:t>For instance, s</w:t>
      </w:r>
      <w:r w:rsidR="001B454C">
        <w:t xml:space="preserve">ome delegations noted that in their countries, </w:t>
      </w:r>
      <w:r w:rsidR="0063608C">
        <w:t>they had observed portable tanks marked with these</w:t>
      </w:r>
      <w:r w:rsidR="005E2F06">
        <w:t xml:space="preserve"> codes.</w:t>
      </w:r>
      <w:r w:rsidR="0066427A">
        <w:t xml:space="preserve"> It was therefore decided to insert an explanat</w:t>
      </w:r>
      <w:r w:rsidR="007A184C">
        <w:t>ion in the Guiding Principles</w:t>
      </w:r>
      <w:r w:rsidR="00D21136">
        <w:t>.</w:t>
      </w:r>
    </w:p>
    <w:p w14:paraId="0E6BAA81" w14:textId="2D54D893" w:rsidR="007A184C" w:rsidRDefault="007A184C" w:rsidP="007A184C">
      <w:pPr>
        <w:pStyle w:val="H1G"/>
      </w:pPr>
      <w:r>
        <w:tab/>
      </w:r>
      <w:r>
        <w:tab/>
        <w:t>Proposal 2</w:t>
      </w:r>
      <w:r w:rsidR="004213FE">
        <w:t xml:space="preserve"> (guiding principles)</w:t>
      </w:r>
    </w:p>
    <w:p w14:paraId="5378C624" w14:textId="77777777" w:rsidR="007A184C" w:rsidRDefault="007A184C" w:rsidP="007A184C">
      <w:pPr>
        <w:pStyle w:val="H23G"/>
      </w:pPr>
      <w:r>
        <w:tab/>
      </w:r>
      <w:r>
        <w:tab/>
        <w:t>Chapter 3.2, dangerous goods list</w:t>
      </w:r>
    </w:p>
    <w:p w14:paraId="28A2D7E8" w14:textId="77777777" w:rsidR="00AC4182" w:rsidRDefault="00E721E4" w:rsidP="005C5A6D">
      <w:pPr>
        <w:pStyle w:val="SingleTxtG"/>
      </w:pPr>
      <w:r>
        <w:t>Part IV, C.</w:t>
      </w:r>
      <w:r w:rsidR="002934BE">
        <w:t>2</w:t>
      </w:r>
      <w:r>
        <w:tab/>
      </w:r>
      <w:r w:rsidR="000149FB">
        <w:t>Amend</w:t>
      </w:r>
      <w:r w:rsidR="00873EC4">
        <w:t xml:space="preserve"> paragraph</w:t>
      </w:r>
      <w:r w:rsidR="00AC4182">
        <w:t xml:space="preserve"> 7 to read as follows:</w:t>
      </w:r>
    </w:p>
    <w:p w14:paraId="131A91F5" w14:textId="06DF5DCC" w:rsidR="00AC4182" w:rsidRDefault="00AC4182" w:rsidP="005C5A6D">
      <w:pPr>
        <w:pStyle w:val="SingleTxtG"/>
      </w:pPr>
      <w:r>
        <w:t>“</w:t>
      </w:r>
      <w:r w:rsidR="00AD398F" w:rsidRPr="00AD398F">
        <w:t>7.</w:t>
      </w:r>
      <w:r w:rsidR="00AD398F" w:rsidRPr="00AD398F">
        <w:tab/>
        <w:t>When a specific portable tank instruction is specified in Column 10 for a specific dangerous goods entry, additional portable tanks with higher test pressures, greater shell thicknesses, more stringent bottom openings and pressure-relief device arrangements may be used, in accordance with the table in 4.2.5.2.5.</w:t>
      </w:r>
      <w:r w:rsidR="00AD398F">
        <w:t>”</w:t>
      </w:r>
    </w:p>
    <w:p w14:paraId="70264F2E" w14:textId="4C62E17F" w:rsidR="00AD398F" w:rsidRPr="00AD398F" w:rsidRDefault="00AD398F" w:rsidP="00AB7618">
      <w:pPr>
        <w:pStyle w:val="SingleTxtG"/>
        <w:ind w:left="2268" w:hanging="1134"/>
      </w:pPr>
      <w:r>
        <w:tab/>
        <w:t>After paragraph 7</w:t>
      </w:r>
      <w:r w:rsidR="00D21136">
        <w:t>, i</w:t>
      </w:r>
      <w:r w:rsidR="002934BE">
        <w:t xml:space="preserve">nsert </w:t>
      </w:r>
      <w:r w:rsidR="00D21136">
        <w:t>the following</w:t>
      </w:r>
      <w:r w:rsidR="002934BE">
        <w:t xml:space="preserve"> new paragraph</w:t>
      </w:r>
      <w:r w:rsidR="00930324">
        <w:t>:</w:t>
      </w:r>
    </w:p>
    <w:p w14:paraId="75976661" w14:textId="5428EFA1" w:rsidR="00AB7618" w:rsidRPr="00AD398F" w:rsidRDefault="00AB7618" w:rsidP="00EC1233">
      <w:pPr>
        <w:pStyle w:val="SingleTxtG"/>
      </w:pPr>
      <w:r>
        <w:t>“</w:t>
      </w:r>
      <w:r w:rsidR="00EC1233" w:rsidRPr="00EC1233">
        <w:t>8.</w:t>
      </w:r>
      <w:r w:rsidR="00EC1233" w:rsidRPr="00EC1233">
        <w:tab/>
        <w:t>Some of the portable tank instructions in the T1 to T22 range are currently unused</w:t>
      </w:r>
      <w:r w:rsidR="004E3421">
        <w:t>.</w:t>
      </w:r>
      <w:r w:rsidR="00E17545">
        <w:t xml:space="preserve"> In other words</w:t>
      </w:r>
      <w:r w:rsidR="00EC1233" w:rsidRPr="00EC1233">
        <w:t xml:space="preserve">, there are no substances in the dangerous goods list which have </w:t>
      </w:r>
      <w:r w:rsidR="00F81F4C">
        <w:t xml:space="preserve">these </w:t>
      </w:r>
      <w:r w:rsidR="004E3421">
        <w:t>instructions</w:t>
      </w:r>
      <w:r w:rsidR="00EC1233" w:rsidRPr="00EC1233">
        <w:t xml:space="preserve"> assigned</w:t>
      </w:r>
      <w:r w:rsidR="009F1225">
        <w:t xml:space="preserve"> to them</w:t>
      </w:r>
      <w:r w:rsidR="00EC1233" w:rsidRPr="00EC1233">
        <w:t>. These portable tank instructions are nevertheless kept in the regulations, as portable tanks can be constructed and marked according to any of these portable tank instructions and used to transport substances with other codes, in accordance with the table in 4.2.5.2.5.</w:t>
      </w:r>
      <w:r w:rsidR="00EC1233">
        <w:t>”</w:t>
      </w:r>
    </w:p>
    <w:p w14:paraId="4A777C8B" w14:textId="5D7E7D64" w:rsidR="00EC1233" w:rsidRPr="00AD398F" w:rsidRDefault="00EC1233" w:rsidP="00AB7618">
      <w:pPr>
        <w:pStyle w:val="SingleTxtG"/>
        <w:ind w:left="2268" w:hanging="1134"/>
      </w:pPr>
      <w:r>
        <w:tab/>
        <w:t>Renumber subsequent paragraphs.</w:t>
      </w:r>
    </w:p>
    <w:p w14:paraId="4C77804D" w14:textId="19DB3557" w:rsidR="000D51BE" w:rsidRPr="00ED6DE1" w:rsidRDefault="00ED6DE1" w:rsidP="00ED6DE1">
      <w:pPr>
        <w:spacing w:before="240"/>
        <w:jc w:val="center"/>
        <w:rPr>
          <w:u w:val="single"/>
          <w:lang w:val="en-US"/>
        </w:rPr>
      </w:pPr>
      <w:r>
        <w:rPr>
          <w:u w:val="single"/>
          <w:lang w:val="en-US"/>
        </w:rPr>
        <w:tab/>
      </w:r>
      <w:r>
        <w:rPr>
          <w:u w:val="single"/>
          <w:lang w:val="en-US"/>
        </w:rPr>
        <w:tab/>
      </w:r>
      <w:r>
        <w:rPr>
          <w:u w:val="single"/>
          <w:lang w:val="en-US"/>
        </w:rPr>
        <w:tab/>
      </w:r>
    </w:p>
    <w:sectPr w:rsidR="000D51BE" w:rsidRPr="00ED6DE1" w:rsidSect="009D081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F7EA" w14:textId="77777777" w:rsidR="005920EE" w:rsidRPr="00C47B2E" w:rsidRDefault="005920EE" w:rsidP="00C47B2E">
      <w:pPr>
        <w:pStyle w:val="Footer"/>
      </w:pPr>
    </w:p>
  </w:endnote>
  <w:endnote w:type="continuationSeparator" w:id="0">
    <w:p w14:paraId="01178E08" w14:textId="77777777" w:rsidR="005920EE" w:rsidRPr="00C47B2E" w:rsidRDefault="005920EE" w:rsidP="00C47B2E">
      <w:pPr>
        <w:pStyle w:val="Footer"/>
      </w:pPr>
    </w:p>
  </w:endnote>
  <w:endnote w:type="continuationNotice" w:id="1">
    <w:p w14:paraId="2FA0B8C9" w14:textId="77777777" w:rsidR="005920EE" w:rsidRPr="00C47B2E" w:rsidRDefault="005920E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61C" w14:textId="48F8B986" w:rsidR="00D94B05" w:rsidRPr="009D081F" w:rsidRDefault="009D081F" w:rsidP="009D081F">
    <w:pPr>
      <w:pStyle w:val="Footer"/>
      <w:tabs>
        <w:tab w:val="right" w:pos="9598"/>
        <w:tab w:val="right" w:pos="9638"/>
      </w:tabs>
      <w:rPr>
        <w:sz w:val="18"/>
      </w:rPr>
    </w:pPr>
    <w:r w:rsidRPr="009D081F">
      <w:rPr>
        <w:b/>
        <w:sz w:val="18"/>
      </w:rPr>
      <w:fldChar w:fldCharType="begin"/>
    </w:r>
    <w:r w:rsidRPr="009D081F">
      <w:rPr>
        <w:b/>
        <w:sz w:val="18"/>
      </w:rPr>
      <w:instrText xml:space="preserve"> PAGE  \* MERGEFORMAT </w:instrText>
    </w:r>
    <w:r w:rsidRPr="009D081F">
      <w:rPr>
        <w:b/>
        <w:sz w:val="18"/>
      </w:rPr>
      <w:fldChar w:fldCharType="separate"/>
    </w:r>
    <w:r w:rsidRPr="009D081F">
      <w:rPr>
        <w:b/>
        <w:noProof/>
        <w:sz w:val="18"/>
      </w:rPr>
      <w:t>2</w:t>
    </w:r>
    <w:r w:rsidRPr="009D08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E63A" w14:textId="2FC78F6E" w:rsidR="00D94B05" w:rsidRPr="009D081F" w:rsidRDefault="009D081F" w:rsidP="009D081F">
    <w:pPr>
      <w:pStyle w:val="Footer"/>
      <w:tabs>
        <w:tab w:val="left" w:pos="5775"/>
        <w:tab w:val="right" w:pos="9598"/>
        <w:tab w:val="right" w:pos="9638"/>
      </w:tabs>
      <w:rPr>
        <w:sz w:val="18"/>
      </w:rPr>
    </w:pPr>
    <w:r>
      <w:rPr>
        <w:b/>
        <w:sz w:val="18"/>
      </w:rPr>
      <w:tab/>
    </w:r>
    <w:r w:rsidRPr="009D081F">
      <w:rPr>
        <w:sz w:val="18"/>
      </w:rPr>
      <w:fldChar w:fldCharType="begin"/>
    </w:r>
    <w:r w:rsidRPr="009D081F">
      <w:rPr>
        <w:sz w:val="18"/>
      </w:rPr>
      <w:instrText xml:space="preserve"> PAGE  \* MERGEFORMAT </w:instrText>
    </w:r>
    <w:r w:rsidRPr="009D081F">
      <w:rPr>
        <w:sz w:val="18"/>
      </w:rPr>
      <w:fldChar w:fldCharType="separate"/>
    </w:r>
    <w:r w:rsidRPr="009D081F">
      <w:rPr>
        <w:noProof/>
        <w:sz w:val="18"/>
      </w:rPr>
      <w:t>3</w:t>
    </w:r>
    <w:r w:rsidRPr="009D081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B1E" w14:textId="77777777" w:rsidR="00D94B05" w:rsidRPr="009D081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B5F0138" wp14:editId="06BEC43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CFCB" w14:textId="77777777" w:rsidR="005920EE" w:rsidRPr="00C47B2E" w:rsidRDefault="005920EE" w:rsidP="00C47B2E">
      <w:pPr>
        <w:tabs>
          <w:tab w:val="right" w:pos="2155"/>
        </w:tabs>
        <w:spacing w:after="80" w:line="240" w:lineRule="auto"/>
        <w:ind w:left="680"/>
      </w:pPr>
      <w:r>
        <w:rPr>
          <w:u w:val="single"/>
        </w:rPr>
        <w:tab/>
      </w:r>
    </w:p>
  </w:footnote>
  <w:footnote w:type="continuationSeparator" w:id="0">
    <w:p w14:paraId="5A7A2338" w14:textId="77777777" w:rsidR="005920EE" w:rsidRPr="00C47B2E" w:rsidRDefault="005920EE" w:rsidP="005E716E">
      <w:pPr>
        <w:tabs>
          <w:tab w:val="right" w:pos="2155"/>
        </w:tabs>
        <w:spacing w:after="80" w:line="240" w:lineRule="auto"/>
        <w:ind w:left="680"/>
      </w:pPr>
      <w:r>
        <w:rPr>
          <w:u w:val="single"/>
        </w:rPr>
        <w:tab/>
      </w:r>
    </w:p>
  </w:footnote>
  <w:footnote w:type="continuationNotice" w:id="1">
    <w:p w14:paraId="6B6B615D" w14:textId="77777777" w:rsidR="005920EE" w:rsidRPr="00C47B2E" w:rsidRDefault="005920EE" w:rsidP="00C47B2E">
      <w:pPr>
        <w:pStyle w:val="Footer"/>
      </w:pPr>
    </w:p>
  </w:footnote>
  <w:footnote w:id="2">
    <w:p w14:paraId="251F9AC3" w14:textId="77777777" w:rsidR="009D081F" w:rsidRPr="00653AAE" w:rsidRDefault="009D081F" w:rsidP="009D081F">
      <w:pPr>
        <w:pStyle w:val="FootnoteText"/>
        <w:rPr>
          <w:lang w:val="fr-CH"/>
        </w:rPr>
      </w:pPr>
      <w:r>
        <w:rPr>
          <w:rStyle w:val="FootnoteReference"/>
        </w:rPr>
        <w:tab/>
      </w:r>
      <w:r w:rsidRPr="00653AAE">
        <w:rPr>
          <w:rStyle w:val="FootnoteReference"/>
          <w:sz w:val="20"/>
          <w:vertAlign w:val="baseline"/>
        </w:rPr>
        <w:t>*</w:t>
      </w:r>
      <w:r>
        <w:rPr>
          <w:rStyle w:val="FootnoteReference"/>
          <w:sz w:val="20"/>
          <w:vertAlign w:val="baseline"/>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BCA" w14:textId="13BF4815" w:rsidR="009D081F" w:rsidRPr="009D081F" w:rsidRDefault="005A1261">
    <w:pPr>
      <w:pStyle w:val="Header"/>
    </w:pPr>
    <w:fldSimple w:instr=" TITLE  \* MERGEFORMAT ">
      <w:r w:rsidR="00EA1A3A">
        <w:t>ST/SG/AC.10/C.3/2022/77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F772" w14:textId="3DF55CBC" w:rsidR="00D94B05" w:rsidRPr="009D081F" w:rsidRDefault="005A1261" w:rsidP="009D081F">
    <w:pPr>
      <w:pStyle w:val="Header"/>
      <w:jc w:val="right"/>
    </w:pPr>
    <w:fldSimple w:instr=" TITLE  \* MERGEFORMAT ">
      <w:r w:rsidR="00EA1A3A">
        <w:t>ST/SG/AC.10/C.3/2022/77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F"/>
    <w:rsid w:val="000149FB"/>
    <w:rsid w:val="000224D2"/>
    <w:rsid w:val="00031CD0"/>
    <w:rsid w:val="00046E92"/>
    <w:rsid w:val="00063C90"/>
    <w:rsid w:val="0007520D"/>
    <w:rsid w:val="000754D2"/>
    <w:rsid w:val="000A4E4D"/>
    <w:rsid w:val="000B3DDD"/>
    <w:rsid w:val="000D51BE"/>
    <w:rsid w:val="000E3717"/>
    <w:rsid w:val="000E720C"/>
    <w:rsid w:val="00101B98"/>
    <w:rsid w:val="00121ECA"/>
    <w:rsid w:val="001474E3"/>
    <w:rsid w:val="001514D1"/>
    <w:rsid w:val="00171497"/>
    <w:rsid w:val="001B454C"/>
    <w:rsid w:val="0021397B"/>
    <w:rsid w:val="00214983"/>
    <w:rsid w:val="00234AF9"/>
    <w:rsid w:val="00247E2C"/>
    <w:rsid w:val="002934BE"/>
    <w:rsid w:val="0029461A"/>
    <w:rsid w:val="002A32CB"/>
    <w:rsid w:val="002A3976"/>
    <w:rsid w:val="002A65AA"/>
    <w:rsid w:val="002C0F56"/>
    <w:rsid w:val="002C641F"/>
    <w:rsid w:val="002D3D12"/>
    <w:rsid w:val="002D5B2C"/>
    <w:rsid w:val="002D6C53"/>
    <w:rsid w:val="002F060B"/>
    <w:rsid w:val="002F1B31"/>
    <w:rsid w:val="002F5595"/>
    <w:rsid w:val="002F6528"/>
    <w:rsid w:val="003054CC"/>
    <w:rsid w:val="00305C74"/>
    <w:rsid w:val="003243E1"/>
    <w:rsid w:val="00334F6A"/>
    <w:rsid w:val="00342AC8"/>
    <w:rsid w:val="00343302"/>
    <w:rsid w:val="00346E6A"/>
    <w:rsid w:val="00363429"/>
    <w:rsid w:val="003979DE"/>
    <w:rsid w:val="003A262E"/>
    <w:rsid w:val="003B4550"/>
    <w:rsid w:val="003B54A3"/>
    <w:rsid w:val="003C01CA"/>
    <w:rsid w:val="003D2A18"/>
    <w:rsid w:val="003F33EB"/>
    <w:rsid w:val="004117B2"/>
    <w:rsid w:val="00413386"/>
    <w:rsid w:val="004213FE"/>
    <w:rsid w:val="00442073"/>
    <w:rsid w:val="0044697F"/>
    <w:rsid w:val="004501FF"/>
    <w:rsid w:val="00450266"/>
    <w:rsid w:val="00461253"/>
    <w:rsid w:val="004705B1"/>
    <w:rsid w:val="004743E8"/>
    <w:rsid w:val="00474763"/>
    <w:rsid w:val="00482147"/>
    <w:rsid w:val="004858F5"/>
    <w:rsid w:val="004A1C54"/>
    <w:rsid w:val="004A2814"/>
    <w:rsid w:val="004B25FA"/>
    <w:rsid w:val="004B3CEE"/>
    <w:rsid w:val="004C0622"/>
    <w:rsid w:val="004E16F1"/>
    <w:rsid w:val="004E3421"/>
    <w:rsid w:val="004E5C3F"/>
    <w:rsid w:val="005042C2"/>
    <w:rsid w:val="00533620"/>
    <w:rsid w:val="00543250"/>
    <w:rsid w:val="00547E8C"/>
    <w:rsid w:val="0056793B"/>
    <w:rsid w:val="0057740D"/>
    <w:rsid w:val="00582A25"/>
    <w:rsid w:val="005856D1"/>
    <w:rsid w:val="005920EE"/>
    <w:rsid w:val="00593F8D"/>
    <w:rsid w:val="00596ABF"/>
    <w:rsid w:val="005A1261"/>
    <w:rsid w:val="005A6098"/>
    <w:rsid w:val="005B08CD"/>
    <w:rsid w:val="005C5A6D"/>
    <w:rsid w:val="005D06D1"/>
    <w:rsid w:val="005D3E88"/>
    <w:rsid w:val="005E2F06"/>
    <w:rsid w:val="005E3E2B"/>
    <w:rsid w:val="005E4F3A"/>
    <w:rsid w:val="005E716E"/>
    <w:rsid w:val="005F7B91"/>
    <w:rsid w:val="0063608C"/>
    <w:rsid w:val="00641A56"/>
    <w:rsid w:val="006476E1"/>
    <w:rsid w:val="006600AA"/>
    <w:rsid w:val="006604DF"/>
    <w:rsid w:val="0066427A"/>
    <w:rsid w:val="00671529"/>
    <w:rsid w:val="006B1486"/>
    <w:rsid w:val="006B4811"/>
    <w:rsid w:val="006C780C"/>
    <w:rsid w:val="006F347C"/>
    <w:rsid w:val="00703F36"/>
    <w:rsid w:val="0070489D"/>
    <w:rsid w:val="00704D17"/>
    <w:rsid w:val="00711BF2"/>
    <w:rsid w:val="00712637"/>
    <w:rsid w:val="00726445"/>
    <w:rsid w:val="007268F9"/>
    <w:rsid w:val="007406D7"/>
    <w:rsid w:val="00743325"/>
    <w:rsid w:val="007443F5"/>
    <w:rsid w:val="00750282"/>
    <w:rsid w:val="00752E7C"/>
    <w:rsid w:val="00764440"/>
    <w:rsid w:val="0077101B"/>
    <w:rsid w:val="00782713"/>
    <w:rsid w:val="0079365A"/>
    <w:rsid w:val="00793752"/>
    <w:rsid w:val="007A184C"/>
    <w:rsid w:val="007A2E7E"/>
    <w:rsid w:val="007C52B0"/>
    <w:rsid w:val="007C6033"/>
    <w:rsid w:val="007D1F26"/>
    <w:rsid w:val="007D43E7"/>
    <w:rsid w:val="007D50CA"/>
    <w:rsid w:val="00802A83"/>
    <w:rsid w:val="008033F9"/>
    <w:rsid w:val="00812A32"/>
    <w:rsid w:val="008147C8"/>
    <w:rsid w:val="008149D3"/>
    <w:rsid w:val="0081753A"/>
    <w:rsid w:val="00857D23"/>
    <w:rsid w:val="00857F2A"/>
    <w:rsid w:val="00873EC4"/>
    <w:rsid w:val="00880C74"/>
    <w:rsid w:val="008910C8"/>
    <w:rsid w:val="008958A3"/>
    <w:rsid w:val="008B01CA"/>
    <w:rsid w:val="008D1FA7"/>
    <w:rsid w:val="008D7CB1"/>
    <w:rsid w:val="008E6B3B"/>
    <w:rsid w:val="009233AF"/>
    <w:rsid w:val="0092642F"/>
    <w:rsid w:val="00930324"/>
    <w:rsid w:val="009411B4"/>
    <w:rsid w:val="00946132"/>
    <w:rsid w:val="00946F1D"/>
    <w:rsid w:val="00956F6C"/>
    <w:rsid w:val="009628BC"/>
    <w:rsid w:val="00981C7E"/>
    <w:rsid w:val="009B1374"/>
    <w:rsid w:val="009D0139"/>
    <w:rsid w:val="009D081F"/>
    <w:rsid w:val="009D717D"/>
    <w:rsid w:val="009F1225"/>
    <w:rsid w:val="009F5CDC"/>
    <w:rsid w:val="00A0595F"/>
    <w:rsid w:val="00A072D7"/>
    <w:rsid w:val="00A15CC8"/>
    <w:rsid w:val="00A22FC8"/>
    <w:rsid w:val="00A72FDB"/>
    <w:rsid w:val="00A75E1A"/>
    <w:rsid w:val="00A775CF"/>
    <w:rsid w:val="00A9436C"/>
    <w:rsid w:val="00AB7618"/>
    <w:rsid w:val="00AC4182"/>
    <w:rsid w:val="00AD1A9C"/>
    <w:rsid w:val="00AD398F"/>
    <w:rsid w:val="00AE6401"/>
    <w:rsid w:val="00AF1D8E"/>
    <w:rsid w:val="00AF5DE1"/>
    <w:rsid w:val="00B06045"/>
    <w:rsid w:val="00B12C68"/>
    <w:rsid w:val="00B206DD"/>
    <w:rsid w:val="00B42C69"/>
    <w:rsid w:val="00B5077A"/>
    <w:rsid w:val="00B52EF4"/>
    <w:rsid w:val="00B777AD"/>
    <w:rsid w:val="00BD44EB"/>
    <w:rsid w:val="00BF2C75"/>
    <w:rsid w:val="00C03015"/>
    <w:rsid w:val="00C0358D"/>
    <w:rsid w:val="00C23BD4"/>
    <w:rsid w:val="00C27858"/>
    <w:rsid w:val="00C35A27"/>
    <w:rsid w:val="00C46B5F"/>
    <w:rsid w:val="00C47B2E"/>
    <w:rsid w:val="00CA0B11"/>
    <w:rsid w:val="00CF58C1"/>
    <w:rsid w:val="00D02427"/>
    <w:rsid w:val="00D15142"/>
    <w:rsid w:val="00D21136"/>
    <w:rsid w:val="00D478F0"/>
    <w:rsid w:val="00D63CD2"/>
    <w:rsid w:val="00D653D5"/>
    <w:rsid w:val="00D87DC2"/>
    <w:rsid w:val="00D94B05"/>
    <w:rsid w:val="00DA2F26"/>
    <w:rsid w:val="00DC0A03"/>
    <w:rsid w:val="00DD67BA"/>
    <w:rsid w:val="00DD7B94"/>
    <w:rsid w:val="00DE08F6"/>
    <w:rsid w:val="00DE7434"/>
    <w:rsid w:val="00DF4EC6"/>
    <w:rsid w:val="00E02C2B"/>
    <w:rsid w:val="00E0615F"/>
    <w:rsid w:val="00E1294F"/>
    <w:rsid w:val="00E17545"/>
    <w:rsid w:val="00E21C27"/>
    <w:rsid w:val="00E26BCF"/>
    <w:rsid w:val="00E322EA"/>
    <w:rsid w:val="00E35527"/>
    <w:rsid w:val="00E52109"/>
    <w:rsid w:val="00E55CFD"/>
    <w:rsid w:val="00E565BA"/>
    <w:rsid w:val="00E721E4"/>
    <w:rsid w:val="00E75317"/>
    <w:rsid w:val="00E942D7"/>
    <w:rsid w:val="00EA1A3A"/>
    <w:rsid w:val="00EC0CE6"/>
    <w:rsid w:val="00EC1233"/>
    <w:rsid w:val="00EC7C1D"/>
    <w:rsid w:val="00ED6C48"/>
    <w:rsid w:val="00ED6DE1"/>
    <w:rsid w:val="00EE3045"/>
    <w:rsid w:val="00EF0F3B"/>
    <w:rsid w:val="00EF6E7D"/>
    <w:rsid w:val="00F156ED"/>
    <w:rsid w:val="00F3603A"/>
    <w:rsid w:val="00F506F5"/>
    <w:rsid w:val="00F56726"/>
    <w:rsid w:val="00F628AB"/>
    <w:rsid w:val="00F65F5D"/>
    <w:rsid w:val="00F81F4C"/>
    <w:rsid w:val="00F8252B"/>
    <w:rsid w:val="00F86A3A"/>
    <w:rsid w:val="00FD3D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A3BC"/>
  <w15:docId w15:val="{1B200383-0373-4FE0-9C48-CD0AA59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D081F"/>
    <w:rPr>
      <w:b/>
      <w:sz w:val="28"/>
    </w:rPr>
  </w:style>
  <w:style w:type="character" w:customStyle="1" w:styleId="SingleTxtGChar">
    <w:name w:val="_ Single Txt_G Char"/>
    <w:link w:val="SingleTxtG"/>
    <w:qFormat/>
    <w:rsid w:val="009D081F"/>
  </w:style>
  <w:style w:type="character" w:customStyle="1" w:styleId="H1GChar">
    <w:name w:val="_ H_1_G Char"/>
    <w:link w:val="H1G"/>
    <w:qFormat/>
    <w:rsid w:val="009D081F"/>
    <w:rPr>
      <w:b/>
      <w:sz w:val="24"/>
    </w:rPr>
  </w:style>
  <w:style w:type="paragraph" w:customStyle="1" w:styleId="OBtxt">
    <w:name w:val="OB_txt"/>
    <w:basedOn w:val="Normal"/>
    <w:link w:val="OBtxtChar"/>
    <w:qFormat/>
    <w:rsid w:val="00EF0F3B"/>
    <w:pPr>
      <w:tabs>
        <w:tab w:val="left" w:pos="567"/>
      </w:tabs>
      <w:suppressAutoHyphens w:val="0"/>
      <w:kinsoku/>
      <w:overflowPunct/>
      <w:autoSpaceDE/>
      <w:autoSpaceDN/>
      <w:adjustRightInd/>
      <w:snapToGrid/>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EF0F3B"/>
    <w:rPr>
      <w:rFonts w:eastAsia="Times New Roman"/>
      <w:snapToGrid w:val="0"/>
      <w:sz w:val="22"/>
      <w:lang w:val="en-US" w:eastAsia="en-US"/>
    </w:rPr>
  </w:style>
  <w:style w:type="character" w:styleId="CommentReference">
    <w:name w:val="annotation reference"/>
    <w:basedOn w:val="DefaultParagraphFont"/>
    <w:uiPriority w:val="99"/>
    <w:semiHidden/>
    <w:unhideWhenUsed/>
    <w:rsid w:val="009628BC"/>
    <w:rPr>
      <w:sz w:val="16"/>
      <w:szCs w:val="16"/>
    </w:rPr>
  </w:style>
  <w:style w:type="paragraph" w:styleId="CommentText">
    <w:name w:val="annotation text"/>
    <w:basedOn w:val="Normal"/>
    <w:link w:val="CommentTextChar"/>
    <w:uiPriority w:val="99"/>
    <w:semiHidden/>
    <w:unhideWhenUsed/>
    <w:rsid w:val="009628BC"/>
    <w:pPr>
      <w:spacing w:line="240" w:lineRule="auto"/>
    </w:pPr>
  </w:style>
  <w:style w:type="character" w:customStyle="1" w:styleId="CommentTextChar">
    <w:name w:val="Comment Text Char"/>
    <w:basedOn w:val="DefaultParagraphFont"/>
    <w:link w:val="CommentText"/>
    <w:uiPriority w:val="99"/>
    <w:semiHidden/>
    <w:rsid w:val="009628BC"/>
  </w:style>
  <w:style w:type="paragraph" w:styleId="CommentSubject">
    <w:name w:val="annotation subject"/>
    <w:basedOn w:val="CommentText"/>
    <w:next w:val="CommentText"/>
    <w:link w:val="CommentSubjectChar"/>
    <w:uiPriority w:val="99"/>
    <w:semiHidden/>
    <w:unhideWhenUsed/>
    <w:rsid w:val="009628BC"/>
    <w:rPr>
      <w:b/>
      <w:bCs/>
    </w:rPr>
  </w:style>
  <w:style w:type="character" w:customStyle="1" w:styleId="CommentSubjectChar">
    <w:name w:val="Comment Subject Char"/>
    <w:basedOn w:val="CommentTextChar"/>
    <w:link w:val="CommentSubject"/>
    <w:uiPriority w:val="99"/>
    <w:semiHidden/>
    <w:rsid w:val="009628BC"/>
    <w:rPr>
      <w:b/>
      <w:bCs/>
    </w:rPr>
  </w:style>
  <w:style w:type="paragraph" w:customStyle="1" w:styleId="OBind1">
    <w:name w:val="OB_ind1"/>
    <w:basedOn w:val="Normal"/>
    <w:link w:val="OBind1Char"/>
    <w:qFormat/>
    <w:rsid w:val="0007520D"/>
    <w:pPr>
      <w:suppressAutoHyphens w:val="0"/>
      <w:kinsoku/>
      <w:overflowPunct/>
      <w:autoSpaceDE/>
      <w:autoSpaceDN/>
      <w:adjustRightInd/>
      <w:snapToGrid/>
      <w:spacing w:after="220" w:line="240" w:lineRule="auto"/>
      <w:ind w:left="1134" w:hanging="567"/>
      <w:jc w:val="both"/>
    </w:pPr>
    <w:rPr>
      <w:rFonts w:eastAsia="Times New Roman"/>
      <w:snapToGrid w:val="0"/>
      <w:sz w:val="22"/>
      <w:lang w:val="en-US" w:eastAsia="en-US"/>
    </w:rPr>
  </w:style>
  <w:style w:type="character" w:customStyle="1" w:styleId="OBind1Char">
    <w:name w:val="OB_ind1 Char"/>
    <w:basedOn w:val="DefaultParagraphFont"/>
    <w:link w:val="OBind1"/>
    <w:rsid w:val="0007520D"/>
    <w:rPr>
      <w:rFonts w:eastAsia="Times New Roman"/>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DAC8708D-378A-4ADD-9D92-81A778A8378D}">
  <ds:schemaRefs>
    <ds:schemaRef ds:uri="http://schemas.microsoft.com/sharepoint/v3/contenttype/forms"/>
  </ds:schemaRefs>
</ds:datastoreItem>
</file>

<file path=customXml/itemProps3.xml><?xml version="1.0" encoding="utf-8"?>
<ds:datastoreItem xmlns:ds="http://schemas.openxmlformats.org/officeDocument/2006/customXml" ds:itemID="{DAD2C1E9-38A5-4A1E-993F-3F74DC1E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B2EC-F8B8-449A-960E-120358FF8ED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139</TotalTime>
  <Pages>2</Pages>
  <Words>515</Words>
  <Characters>2938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ST/SG/AC.10/C.3/2022/77</dc:title>
  <dc:subject/>
  <dc:creator>Editorial</dc:creator>
  <cp:keywords/>
  <cp:lastModifiedBy>Laurence Berthet</cp:lastModifiedBy>
  <cp:revision>135</cp:revision>
  <cp:lastPrinted>2022-09-16T15:58:00Z</cp:lastPrinted>
  <dcterms:created xsi:type="dcterms:W3CDTF">2022-09-13T08:18:00Z</dcterms:created>
  <dcterms:modified xsi:type="dcterms:W3CDTF">2022-09-16T15:58:00Z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