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047AF" w14:paraId="776DB90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796D95" w14:textId="77777777" w:rsidR="008047AF" w:rsidRPr="008047AF" w:rsidRDefault="008047AF" w:rsidP="008047AF">
            <w:pPr>
              <w:jc w:val="right"/>
              <w:rPr>
                <w:lang w:val="en-US"/>
              </w:rPr>
            </w:pPr>
            <w:r w:rsidRPr="008047AF">
              <w:rPr>
                <w:sz w:val="40"/>
                <w:lang w:val="en-US"/>
              </w:rPr>
              <w:t>E</w:t>
            </w:r>
            <w:r w:rsidRPr="008047AF">
              <w:rPr>
                <w:lang w:val="en-US"/>
              </w:rPr>
              <w:t>/ECE/324/Rev.1/Add.47/Rev.11/Amend.9−</w:t>
            </w:r>
            <w:r w:rsidRPr="008047AF">
              <w:rPr>
                <w:sz w:val="40"/>
                <w:lang w:val="en-US"/>
              </w:rPr>
              <w:t>E</w:t>
            </w:r>
            <w:r w:rsidRPr="008047AF">
              <w:rPr>
                <w:lang w:val="en-US"/>
              </w:rPr>
              <w:t>/ECE/TRANS/505/Rev.1/Add.47/Rev.11/Amend.9</w:t>
            </w:r>
          </w:p>
        </w:tc>
      </w:tr>
      <w:tr w:rsidR="00421A10" w:rsidRPr="00DB58B5" w14:paraId="27B998B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6041D2" w14:textId="77777777" w:rsidR="00421A10" w:rsidRPr="008047A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C9EDEE" w14:textId="77777777" w:rsidR="00421A10" w:rsidRPr="00DB58B5" w:rsidRDefault="008047AF" w:rsidP="00A27C92">
            <w:pPr>
              <w:spacing w:before="480" w:line="240" w:lineRule="exact"/>
            </w:pPr>
            <w:r>
              <w:t>14 septembre 2022</w:t>
            </w:r>
          </w:p>
        </w:tc>
      </w:tr>
    </w:tbl>
    <w:p w14:paraId="16250C8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65EAC01" w14:textId="18769330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995A3F" w:rsidRPr="00233578">
        <w:rPr>
          <w:lang w:val="fr-FR"/>
        </w:rPr>
        <w:t>l</w:t>
      </w:r>
      <w:r w:rsidR="00522E3B">
        <w:rPr>
          <w:lang w:val="fr-FR"/>
        </w:rPr>
        <w:t>’</w:t>
      </w:r>
      <w:r w:rsidR="00995A3F" w:rsidRPr="00233578">
        <w:rPr>
          <w:lang w:val="fr-FR"/>
        </w:rPr>
        <w:t>adoption de Règlements techniques harmonisés de l</w:t>
      </w:r>
      <w:r w:rsidR="00522E3B">
        <w:rPr>
          <w:lang w:val="fr-FR"/>
        </w:rPr>
        <w:t>’</w:t>
      </w:r>
      <w:r w:rsidR="00995A3F" w:rsidRPr="00233578">
        <w:rPr>
          <w:lang w:val="fr-FR"/>
        </w:rPr>
        <w:t>ONU applicables aux véhicules à roues et aux équipements et pièces susceptibles d</w:t>
      </w:r>
      <w:r w:rsidR="00522E3B">
        <w:rPr>
          <w:lang w:val="fr-FR"/>
        </w:rPr>
        <w:t>’</w:t>
      </w:r>
      <w:r w:rsidR="00995A3F" w:rsidRPr="00233578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995A3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8F959BD" w14:textId="35F85969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95A3F" w:rsidRPr="00233578">
        <w:rPr>
          <w:lang w:val="fr-FR"/>
        </w:rPr>
        <w:t>3, comprenant les amendements entrés en vigueur le 14 septembre 2017</w:t>
      </w:r>
      <w:r w:rsidRPr="006549FF">
        <w:t>)</w:t>
      </w:r>
    </w:p>
    <w:p w14:paraId="30F4640E" w14:textId="77777777" w:rsidR="00421A10" w:rsidRPr="006549FF" w:rsidRDefault="0029791D" w:rsidP="0029791D">
      <w:pPr>
        <w:jc w:val="center"/>
      </w:pPr>
      <w:r>
        <w:t>_______________</w:t>
      </w:r>
    </w:p>
    <w:p w14:paraId="2AAF3000" w14:textId="288B2C59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95A3F">
        <w:t>47</w:t>
      </w:r>
      <w:r w:rsidR="00522E3B">
        <w:t>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95A3F">
        <w:t>48</w:t>
      </w:r>
    </w:p>
    <w:p w14:paraId="1DD12B58" w14:textId="5370DA80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95A3F" w:rsidRPr="00233578">
        <w:rPr>
          <w:lang w:val="fr-FR"/>
        </w:rPr>
        <w:t xml:space="preserve">11 </w:t>
      </w:r>
      <w:r w:rsidR="00995A3F">
        <w:rPr>
          <w:lang w:val="fr-FR"/>
        </w:rPr>
        <w:t>−</w:t>
      </w:r>
      <w:r w:rsidR="00995A3F" w:rsidRPr="00233578">
        <w:rPr>
          <w:lang w:val="fr-FR"/>
        </w:rPr>
        <w:t xml:space="preserve"> Amendement 9</w:t>
      </w:r>
    </w:p>
    <w:p w14:paraId="7C78A369" w14:textId="6828F2FC" w:rsidR="00421A10" w:rsidRPr="004A7E44" w:rsidRDefault="00995A3F" w:rsidP="0029791D">
      <w:pPr>
        <w:pStyle w:val="SingleTxtG"/>
        <w:spacing w:after="0"/>
      </w:pPr>
      <w:r w:rsidRPr="00233578">
        <w:rPr>
          <w:spacing w:val="-2"/>
          <w:lang w:val="fr-FR"/>
        </w:rPr>
        <w:t>Complément 15 à la série 05 d</w:t>
      </w:r>
      <w:r w:rsidR="00522E3B">
        <w:rPr>
          <w:spacing w:val="-2"/>
          <w:lang w:val="fr-FR"/>
        </w:rPr>
        <w:t>’</w:t>
      </w:r>
      <w:r w:rsidRPr="00233578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233578">
        <w:rPr>
          <w:spacing w:val="-2"/>
          <w:lang w:val="fr-FR"/>
        </w:rPr>
        <w:t xml:space="preserve"> Date d</w:t>
      </w:r>
      <w:r w:rsidR="00522E3B">
        <w:rPr>
          <w:spacing w:val="-2"/>
          <w:lang w:val="fr-FR"/>
        </w:rPr>
        <w:t>’</w:t>
      </w:r>
      <w:r w:rsidRPr="00233578">
        <w:rPr>
          <w:spacing w:val="-2"/>
          <w:lang w:val="fr-FR"/>
        </w:rPr>
        <w:t>entrée en vigueur</w:t>
      </w:r>
      <w:r w:rsidR="00522E3B">
        <w:rPr>
          <w:spacing w:val="-2"/>
          <w:lang w:val="fr-FR"/>
        </w:rPr>
        <w:t> </w:t>
      </w:r>
      <w:r w:rsidRPr="00233578">
        <w:rPr>
          <w:spacing w:val="-2"/>
          <w:lang w:val="fr-FR"/>
        </w:rPr>
        <w:t xml:space="preserve">: </w:t>
      </w:r>
      <w:r w:rsidRPr="00233578">
        <w:rPr>
          <w:lang w:val="fr-FR"/>
        </w:rPr>
        <w:t>22 juin 2022</w:t>
      </w:r>
    </w:p>
    <w:p w14:paraId="1ED5226D" w14:textId="4F283916" w:rsidR="00421A10" w:rsidRDefault="0029791D" w:rsidP="0029791D">
      <w:pPr>
        <w:pStyle w:val="H1G"/>
      </w:pPr>
      <w:r>
        <w:tab/>
      </w:r>
      <w:r>
        <w:tab/>
      </w:r>
      <w:r w:rsidR="00995A3F" w:rsidRPr="00233578">
        <w:rPr>
          <w:lang w:val="fr-FR"/>
        </w:rPr>
        <w:t>Prescriptions uniformes relatives à l</w:t>
      </w:r>
      <w:r w:rsidR="00522E3B">
        <w:rPr>
          <w:lang w:val="fr-FR"/>
        </w:rPr>
        <w:t>’</w:t>
      </w:r>
      <w:r w:rsidR="00995A3F" w:rsidRPr="00233578">
        <w:rPr>
          <w:lang w:val="fr-FR"/>
        </w:rPr>
        <w:t xml:space="preserve">homologation des véhicules </w:t>
      </w:r>
      <w:r w:rsidR="00522E3B">
        <w:rPr>
          <w:lang w:val="fr-FR"/>
        </w:rPr>
        <w:br/>
      </w:r>
      <w:r w:rsidR="00995A3F" w:rsidRPr="00233578">
        <w:rPr>
          <w:lang w:val="fr-FR"/>
        </w:rPr>
        <w:t>en ce qui concerne l</w:t>
      </w:r>
      <w:r w:rsidR="00522E3B">
        <w:rPr>
          <w:lang w:val="fr-FR"/>
        </w:rPr>
        <w:t>’</w:t>
      </w:r>
      <w:r w:rsidR="00995A3F" w:rsidRPr="00233578">
        <w:rPr>
          <w:lang w:val="fr-FR"/>
        </w:rPr>
        <w:t>installation des dispositifs d</w:t>
      </w:r>
      <w:r w:rsidR="00522E3B">
        <w:rPr>
          <w:lang w:val="fr-FR"/>
        </w:rPr>
        <w:t>’</w:t>
      </w:r>
      <w:r w:rsidR="00995A3F" w:rsidRPr="00233578">
        <w:rPr>
          <w:lang w:val="fr-FR"/>
        </w:rPr>
        <w:t xml:space="preserve">éclairage </w:t>
      </w:r>
      <w:r w:rsidR="00522E3B">
        <w:rPr>
          <w:lang w:val="fr-FR"/>
        </w:rPr>
        <w:br/>
      </w:r>
      <w:r w:rsidR="00995A3F" w:rsidRPr="00233578">
        <w:rPr>
          <w:lang w:val="fr-FR"/>
        </w:rPr>
        <w:t>et de signalisation lumineuse</w:t>
      </w:r>
    </w:p>
    <w:p w14:paraId="719670C8" w14:textId="357CABB0" w:rsidR="008047AF" w:rsidRDefault="00995A3F" w:rsidP="00995A3F">
      <w:pPr>
        <w:pStyle w:val="SingleTxtG"/>
        <w:spacing w:after="0"/>
        <w:rPr>
          <w:spacing w:val="-6"/>
          <w:lang w:val="fr-FR" w:eastAsia="en-GB"/>
        </w:rPr>
      </w:pPr>
      <w:r w:rsidRPr="00233578">
        <w:rPr>
          <w:spacing w:val="-4"/>
          <w:lang w:val="fr-FR" w:eastAsia="en-GB"/>
        </w:rPr>
        <w:t xml:space="preserve">Le présent document est communiqué </w:t>
      </w:r>
      <w:r w:rsidRPr="00995A3F">
        <w:rPr>
          <w:spacing w:val="-2"/>
          <w:lang w:val="fr-FR"/>
        </w:rPr>
        <w:t>uniquement</w:t>
      </w:r>
      <w:r w:rsidRPr="00233578">
        <w:rPr>
          <w:spacing w:val="-4"/>
          <w:lang w:val="fr-FR" w:eastAsia="en-GB"/>
        </w:rPr>
        <w:t xml:space="preserve"> à titre d</w:t>
      </w:r>
      <w:r w:rsidR="00522E3B">
        <w:rPr>
          <w:spacing w:val="-4"/>
          <w:lang w:val="fr-FR" w:eastAsia="en-GB"/>
        </w:rPr>
        <w:t>’</w:t>
      </w:r>
      <w:r w:rsidRPr="00233578">
        <w:rPr>
          <w:spacing w:val="-4"/>
          <w:lang w:val="fr-FR" w:eastAsia="en-GB"/>
        </w:rPr>
        <w:t>information. Le texte authentique, juridiquement contraignant, est celui du document</w:t>
      </w:r>
      <w:r w:rsidRPr="00233578">
        <w:rPr>
          <w:lang w:val="fr-FR" w:eastAsia="en-GB"/>
        </w:rPr>
        <w:t xml:space="preserve"> </w:t>
      </w:r>
      <w:r w:rsidRPr="00233578">
        <w:rPr>
          <w:spacing w:val="-6"/>
          <w:lang w:val="fr-FR" w:eastAsia="en-GB"/>
        </w:rPr>
        <w:t>ECE/TRANS/WP.29/2021/92.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00FDC" wp14:editId="73BD37F2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762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D2EEAC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0FAA5B2" wp14:editId="1AB3764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F22B9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0FD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F46762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D2EEAC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0FAA5B2" wp14:editId="1AB3764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F22B9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058E86" w14:textId="5F57DD8A" w:rsidR="00995A3F" w:rsidRDefault="00995A3F" w:rsidP="00995A3F">
      <w:pPr>
        <w:pStyle w:val="SingleTxtG"/>
        <w:spacing w:after="0"/>
        <w:rPr>
          <w:spacing w:val="-6"/>
          <w:lang w:val="fr-FR" w:eastAsia="en-GB"/>
        </w:rPr>
      </w:pPr>
      <w:r>
        <w:rPr>
          <w:spacing w:val="-6"/>
          <w:lang w:val="fr-FR" w:eastAsia="en-GB"/>
        </w:rPr>
        <w:br w:type="page"/>
      </w:r>
    </w:p>
    <w:p w14:paraId="68E7881F" w14:textId="77777777" w:rsidR="00995A3F" w:rsidRPr="00233578" w:rsidRDefault="00995A3F" w:rsidP="00995A3F">
      <w:pPr>
        <w:pStyle w:val="SingleTxtG"/>
        <w:rPr>
          <w:lang w:val="fr-FR"/>
        </w:rPr>
      </w:pPr>
      <w:r w:rsidRPr="00995A3F">
        <w:rPr>
          <w:i/>
          <w:iCs/>
          <w:lang w:val="fr-FR"/>
        </w:rPr>
        <w:lastRenderedPageBreak/>
        <w:t>Paragraphe 3.2.5</w:t>
      </w:r>
      <w:r w:rsidRPr="00233578">
        <w:rPr>
          <w:lang w:val="fr-FR"/>
        </w:rPr>
        <w:t>, lire :</w:t>
      </w:r>
    </w:p>
    <w:p w14:paraId="155E0048" w14:textId="0B8691F1" w:rsidR="00995A3F" w:rsidRPr="00233578" w:rsidRDefault="00995A3F" w:rsidP="00995A3F">
      <w:pPr>
        <w:pStyle w:val="SingleTxtG"/>
        <w:ind w:left="2268" w:hanging="1134"/>
        <w:rPr>
          <w:lang w:val="fr-FR"/>
        </w:rPr>
      </w:pPr>
      <w:r w:rsidRPr="00233578">
        <w:rPr>
          <w:lang w:val="fr-FR"/>
        </w:rPr>
        <w:t>« 3.2.5</w:t>
      </w:r>
      <w:r w:rsidRPr="00233578">
        <w:rPr>
          <w:lang w:val="fr-FR"/>
        </w:rPr>
        <w:tab/>
        <w:t>La demande d</w:t>
      </w:r>
      <w:r w:rsidR="00522E3B">
        <w:rPr>
          <w:lang w:val="fr-FR"/>
        </w:rPr>
        <w:t>’</w:t>
      </w:r>
      <w:r w:rsidRPr="00233578">
        <w:rPr>
          <w:lang w:val="fr-FR"/>
        </w:rPr>
        <w:t>homologation doit préciser la méthode utilisée pour la définition de la surface apparente (voir par. 2.10.4).</w:t>
      </w:r>
    </w:p>
    <w:p w14:paraId="523D76AA" w14:textId="52AF3FBE" w:rsidR="00995A3F" w:rsidRPr="00233578" w:rsidRDefault="00995A3F" w:rsidP="00995A3F">
      <w:pPr>
        <w:pStyle w:val="SingleTxtG"/>
        <w:ind w:left="2268"/>
        <w:rPr>
          <w:lang w:val="fr-FR"/>
        </w:rPr>
      </w:pPr>
      <w:r w:rsidRPr="00233578">
        <w:rPr>
          <w:lang w:val="fr-FR"/>
        </w:rPr>
        <w:t>La méthode utilisée pour la définition de la surface apparente doit être déclarée pour tous les feux, comme définis au paragraphe 2.5, et renseignée au point 10.2 de l</w:t>
      </w:r>
      <w:r w:rsidR="00522E3B">
        <w:rPr>
          <w:lang w:val="fr-FR"/>
        </w:rPr>
        <w:t>’</w:t>
      </w:r>
      <w:r w:rsidRPr="00233578">
        <w:rPr>
          <w:lang w:val="fr-FR"/>
        </w:rPr>
        <w:t xml:space="preserve">annexe 1. ». </w:t>
      </w:r>
    </w:p>
    <w:p w14:paraId="1AFE2D8E" w14:textId="77777777" w:rsidR="00995A3F" w:rsidRPr="00233578" w:rsidRDefault="00995A3F" w:rsidP="00995A3F">
      <w:pPr>
        <w:pStyle w:val="SingleTxtG"/>
        <w:rPr>
          <w:i/>
          <w:lang w:val="fr-FR"/>
        </w:rPr>
      </w:pPr>
      <w:r w:rsidRPr="00233578">
        <w:rPr>
          <w:i/>
          <w:iCs/>
          <w:lang w:val="fr-FR"/>
        </w:rPr>
        <w:t>Annexe 1, point 10.2</w:t>
      </w:r>
      <w:r w:rsidRPr="00233578">
        <w:rPr>
          <w:lang w:val="fr-FR"/>
        </w:rPr>
        <w:t>, lire :</w:t>
      </w:r>
    </w:p>
    <w:p w14:paraId="2426533D" w14:textId="279CCDFB" w:rsidR="00995A3F" w:rsidRPr="00233578" w:rsidRDefault="00995A3F" w:rsidP="00995A3F">
      <w:pPr>
        <w:pStyle w:val="SingleTxtG"/>
        <w:ind w:left="2268" w:hanging="1134"/>
        <w:rPr>
          <w:lang w:val="fr-FR"/>
        </w:rPr>
      </w:pPr>
      <w:r w:rsidRPr="00233578">
        <w:rPr>
          <w:lang w:val="fr-FR"/>
        </w:rPr>
        <w:t>« 10.2</w:t>
      </w:r>
      <w:r w:rsidRPr="00233578">
        <w:rPr>
          <w:lang w:val="fr-FR"/>
        </w:rPr>
        <w:tab/>
        <w:t>Méthode utilisée pour la définition de la surface apparente :</w:t>
      </w:r>
    </w:p>
    <w:p w14:paraId="6D541CE8" w14:textId="77777777" w:rsidR="00995A3F" w:rsidRPr="00233578" w:rsidRDefault="00995A3F" w:rsidP="00995A3F">
      <w:pPr>
        <w:pStyle w:val="SingleTxtG"/>
        <w:ind w:left="2268"/>
        <w:rPr>
          <w:lang w:val="fr-FR"/>
        </w:rPr>
      </w:pPr>
      <w:r w:rsidRPr="00233578">
        <w:rPr>
          <w:lang w:val="fr-FR"/>
        </w:rPr>
        <w:t>a)</w:t>
      </w:r>
      <w:r w:rsidRPr="00233578">
        <w:rPr>
          <w:lang w:val="fr-FR"/>
        </w:rPr>
        <w:tab/>
        <w:t>Limite de la plage éclairante utilisée pour le ou les feux suivants :</w:t>
      </w:r>
    </w:p>
    <w:p w14:paraId="4EE5D0A3" w14:textId="0ED3D54E" w:rsidR="00995A3F" w:rsidRDefault="00995A3F" w:rsidP="00995A3F">
      <w:pPr>
        <w:pStyle w:val="SingleTxtG"/>
        <w:tabs>
          <w:tab w:val="right" w:leader="dot" w:pos="8505"/>
        </w:tabs>
        <w:ind w:left="2268"/>
        <w:rPr>
          <w:lang w:val="fr-FR"/>
        </w:rPr>
      </w:pPr>
      <w:r w:rsidRPr="00233578">
        <w:rPr>
          <w:lang w:val="fr-FR"/>
        </w:rPr>
        <w:tab/>
      </w:r>
    </w:p>
    <w:p w14:paraId="6FAAD225" w14:textId="2A5C44BA" w:rsidR="00995A3F" w:rsidRDefault="00995A3F" w:rsidP="00995A3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30C557C2" w14:textId="1DC46C32" w:rsidR="00995A3F" w:rsidRPr="00233578" w:rsidRDefault="00995A3F" w:rsidP="00995A3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6D9B7BA0" w14:textId="09C99127" w:rsidR="00995A3F" w:rsidRDefault="00995A3F" w:rsidP="00995A3F">
      <w:pPr>
        <w:pStyle w:val="SingleTxtG"/>
        <w:ind w:left="2268"/>
        <w:rPr>
          <w:lang w:val="fr-FR"/>
        </w:rPr>
      </w:pPr>
      <w:r w:rsidRPr="00233578">
        <w:rPr>
          <w:lang w:val="fr-FR"/>
        </w:rPr>
        <w:t>b)</w:t>
      </w:r>
      <w:r w:rsidRPr="00233578">
        <w:rPr>
          <w:lang w:val="fr-FR"/>
        </w:rPr>
        <w:tab/>
        <w:t>Surface de sortie de la lumière utilisée pour le ou les feux suivants :</w:t>
      </w:r>
    </w:p>
    <w:p w14:paraId="14D236B3" w14:textId="7B812ABE" w:rsidR="00995A3F" w:rsidRDefault="00995A3F" w:rsidP="00995A3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2551B17D" w14:textId="4CC1797F" w:rsidR="00995A3F" w:rsidRDefault="00995A3F" w:rsidP="00995A3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355EE344" w14:textId="14417149" w:rsidR="00995A3F" w:rsidRPr="00233578" w:rsidRDefault="00995A3F" w:rsidP="00995A3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3B26A312" w14:textId="77777777" w:rsidR="00995A3F" w:rsidRPr="00233578" w:rsidRDefault="00995A3F" w:rsidP="00995A3F">
      <w:pPr>
        <w:pStyle w:val="SingleTxtG"/>
        <w:ind w:left="2268"/>
        <w:rPr>
          <w:u w:val="single"/>
          <w:lang w:val="fr-FR"/>
        </w:rPr>
      </w:pPr>
      <w:r w:rsidRPr="00233578">
        <w:rPr>
          <w:lang w:val="fr-FR"/>
        </w:rPr>
        <w:t>».</w:t>
      </w:r>
    </w:p>
    <w:p w14:paraId="48DAEE45" w14:textId="6BFD976D" w:rsidR="00995A3F" w:rsidRPr="00995A3F" w:rsidRDefault="00995A3F" w:rsidP="00995A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5A3F" w:rsidRPr="00995A3F" w:rsidSect="008047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44DE" w14:textId="77777777" w:rsidR="00ED41AD" w:rsidRDefault="00ED41AD"/>
  </w:endnote>
  <w:endnote w:type="continuationSeparator" w:id="0">
    <w:p w14:paraId="369BCEC0" w14:textId="77777777" w:rsidR="00ED41AD" w:rsidRDefault="00ED41AD">
      <w:pPr>
        <w:pStyle w:val="Pieddepage"/>
      </w:pPr>
    </w:p>
  </w:endnote>
  <w:endnote w:type="continuationNotice" w:id="1">
    <w:p w14:paraId="3E3EAAF0" w14:textId="77777777" w:rsidR="00ED41AD" w:rsidRPr="00C451B9" w:rsidRDefault="00ED41A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28B6" w14:textId="77777777" w:rsidR="008047AF" w:rsidRPr="008047AF" w:rsidRDefault="008047AF" w:rsidP="008047AF">
    <w:pPr>
      <w:pStyle w:val="Pieddepage"/>
      <w:tabs>
        <w:tab w:val="right" w:pos="9638"/>
      </w:tabs>
    </w:pPr>
    <w:r w:rsidRPr="008047AF">
      <w:rPr>
        <w:b/>
        <w:sz w:val="18"/>
      </w:rPr>
      <w:fldChar w:fldCharType="begin"/>
    </w:r>
    <w:r w:rsidRPr="008047AF">
      <w:rPr>
        <w:b/>
        <w:sz w:val="18"/>
      </w:rPr>
      <w:instrText xml:space="preserve"> PAGE  \* MERGEFORMAT </w:instrText>
    </w:r>
    <w:r w:rsidRPr="008047AF">
      <w:rPr>
        <w:b/>
        <w:sz w:val="18"/>
      </w:rPr>
      <w:fldChar w:fldCharType="separate"/>
    </w:r>
    <w:r w:rsidRPr="008047AF">
      <w:rPr>
        <w:b/>
        <w:noProof/>
        <w:sz w:val="18"/>
      </w:rPr>
      <w:t>2</w:t>
    </w:r>
    <w:r w:rsidRPr="008047AF">
      <w:rPr>
        <w:b/>
        <w:sz w:val="18"/>
      </w:rPr>
      <w:fldChar w:fldCharType="end"/>
    </w:r>
    <w:r>
      <w:rPr>
        <w:b/>
        <w:sz w:val="18"/>
      </w:rPr>
      <w:tab/>
    </w:r>
    <w:r>
      <w:t>GE.22-14439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B53B" w14:textId="77777777" w:rsidR="008047AF" w:rsidRPr="008047AF" w:rsidRDefault="008047AF" w:rsidP="008047AF">
    <w:pPr>
      <w:pStyle w:val="Pieddepage"/>
      <w:tabs>
        <w:tab w:val="right" w:pos="9638"/>
      </w:tabs>
      <w:rPr>
        <w:b/>
        <w:sz w:val="18"/>
      </w:rPr>
    </w:pPr>
    <w:r>
      <w:t>GE.22-14439</w:t>
    </w:r>
    <w:r>
      <w:tab/>
    </w:r>
    <w:r w:rsidRPr="008047AF">
      <w:rPr>
        <w:b/>
        <w:sz w:val="18"/>
      </w:rPr>
      <w:fldChar w:fldCharType="begin"/>
    </w:r>
    <w:r w:rsidRPr="008047AF">
      <w:rPr>
        <w:b/>
        <w:sz w:val="18"/>
      </w:rPr>
      <w:instrText xml:space="preserve"> PAGE  \* MERGEFORMAT </w:instrText>
    </w:r>
    <w:r w:rsidRPr="008047AF">
      <w:rPr>
        <w:b/>
        <w:sz w:val="18"/>
      </w:rPr>
      <w:fldChar w:fldCharType="separate"/>
    </w:r>
    <w:r w:rsidRPr="008047AF">
      <w:rPr>
        <w:b/>
        <w:noProof/>
        <w:sz w:val="18"/>
      </w:rPr>
      <w:t>3</w:t>
    </w:r>
    <w:r w:rsidRPr="008047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28F3" w14:textId="127A3424" w:rsidR="00467F2C" w:rsidRPr="008047AF" w:rsidRDefault="008047AF" w:rsidP="008047A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AEAB7B4" wp14:editId="49965B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22-14439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3CA823" wp14:editId="5F0B10F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FA4">
      <w:rPr>
        <w:sz w:val="20"/>
      </w:rPr>
      <w:t xml:space="preserve">    190922    200922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6909" w14:textId="77777777" w:rsidR="00ED41AD" w:rsidRPr="00D27D5E" w:rsidRDefault="00ED41A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C7DAAD" w14:textId="77777777" w:rsidR="00ED41AD" w:rsidRPr="00D171D4" w:rsidRDefault="00ED41A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25CA620" w14:textId="77777777" w:rsidR="00ED41AD" w:rsidRPr="00C451B9" w:rsidRDefault="00ED41AD" w:rsidP="00C451B9">
      <w:pPr>
        <w:spacing w:line="240" w:lineRule="auto"/>
        <w:rPr>
          <w:sz w:val="2"/>
          <w:szCs w:val="2"/>
        </w:rPr>
      </w:pPr>
    </w:p>
  </w:footnote>
  <w:footnote w:id="2">
    <w:p w14:paraId="4696D428" w14:textId="055365D2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522E3B">
        <w:t>’</w:t>
      </w:r>
      <w:r w:rsidR="00591072" w:rsidRPr="00591072">
        <w:t>Accord :</w:t>
      </w:r>
    </w:p>
    <w:p w14:paraId="2355E91C" w14:textId="6108B23B" w:rsidR="00591072" w:rsidRPr="00591072" w:rsidRDefault="00591072" w:rsidP="00591072">
      <w:pPr>
        <w:pStyle w:val="Notedebasdepage"/>
      </w:pPr>
      <w:r w:rsidRPr="008047AF">
        <w:tab/>
      </w:r>
      <w:r w:rsidRPr="008047AF">
        <w:tab/>
        <w:t xml:space="preserve">Accord </w:t>
      </w:r>
      <w:r w:rsidRPr="00591072">
        <w:t>concernant l</w:t>
      </w:r>
      <w:r w:rsidR="00522E3B">
        <w:t>’</w:t>
      </w:r>
      <w:r w:rsidRPr="00591072">
        <w:t>adoption de conditions uniformes d</w:t>
      </w:r>
      <w:r w:rsidR="00522E3B">
        <w:t>’</w:t>
      </w:r>
      <w:r w:rsidRPr="00591072">
        <w:t>homologation et la reconnaissance réciproque de l</w:t>
      </w:r>
      <w:r w:rsidR="00522E3B">
        <w:t>’</w:t>
      </w:r>
      <w:r w:rsidRPr="00591072">
        <w:t>homologation des équipements et pièces de véhicules à moteur, en date, à Genève, du 20 mars 1958 (version originale) ;</w:t>
      </w:r>
    </w:p>
    <w:p w14:paraId="789407E0" w14:textId="135F9F66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522E3B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522E3B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CADA" w14:textId="292BFA3D" w:rsidR="008047AF" w:rsidRPr="008047AF" w:rsidRDefault="008047AF">
    <w:pPr>
      <w:pStyle w:val="En-tte"/>
      <w:rPr>
        <w:lang w:val="en-US"/>
      </w:rPr>
    </w:pPr>
    <w:r>
      <w:fldChar w:fldCharType="begin"/>
    </w:r>
    <w:r w:rsidRPr="008047AF">
      <w:rPr>
        <w:lang w:val="en-US"/>
      </w:rPr>
      <w:instrText xml:space="preserve"> TITLE  \* MERGEFORMAT </w:instrText>
    </w:r>
    <w:r>
      <w:fldChar w:fldCharType="separate"/>
    </w:r>
    <w:r w:rsidR="00AB6B65">
      <w:rPr>
        <w:lang w:val="en-US"/>
      </w:rPr>
      <w:t>E/ECE/324/Rev.1/Add.47/Rev.11/Amend.9</w:t>
    </w:r>
    <w:r>
      <w:fldChar w:fldCharType="end"/>
    </w:r>
    <w:r w:rsidRPr="008047AF">
      <w:rPr>
        <w:lang w:val="en-US"/>
      </w:rPr>
      <w:br/>
    </w:r>
    <w:r>
      <w:fldChar w:fldCharType="begin"/>
    </w:r>
    <w:r w:rsidRPr="008047AF">
      <w:rPr>
        <w:lang w:val="en-US"/>
      </w:rPr>
      <w:instrText xml:space="preserve"> KEYWORDS  \* MERGEFORMAT </w:instrText>
    </w:r>
    <w:r>
      <w:fldChar w:fldCharType="separate"/>
    </w:r>
    <w:r w:rsidR="00AB6B65">
      <w:rPr>
        <w:lang w:val="en-US"/>
      </w:rPr>
      <w:t>E/ECE/TRANS/505/Rev.1/Add.47/Rev.11/Amend.9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67BC" w14:textId="0490DD60" w:rsidR="008047AF" w:rsidRPr="008047AF" w:rsidRDefault="008047AF" w:rsidP="008047AF">
    <w:pPr>
      <w:pStyle w:val="En-tte"/>
      <w:jc w:val="right"/>
      <w:rPr>
        <w:lang w:val="en-US"/>
      </w:rPr>
    </w:pPr>
    <w:r>
      <w:fldChar w:fldCharType="begin"/>
    </w:r>
    <w:r w:rsidRPr="008047AF">
      <w:rPr>
        <w:lang w:val="en-US"/>
      </w:rPr>
      <w:instrText xml:space="preserve"> TITLE  \* MERGEFORMAT </w:instrText>
    </w:r>
    <w:r>
      <w:fldChar w:fldCharType="separate"/>
    </w:r>
    <w:r w:rsidR="00AB6B65">
      <w:rPr>
        <w:lang w:val="en-US"/>
      </w:rPr>
      <w:t>E/ECE/324/Rev.1/Add.47/Rev.11/Amend.9</w:t>
    </w:r>
    <w:r>
      <w:fldChar w:fldCharType="end"/>
    </w:r>
    <w:r w:rsidRPr="008047AF">
      <w:rPr>
        <w:lang w:val="en-US"/>
      </w:rPr>
      <w:br/>
    </w:r>
    <w:r>
      <w:fldChar w:fldCharType="begin"/>
    </w:r>
    <w:r w:rsidRPr="008047AF">
      <w:rPr>
        <w:lang w:val="en-US"/>
      </w:rPr>
      <w:instrText xml:space="preserve"> KEYWORDS  \* MERGEFORMAT </w:instrText>
    </w:r>
    <w:r>
      <w:fldChar w:fldCharType="separate"/>
    </w:r>
    <w:r w:rsidR="00AB6B65">
      <w:rPr>
        <w:lang w:val="en-US"/>
      </w:rPr>
      <w:t>E/ECE/TRANS/505/Rev.1/Add.47/Rev.11/Amend.9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50391089">
    <w:abstractNumId w:val="2"/>
  </w:num>
  <w:num w:numId="2" w16cid:durableId="1863739031">
    <w:abstractNumId w:val="1"/>
  </w:num>
  <w:num w:numId="3" w16cid:durableId="957763463">
    <w:abstractNumId w:val="0"/>
  </w:num>
  <w:num w:numId="4" w16cid:durableId="1886405666">
    <w:abstractNumId w:val="2"/>
  </w:num>
  <w:num w:numId="5" w16cid:durableId="333654366">
    <w:abstractNumId w:val="1"/>
  </w:num>
  <w:num w:numId="6" w16cid:durableId="19508937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2567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2E3B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047AF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598A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5A3F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B6B65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6FA4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D41AD"/>
    <w:rsid w:val="00ED54F1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4F27A5"/>
  <w15:docId w15:val="{DE024547-0E99-4A15-A3D0-DCAED62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212</Words>
  <Characters>1381</Characters>
  <Application>Microsoft Office Word</Application>
  <DocSecurity>0</DocSecurity>
  <Lines>138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E/ECE/324/Rev.1/Add.47/Rev.11/Amend.9</vt:lpstr>
    </vt:vector>
  </TitlesOfParts>
  <Company>CSD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E/ECE/324/Rev.1/Add.47/Rev.11/Amend.9</dc:title>
  <dc:creator>Julien OKRZESIK</dc:creator>
  <cp:keywords>E/ECE/TRANS/505/Rev.1/Add.47/Rev.11/Amend.9</cp:keywords>
  <cp:lastModifiedBy>Julien Okrzesik</cp:lastModifiedBy>
  <cp:revision>3</cp:revision>
  <cp:lastPrinted>2022-09-20T08:14:00Z</cp:lastPrinted>
  <dcterms:created xsi:type="dcterms:W3CDTF">2022-09-20T08:13:00Z</dcterms:created>
  <dcterms:modified xsi:type="dcterms:W3CDTF">2022-09-20T08:15:00Z</dcterms:modified>
</cp:coreProperties>
</file>