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BC96E04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7ED6E8C0" w14:textId="77777777" w:rsidR="002D5AAC" w:rsidRDefault="002D5AAC" w:rsidP="001A62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5AC1872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06328949" w14:textId="04DFB478" w:rsidR="002D5AAC" w:rsidRDefault="001A621A" w:rsidP="001A621A">
            <w:pPr>
              <w:jc w:val="right"/>
            </w:pPr>
            <w:r w:rsidRPr="001A621A">
              <w:rPr>
                <w:sz w:val="40"/>
              </w:rPr>
              <w:t>ECE</w:t>
            </w:r>
            <w:r>
              <w:t>/TRANS/WP.29/2022/134</w:t>
            </w:r>
          </w:p>
        </w:tc>
      </w:tr>
      <w:tr w:rsidR="002D5AAC" w14:paraId="5C79FD9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8E67A4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476BD2D" wp14:editId="5A44194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72AF6C3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3DA2EFD" w14:textId="77777777" w:rsidR="002D5AAC" w:rsidRDefault="001A621A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D883BE5" w14:textId="77777777" w:rsidR="001A621A" w:rsidRDefault="001A621A" w:rsidP="001A621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31 August 2022</w:t>
            </w:r>
          </w:p>
          <w:p w14:paraId="6D47346A" w14:textId="77777777" w:rsidR="001A621A" w:rsidRDefault="001A621A" w:rsidP="001A621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6497E2A" w14:textId="65114D62" w:rsidR="001A621A" w:rsidRPr="008D53B6" w:rsidRDefault="001A621A" w:rsidP="001A621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4F02EFCF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E0F741C" w14:textId="77777777" w:rsidR="001A621A" w:rsidRPr="001A621A" w:rsidRDefault="001A621A" w:rsidP="001A621A">
      <w:pPr>
        <w:spacing w:before="120"/>
        <w:rPr>
          <w:rFonts w:asciiTheme="majorBidi" w:hAnsiTheme="majorBidi" w:cstheme="majorBidi"/>
          <w:sz w:val="28"/>
          <w:szCs w:val="28"/>
        </w:rPr>
      </w:pPr>
      <w:r w:rsidRPr="001A621A">
        <w:rPr>
          <w:sz w:val="28"/>
          <w:szCs w:val="28"/>
        </w:rPr>
        <w:t>Комитет по внутреннему транспорту</w:t>
      </w:r>
    </w:p>
    <w:p w14:paraId="61E64BA8" w14:textId="258EE089" w:rsidR="001A621A" w:rsidRPr="001A621A" w:rsidRDefault="001A621A" w:rsidP="001A621A">
      <w:pPr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1A621A">
        <w:rPr>
          <w:b/>
          <w:bCs/>
          <w:sz w:val="24"/>
          <w:szCs w:val="24"/>
        </w:rPr>
        <w:t>Всемирный форум для согласования правил</w:t>
      </w:r>
      <w:r w:rsidRPr="001A621A">
        <w:rPr>
          <w:b/>
          <w:bCs/>
          <w:sz w:val="24"/>
          <w:szCs w:val="24"/>
        </w:rPr>
        <w:br/>
      </w:r>
      <w:r w:rsidRPr="001A621A">
        <w:rPr>
          <w:b/>
          <w:bCs/>
          <w:sz w:val="24"/>
          <w:szCs w:val="24"/>
        </w:rPr>
        <w:t>в области транспортных средств</w:t>
      </w:r>
    </w:p>
    <w:p w14:paraId="5AF1650A" w14:textId="77777777" w:rsidR="001A621A" w:rsidRPr="00026125" w:rsidRDefault="001A621A" w:rsidP="001A621A">
      <w:pPr>
        <w:tabs>
          <w:tab w:val="center" w:pos="4819"/>
        </w:tabs>
        <w:spacing w:before="120"/>
        <w:rPr>
          <w:b/>
        </w:rPr>
      </w:pPr>
      <w:r>
        <w:rPr>
          <w:b/>
          <w:bCs/>
        </w:rPr>
        <w:t>Сто восемьдесят восьмая сессия</w:t>
      </w:r>
    </w:p>
    <w:p w14:paraId="79BE17E1" w14:textId="77777777" w:rsidR="001A621A" w:rsidRPr="00026125" w:rsidRDefault="001A621A" w:rsidP="001A621A">
      <w:r>
        <w:t>Женева, 14</w:t>
      </w:r>
      <w:r w:rsidRPr="00026125">
        <w:t>–</w:t>
      </w:r>
      <w:r>
        <w:t>16 ноября 2022 года</w:t>
      </w:r>
    </w:p>
    <w:p w14:paraId="0CA71E7C" w14:textId="77777777" w:rsidR="001A621A" w:rsidRPr="00026125" w:rsidRDefault="001A621A" w:rsidP="001A621A">
      <w:r>
        <w:t xml:space="preserve">Пункт 4.9.2 предварительной повестки дня </w:t>
      </w:r>
    </w:p>
    <w:p w14:paraId="02492563" w14:textId="7D84110A" w:rsidR="001A621A" w:rsidRPr="00026125" w:rsidRDefault="001A621A" w:rsidP="001A621A">
      <w:pPr>
        <w:rPr>
          <w:b/>
          <w:bCs/>
        </w:rPr>
      </w:pPr>
      <w:r>
        <w:rPr>
          <w:b/>
          <w:bCs/>
        </w:rPr>
        <w:t>Соглашение 1958 года:</w:t>
      </w:r>
      <w:r>
        <w:rPr>
          <w:b/>
          <w:bCs/>
        </w:rPr>
        <w:br/>
        <w:t>Рассмотрение проектов поправок к существующим</w:t>
      </w:r>
      <w:r>
        <w:rPr>
          <w:b/>
          <w:bCs/>
        </w:rPr>
        <w:br/>
      </w:r>
      <w:r>
        <w:rPr>
          <w:b/>
          <w:bCs/>
        </w:rPr>
        <w:t>правилам ООН, представленных GRPE</w:t>
      </w:r>
    </w:p>
    <w:p w14:paraId="4B2BEC21" w14:textId="77777777" w:rsidR="001A621A" w:rsidRPr="00026125" w:rsidRDefault="001A621A" w:rsidP="001A621A">
      <w:pPr>
        <w:pStyle w:val="HChG"/>
      </w:pPr>
      <w:r>
        <w:tab/>
      </w:r>
      <w:r>
        <w:tab/>
      </w:r>
      <w:r>
        <w:tab/>
      </w:r>
      <w:r>
        <w:rPr>
          <w:bCs/>
        </w:rPr>
        <w:t>Предложение по дополнению 16 к поправкам серии 05 к Правилам № 83 ООН (выбросы загрязняющих веществ транспортными средствами категорий M</w:t>
      </w:r>
      <w:r>
        <w:rPr>
          <w:bCs/>
          <w:vertAlign w:val="subscript"/>
        </w:rPr>
        <w:t>1</w:t>
      </w:r>
      <w:r>
        <w:rPr>
          <w:bCs/>
        </w:rPr>
        <w:t xml:space="preserve"> и N</w:t>
      </w:r>
      <w:r>
        <w:rPr>
          <w:bCs/>
          <w:vertAlign w:val="subscript"/>
        </w:rPr>
        <w:t>1</w:t>
      </w:r>
      <w:r>
        <w:rPr>
          <w:bCs/>
        </w:rPr>
        <w:t>)</w:t>
      </w:r>
    </w:p>
    <w:p w14:paraId="6F0E8B6C" w14:textId="0A04BCDB" w:rsidR="001A621A" w:rsidRPr="00026125" w:rsidRDefault="001A621A" w:rsidP="001A621A">
      <w:pPr>
        <w:pStyle w:val="H1G"/>
      </w:pPr>
      <w:r>
        <w:tab/>
      </w:r>
      <w:r>
        <w:tab/>
      </w:r>
      <w:r>
        <w:rPr>
          <w:bCs/>
        </w:rPr>
        <w:t>Представлено Рабочей группой по проблемам энергии и</w:t>
      </w:r>
      <w:r>
        <w:rPr>
          <w:bCs/>
          <w:lang w:val="en-US"/>
        </w:rPr>
        <w:t> </w:t>
      </w:r>
      <w:r>
        <w:rPr>
          <w:bCs/>
        </w:rPr>
        <w:t>загрязнения окружающей среды</w:t>
      </w:r>
      <w:r w:rsidRPr="003E578B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>
        <w:t xml:space="preserve"> </w:t>
      </w:r>
    </w:p>
    <w:p w14:paraId="1C07B27C" w14:textId="77777777" w:rsidR="001A621A" w:rsidRPr="00026125" w:rsidRDefault="001A621A" w:rsidP="001A621A">
      <w:pPr>
        <w:pStyle w:val="SingleTxtG"/>
        <w:ind w:firstLine="567"/>
        <w:rPr>
          <w:szCs w:val="24"/>
        </w:rPr>
      </w:pPr>
      <w:r>
        <w:t>Воспроизведенный ниже текст был принят Рабочей группой по проблемам энергии и загрязнения окружающей среды (GRPE) на ее восемьдесят шестой сессии (ECE/TRANS/WP.29/GRSP/86, пункт 21). В его основу положены документы ECE/TRANS/WP.29/GRPE/2022/10, ECE/TRANS/WP.29/GRPE/2022/13 и GRPE-86-12 с поправками, изложенными в приложении IV к докладу.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2022 года.</w:t>
      </w:r>
    </w:p>
    <w:p w14:paraId="6E570973" w14:textId="77777777" w:rsidR="001A621A" w:rsidRDefault="001A621A" w:rsidP="001A621A">
      <w:pPr>
        <w:pStyle w:val="SingleTxtG"/>
        <w:ind w:firstLine="425"/>
      </w:pPr>
    </w:p>
    <w:p w14:paraId="1C1268C8" w14:textId="77777777" w:rsidR="001A621A" w:rsidRDefault="001A621A" w:rsidP="001A621A">
      <w:pPr>
        <w:suppressAutoHyphens w:val="0"/>
        <w:spacing w:line="240" w:lineRule="auto"/>
      </w:pPr>
      <w:r>
        <w:br w:type="page"/>
      </w:r>
    </w:p>
    <w:p w14:paraId="094A78A2" w14:textId="77777777" w:rsidR="001A621A" w:rsidRPr="00026125" w:rsidRDefault="001A621A" w:rsidP="001A621A">
      <w:pPr>
        <w:spacing w:after="120"/>
        <w:ind w:left="1134" w:right="1134"/>
        <w:rPr>
          <w:rFonts w:eastAsia="MS Mincho"/>
          <w:i/>
        </w:rPr>
      </w:pPr>
      <w:r>
        <w:rPr>
          <w:i/>
          <w:iCs/>
        </w:rPr>
        <w:lastRenderedPageBreak/>
        <w:t>Добавление 2, пункт 6</w:t>
      </w:r>
      <w:r>
        <w:t xml:space="preserve"> изменить следующим образом:</w:t>
      </w:r>
    </w:p>
    <w:p w14:paraId="09028644" w14:textId="77777777" w:rsidR="001A621A" w:rsidRPr="00026125" w:rsidRDefault="001A621A" w:rsidP="001A621A">
      <w:pPr>
        <w:adjustRightInd w:val="0"/>
        <w:spacing w:after="120"/>
        <w:ind w:left="2268" w:right="1134" w:hanging="1134"/>
        <w:jc w:val="both"/>
        <w:rPr>
          <w:rFonts w:eastAsia="MS Mincho"/>
        </w:rPr>
      </w:pPr>
      <w:r>
        <w:t xml:space="preserve">"6. </w:t>
      </w:r>
      <w:r>
        <w:tab/>
        <w:t>Замечания</w:t>
      </w:r>
    </w:p>
    <w:p w14:paraId="40E5A702" w14:textId="77777777" w:rsidR="001A621A" w:rsidRPr="00026125" w:rsidRDefault="001A621A" w:rsidP="001A621A">
      <w:pPr>
        <w:adjustRightInd w:val="0"/>
        <w:spacing w:after="120"/>
        <w:ind w:left="2268" w:right="1134"/>
        <w:jc w:val="both"/>
      </w:pPr>
      <w:r>
        <w:t>Для расчета последовательных статистических результатов испытаний можно использовать следующие рекуррентные формулы:</w:t>
      </w:r>
    </w:p>
    <w:p w14:paraId="4544DC6E" w14:textId="77777777" w:rsidR="001A621A" w:rsidRPr="00D7577D" w:rsidRDefault="001A621A" w:rsidP="001A621A">
      <w:pPr>
        <w:adjustRightInd w:val="0"/>
        <w:spacing w:after="120"/>
        <w:ind w:left="2268" w:right="1134"/>
        <w:jc w:val="both"/>
        <w:rPr>
          <w:bCs/>
          <w:lang w:eastAsia="fr-FR"/>
        </w:rPr>
      </w:pPr>
      <m:oMathPara>
        <m:oMath>
          <m:sSub>
            <m:sSub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S Mincho" w:hAnsi="Cambria Math"/>
                      <w:i/>
                      <w:lang w:eastAsia="fr-FR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eastAsia="fr-FR"/>
                    </w:rPr>
                    <m:t>d</m:t>
                  </m:r>
                </m:e>
              </m:acc>
            </m:e>
            <m:sub>
              <m:r>
                <w:rPr>
                  <w:rFonts w:ascii="Cambria Math" w:eastAsia="MS Mincho" w:hAnsi="Cambria Math"/>
                  <w:lang w:eastAsia="fr-FR"/>
                </w:rPr>
                <m:t>n</m:t>
              </m:r>
            </m:sub>
          </m:sSub>
          <m:r>
            <w:rPr>
              <w:rFonts w:ascii="Cambria Math" w:eastAsia="MS Mincho" w:hAnsi="Cambria Math"/>
              <w:lang w:eastAsia="fr-FR"/>
            </w:rPr>
            <m:t>=</m:t>
          </m:r>
          <m:d>
            <m:d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dPr>
            <m:e>
              <m:r>
                <w:rPr>
                  <w:rFonts w:ascii="Cambria Math" w:eastAsia="MS Mincho" w:hAnsi="Cambria Math"/>
                  <w:lang w:eastAsia="fr-FR"/>
                </w:rPr>
                <m:t>1-</m:t>
              </m:r>
              <m:f>
                <m:fPr>
                  <m:ctrlPr>
                    <w:rPr>
                      <w:rFonts w:ascii="Cambria Math" w:eastAsia="MS Mincho" w:hAnsi="Cambria Math"/>
                      <w:i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MS Mincho" w:hAnsi="Cambria Math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eastAsia="MS Mincho" w:hAnsi="Cambria Math"/>
                      <w:lang w:eastAsia="fr-FR"/>
                    </w:rPr>
                    <m:t>n</m:t>
                  </m:r>
                </m:den>
              </m:f>
            </m:e>
          </m:d>
          <m:sSub>
            <m:sSub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MS Mincho" w:hAnsi="Cambria Math"/>
                      <w:i/>
                      <w:lang w:eastAsia="fr-FR"/>
                    </w:rPr>
                  </m:ctrlPr>
                </m:accPr>
                <m:e>
                  <m:r>
                    <w:rPr>
                      <w:rFonts w:ascii="Cambria Math" w:eastAsia="MS Mincho" w:hAnsi="Cambria Math"/>
                      <w:lang w:eastAsia="fr-FR"/>
                    </w:rPr>
                    <m:t>d</m:t>
                  </m:r>
                </m:e>
              </m:acc>
            </m:e>
            <m:sub>
              <m:r>
                <w:rPr>
                  <w:rFonts w:ascii="Cambria Math" w:eastAsia="MS Mincho" w:hAnsi="Cambria Math"/>
                  <w:lang w:eastAsia="fr-FR"/>
                </w:rPr>
                <m:t>n-1</m:t>
              </m:r>
            </m:sub>
          </m:sSub>
          <m:r>
            <w:rPr>
              <w:rFonts w:ascii="Cambria Math" w:eastAsia="MS Mincho" w:hAnsi="Cambria Math"/>
              <w:lang w:eastAsia="fr-FR"/>
            </w:rPr>
            <m:t>+</m:t>
          </m:r>
          <m:f>
            <m:f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fPr>
            <m:num>
              <m:r>
                <w:rPr>
                  <w:rFonts w:ascii="Cambria Math" w:eastAsia="MS Mincho" w:hAnsi="Cambria Math"/>
                  <w:lang w:eastAsia="fr-FR"/>
                </w:rPr>
                <m:t>1</m:t>
              </m:r>
            </m:num>
            <m:den>
              <m:r>
                <w:rPr>
                  <w:rFonts w:ascii="Cambria Math" w:eastAsia="MS Mincho" w:hAnsi="Cambria Math"/>
                  <w:lang w:eastAsia="fr-FR"/>
                </w:rPr>
                <m:t>n</m:t>
              </m:r>
            </m:den>
          </m:f>
          <m:sSub>
            <m:sSubPr>
              <m:ctrlPr>
                <w:rPr>
                  <w:rFonts w:ascii="Cambria Math" w:eastAsia="MS Mincho" w:hAnsi="Cambria Math"/>
                  <w:i/>
                  <w:lang w:eastAsia="fr-FR"/>
                </w:rPr>
              </m:ctrlPr>
            </m:sSubPr>
            <m:e>
              <m:r>
                <w:rPr>
                  <w:rFonts w:ascii="Cambria Math" w:eastAsia="MS Mincho" w:hAnsi="Cambria Math"/>
                  <w:lang w:eastAsia="fr-FR"/>
                </w:rPr>
                <m:t>d</m:t>
              </m:r>
            </m:e>
            <m:sub>
              <m:r>
                <w:rPr>
                  <w:rFonts w:ascii="Cambria Math" w:eastAsia="MS Mincho" w:hAnsi="Cambria Math"/>
                  <w:lang w:eastAsia="fr-FR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MS Mincho" w:hAnsi="Cambria Math"/>
              <w:lang w:eastAsia="fr-FR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bCs/>
                  <w:i/>
                  <w:lang w:eastAsia="fr-FR"/>
                </w:rPr>
              </m:ctrlPr>
            </m:sSubSupPr>
            <m:e>
              <m:r>
                <w:rPr>
                  <w:rFonts w:ascii="Cambria Math" w:hAnsi="Cambria Math"/>
                  <w:lang w:eastAsia="fr-FR"/>
                </w:rPr>
                <m:t>V</m:t>
              </m:r>
            </m:e>
            <m:sub>
              <m:r>
                <w:rPr>
                  <w:rFonts w:ascii="Cambria Math" w:hAnsi="Cambria Math"/>
                  <w:lang w:eastAsia="fr-FR"/>
                </w:rPr>
                <m:t>n</m:t>
              </m:r>
            </m:sub>
            <m:sup>
              <m:r>
                <w:rPr>
                  <w:rFonts w:ascii="Cambria Math" w:hAnsi="Cambria Math"/>
                  <w:lang w:eastAsia="fr-FR"/>
                </w:rPr>
                <m:t>2</m:t>
              </m:r>
            </m:sup>
          </m:sSubSup>
          <m:r>
            <w:rPr>
              <w:rFonts w:ascii="Cambria Math" w:hAnsi="Cambria Math"/>
              <w:lang w:eastAsia="fr-FR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lang w:eastAsia="fr-FR"/>
                </w:rPr>
              </m:ctrlPr>
            </m:dPr>
            <m:e>
              <m:r>
                <w:rPr>
                  <w:rFonts w:ascii="Cambria Math" w:hAnsi="Cambria Math"/>
                  <w:lang w:eastAsia="fr-FR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eastAsia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fr-FR"/>
                    </w:rPr>
                    <m:t>n</m:t>
                  </m:r>
                </m:den>
              </m:f>
            </m:e>
          </m:d>
          <m:sSubSup>
            <m:sSubSupPr>
              <m:ctrlPr>
                <w:rPr>
                  <w:rFonts w:ascii="Cambria Math" w:hAnsi="Cambria Math"/>
                  <w:bCs/>
                  <w:i/>
                  <w:lang w:eastAsia="fr-FR"/>
                </w:rPr>
              </m:ctrlPr>
            </m:sSubSupPr>
            <m:e>
              <m:r>
                <w:rPr>
                  <w:rFonts w:ascii="Cambria Math" w:hAnsi="Cambria Math"/>
                  <w:lang w:eastAsia="fr-FR"/>
                </w:rPr>
                <m:t>V</m:t>
              </m:r>
            </m:e>
            <m:sub>
              <m:r>
                <w:rPr>
                  <w:rFonts w:ascii="Cambria Math" w:hAnsi="Cambria Math"/>
                  <w:lang w:eastAsia="fr-FR"/>
                </w:rPr>
                <m:t>n-1</m:t>
              </m:r>
            </m:sub>
            <m:sup>
              <m:r>
                <w:rPr>
                  <w:rFonts w:ascii="Cambria Math" w:hAnsi="Cambria Math"/>
                  <w:lang w:eastAsia="fr-FR"/>
                </w:rPr>
                <m:t>2</m:t>
              </m:r>
            </m:sup>
          </m:sSubSup>
          <m:r>
            <w:rPr>
              <w:rFonts w:ascii="Cambria Math" w:hAnsi="Cambria Math"/>
              <w:lang w:eastAsia="fr-FR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lang w:eastAsia="fr-F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eastAsia="fr-FR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eastAsia="fr-FR"/>
                                </w:rPr>
                                <m:t>d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eastAsia="fr-FR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fr-F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eastAsia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fr-FR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fr-FR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eastAsia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fr-FR"/>
                </w:rPr>
                <m:t>n-1</m:t>
              </m:r>
            </m:den>
          </m:f>
        </m:oMath>
      </m:oMathPara>
    </w:p>
    <w:p w14:paraId="7DC94698" w14:textId="77777777" w:rsidR="001A621A" w:rsidRPr="00154A08" w:rsidRDefault="001A621A" w:rsidP="001A621A">
      <w:pPr>
        <w:adjustRightInd w:val="0"/>
        <w:spacing w:after="120"/>
        <w:ind w:left="2268" w:right="1134"/>
        <w:jc w:val="both"/>
        <w:rPr>
          <w:lang w:eastAsia="fr-FR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eastAsia="fr-FR"/>
                </w:rPr>
              </m:ctrlPr>
            </m:dPr>
            <m:e>
              <m:r>
                <w:rPr>
                  <w:rFonts w:ascii="Cambria Math" w:hAnsi="Cambria Math"/>
                  <w:lang w:eastAsia="fr-FR"/>
                </w:rPr>
                <m:t xml:space="preserve">n=2, 3, …; 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eastAsia="fr-FR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fr-F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fr-F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fr-FR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fr-FR"/>
                </w:rPr>
                <m:t>=0</m:t>
              </m:r>
            </m:e>
          </m:d>
        </m:oMath>
      </m:oMathPara>
    </w:p>
    <w:p w14:paraId="2DA61EDE" w14:textId="77777777" w:rsidR="001A621A" w:rsidRPr="001A621A" w:rsidRDefault="001A621A" w:rsidP="001A621A">
      <w:pPr>
        <w:adjustRightInd w:val="0"/>
        <w:spacing w:after="120"/>
        <w:ind w:left="2268" w:right="1134"/>
        <w:jc w:val="both"/>
      </w:pPr>
      <w:r>
        <w:t>..."</w:t>
      </w:r>
    </w:p>
    <w:p w14:paraId="58FB08FB" w14:textId="77777777" w:rsidR="001A621A" w:rsidRPr="00026125" w:rsidRDefault="001A621A" w:rsidP="001A621A">
      <w:pPr>
        <w:adjustRightInd w:val="0"/>
        <w:spacing w:after="120"/>
        <w:ind w:left="1134" w:right="1134"/>
        <w:jc w:val="both"/>
        <w:rPr>
          <w:rFonts w:eastAsia="MS Mincho"/>
          <w:bCs/>
          <w:i/>
          <w:iCs/>
        </w:rPr>
      </w:pPr>
      <w:r>
        <w:rPr>
          <w:i/>
          <w:iCs/>
        </w:rPr>
        <w:t>Приложение 4a</w:t>
      </w:r>
    </w:p>
    <w:p w14:paraId="31947953" w14:textId="77777777" w:rsidR="001A621A" w:rsidRPr="00BF7C48" w:rsidRDefault="001A621A" w:rsidP="001A621A">
      <w:pPr>
        <w:adjustRightInd w:val="0"/>
        <w:spacing w:after="120"/>
        <w:ind w:left="1134" w:right="1134"/>
        <w:jc w:val="both"/>
      </w:pPr>
      <w:r w:rsidRPr="00BF7C48">
        <w:t>Добавление 1, пункт 1</w:t>
      </w:r>
      <w:r>
        <w:t xml:space="preserve"> изменить следующим образом:</w:t>
      </w:r>
    </w:p>
    <w:p w14:paraId="27FF2D76" w14:textId="77777777" w:rsidR="001A621A" w:rsidRPr="00BF7C48" w:rsidRDefault="001A621A" w:rsidP="001A621A">
      <w:pPr>
        <w:pStyle w:val="af3"/>
        <w:adjustRightInd w:val="0"/>
        <w:spacing w:after="120"/>
        <w:ind w:left="2268" w:right="1134" w:hanging="1134"/>
        <w:rPr>
          <w:rFonts w:ascii="Times New Roman" w:hAnsi="Times New Roman"/>
          <w:sz w:val="20"/>
          <w:szCs w:val="20"/>
          <w:lang w:val="ru-RU" w:eastAsia="en-US"/>
        </w:rPr>
      </w:pPr>
      <w:r w:rsidRPr="00BF7C48">
        <w:rPr>
          <w:rFonts w:ascii="Times New Roman" w:hAnsi="Times New Roman"/>
          <w:sz w:val="20"/>
          <w:szCs w:val="20"/>
          <w:lang w:val="ru-RU" w:eastAsia="en-US"/>
        </w:rPr>
        <w:t>"1.</w:t>
      </w:r>
      <w:r w:rsidRPr="00BF7C48">
        <w:rPr>
          <w:rFonts w:ascii="Times New Roman" w:hAnsi="Times New Roman"/>
          <w:sz w:val="20"/>
          <w:szCs w:val="20"/>
          <w:lang w:val="ru-RU" w:eastAsia="en-US"/>
        </w:rPr>
        <w:tab/>
        <w:t>Технические требования</w:t>
      </w:r>
    </w:p>
    <w:p w14:paraId="037FC636" w14:textId="77777777" w:rsidR="001A621A" w:rsidRPr="00BF7C48" w:rsidRDefault="001A621A" w:rsidP="001A621A">
      <w:pPr>
        <w:pStyle w:val="Default"/>
        <w:spacing w:after="120"/>
        <w:ind w:left="2268" w:right="1134" w:hanging="1134"/>
        <w:jc w:val="both"/>
        <w:rPr>
          <w:rFonts w:eastAsia="Times New Roman"/>
          <w:color w:val="auto"/>
          <w:sz w:val="20"/>
          <w:szCs w:val="20"/>
          <w:lang w:val="ru-RU" w:eastAsia="en-US"/>
        </w:rPr>
      </w:pPr>
      <w:r w:rsidRPr="00BF7C48">
        <w:rPr>
          <w:rFonts w:eastAsia="Times New Roman"/>
          <w:color w:val="auto"/>
          <w:sz w:val="20"/>
          <w:szCs w:val="20"/>
          <w:lang w:val="ru-RU" w:eastAsia="en-US"/>
        </w:rPr>
        <w:t>1.1</w:t>
      </w:r>
      <w:r w:rsidRPr="00BF7C48">
        <w:rPr>
          <w:rFonts w:eastAsia="Times New Roman"/>
          <w:color w:val="auto"/>
          <w:sz w:val="20"/>
          <w:szCs w:val="20"/>
          <w:lang w:val="ru-RU" w:eastAsia="en-US"/>
        </w:rPr>
        <w:tab/>
        <w:t>Общие предписания</w:t>
      </w:r>
    </w:p>
    <w:p w14:paraId="57E3BDE3" w14:textId="77777777" w:rsidR="001A621A" w:rsidRPr="00026125" w:rsidRDefault="001A621A" w:rsidP="001A621A">
      <w:pPr>
        <w:spacing w:after="120"/>
        <w:ind w:leftChars="1134" w:left="2268" w:right="1110"/>
        <w:jc w:val="both"/>
        <w:rPr>
          <w:rFonts w:eastAsia="MS PGothic"/>
          <w:color w:val="000000"/>
        </w:rPr>
      </w:pPr>
      <w:r>
        <w:t>В случае испытательного и измерительного оборудования, отвечающего техническим требованиям Правил № 154 ООН в их первоначальном варианте или их более позднего варианта, могут применяться требования в отношении технического оборудования, предусмотренные в Правилах</w:t>
      </w:r>
      <w:r>
        <w:rPr>
          <w:lang w:val="en-US"/>
        </w:rPr>
        <w:t> </w:t>
      </w:r>
      <w:r>
        <w:t>№ 154 ООН; во всех других случаях должны применяться нижеследующие требования.</w:t>
      </w:r>
    </w:p>
    <w:p w14:paraId="56F8971D" w14:textId="77777777" w:rsidR="001A621A" w:rsidRPr="00026125" w:rsidRDefault="001A621A" w:rsidP="001A621A">
      <w:pPr>
        <w:adjustRightInd w:val="0"/>
        <w:spacing w:after="120"/>
        <w:ind w:left="2268" w:right="1110" w:hanging="1134"/>
        <w:jc w:val="both"/>
        <w:rPr>
          <w:rFonts w:eastAsia="MS Mincho"/>
        </w:rPr>
      </w:pPr>
      <w:r>
        <w:t>1.1.1</w:t>
      </w:r>
      <w:r>
        <w:tab/>
        <w:t xml:space="preserve">Динамометр должен имитировать дорожную нагрузку и относиться к одному из следующих </w:t>
      </w:r>
      <w:proofErr w:type="gramStart"/>
      <w:r>
        <w:t>типов:...</w:t>
      </w:r>
      <w:proofErr w:type="gramEnd"/>
      <w:r>
        <w:t>».</w:t>
      </w:r>
    </w:p>
    <w:p w14:paraId="19CA11B9" w14:textId="77777777" w:rsidR="001A621A" w:rsidRPr="00026125" w:rsidRDefault="001A621A" w:rsidP="001A621A">
      <w:pPr>
        <w:adjustRightInd w:val="0"/>
        <w:spacing w:after="120"/>
        <w:ind w:left="1134" w:right="1134"/>
        <w:jc w:val="both"/>
        <w:rPr>
          <w:rFonts w:eastAsia="MS Mincho"/>
          <w:bCs/>
        </w:rPr>
      </w:pPr>
      <w:r>
        <w:rPr>
          <w:i/>
          <w:iCs/>
        </w:rPr>
        <w:t>Добавление 2, пункт 1.2</w:t>
      </w:r>
      <w:r>
        <w:t xml:space="preserve"> изменить следующим образом:</w:t>
      </w:r>
    </w:p>
    <w:p w14:paraId="7816A60B" w14:textId="77777777" w:rsidR="001A621A" w:rsidRPr="00BF7C48" w:rsidRDefault="001A621A" w:rsidP="001A621A">
      <w:pPr>
        <w:pStyle w:val="Default"/>
        <w:spacing w:after="120"/>
        <w:ind w:left="2268" w:right="1110" w:hanging="1134"/>
        <w:jc w:val="both"/>
        <w:rPr>
          <w:rFonts w:eastAsia="Times New Roman"/>
          <w:color w:val="auto"/>
          <w:sz w:val="20"/>
          <w:szCs w:val="20"/>
          <w:lang w:val="ru-RU" w:eastAsia="en-US"/>
        </w:rPr>
      </w:pPr>
      <w:r w:rsidRPr="00BF7C48">
        <w:rPr>
          <w:rFonts w:eastAsia="Times New Roman"/>
          <w:color w:val="auto"/>
          <w:sz w:val="20"/>
          <w:szCs w:val="20"/>
          <w:lang w:val="ru-RU" w:eastAsia="en-US"/>
        </w:rPr>
        <w:t xml:space="preserve">"1.2 </w:t>
      </w:r>
      <w:r w:rsidRPr="00BF7C48">
        <w:rPr>
          <w:rFonts w:eastAsia="Times New Roman"/>
          <w:color w:val="auto"/>
          <w:sz w:val="20"/>
          <w:szCs w:val="20"/>
          <w:lang w:val="ru-RU" w:eastAsia="en-US"/>
        </w:rPr>
        <w:tab/>
        <w:t>Общие предписания</w:t>
      </w:r>
    </w:p>
    <w:p w14:paraId="17ECEAE9" w14:textId="77777777" w:rsidR="001A621A" w:rsidRPr="00026125" w:rsidRDefault="001A621A" w:rsidP="001A621A">
      <w:pPr>
        <w:spacing w:after="120"/>
        <w:ind w:leftChars="1134" w:left="2268" w:right="1110"/>
        <w:jc w:val="both"/>
        <w:rPr>
          <w:color w:val="000000"/>
        </w:rPr>
      </w:pPr>
      <w:r>
        <w:t>В случае испытательного и измерительного оборудования, отвечающего техническим требованиям Правил № 154 ООН в их первоначальном варианте или их более позднего варианта, могут применяться требования в отношении технического оборудования, предусмотренные в Правилах</w:t>
      </w:r>
      <w:r>
        <w:rPr>
          <w:lang w:val="en-US"/>
        </w:rPr>
        <w:t> </w:t>
      </w:r>
      <w:r>
        <w:t>№ 154 ООН; во всех других случаях должны применяться нижеследующие требования.</w:t>
      </w:r>
    </w:p>
    <w:p w14:paraId="76FCAA4F" w14:textId="77777777" w:rsidR="001A621A" w:rsidRPr="00026125" w:rsidRDefault="001A621A" w:rsidP="001A621A">
      <w:pPr>
        <w:spacing w:after="120"/>
        <w:ind w:leftChars="1134" w:left="2268" w:right="1111"/>
        <w:jc w:val="both"/>
        <w:rPr>
          <w:rFonts w:eastAsia="MS PGothic"/>
          <w:color w:val="000000"/>
        </w:rPr>
      </w:pPr>
      <w:r>
        <w:t>..."</w:t>
      </w:r>
    </w:p>
    <w:p w14:paraId="561E8558" w14:textId="77777777" w:rsidR="001A621A" w:rsidRPr="00026125" w:rsidRDefault="001A621A" w:rsidP="001A621A">
      <w:pPr>
        <w:adjustRightInd w:val="0"/>
        <w:spacing w:after="120"/>
        <w:ind w:left="1134" w:right="1134"/>
        <w:jc w:val="both"/>
        <w:rPr>
          <w:rFonts w:eastAsia="MS Mincho"/>
          <w:bCs/>
        </w:rPr>
      </w:pPr>
      <w:r>
        <w:rPr>
          <w:i/>
          <w:iCs/>
        </w:rPr>
        <w:t>Добавление 3, пункт 1</w:t>
      </w:r>
      <w:r>
        <w:t xml:space="preserve"> изменить следующим образом:</w:t>
      </w:r>
    </w:p>
    <w:p w14:paraId="6BEE697E" w14:textId="77777777" w:rsidR="001A621A" w:rsidRPr="009B5B33" w:rsidRDefault="001A621A" w:rsidP="001A621A">
      <w:pPr>
        <w:pStyle w:val="Default"/>
        <w:spacing w:after="120"/>
        <w:ind w:left="2268" w:right="1110" w:hanging="1134"/>
        <w:jc w:val="both"/>
        <w:rPr>
          <w:rFonts w:eastAsia="Times New Roman"/>
          <w:color w:val="auto"/>
          <w:sz w:val="20"/>
          <w:szCs w:val="20"/>
          <w:lang w:val="ru-RU" w:eastAsia="en-US"/>
        </w:rPr>
      </w:pPr>
      <w:r w:rsidRPr="009B5B33">
        <w:rPr>
          <w:rFonts w:eastAsia="Times New Roman"/>
          <w:color w:val="auto"/>
          <w:sz w:val="20"/>
          <w:szCs w:val="20"/>
          <w:lang w:val="ru-RU" w:eastAsia="en-US"/>
        </w:rPr>
        <w:t xml:space="preserve">"1. </w:t>
      </w:r>
      <w:r w:rsidRPr="009B5B33">
        <w:rPr>
          <w:rFonts w:eastAsia="Times New Roman"/>
          <w:color w:val="auto"/>
          <w:sz w:val="20"/>
          <w:szCs w:val="20"/>
          <w:lang w:val="ru-RU" w:eastAsia="en-US"/>
        </w:rPr>
        <w:tab/>
        <w:t>Технические требования</w:t>
      </w:r>
    </w:p>
    <w:p w14:paraId="3451EF86" w14:textId="77777777" w:rsidR="001A621A" w:rsidRPr="00026125" w:rsidRDefault="001A621A" w:rsidP="001A621A">
      <w:pPr>
        <w:spacing w:after="120"/>
        <w:ind w:leftChars="1134" w:left="2268" w:right="1110"/>
        <w:jc w:val="both"/>
        <w:rPr>
          <w:color w:val="000000"/>
        </w:rPr>
      </w:pPr>
      <w:r>
        <w:t>В случае испытательного и измерительного оборудования, отвечающего техническим требованиям Правил № 154 ООН в их первоначальном варианте или их более позднего варианта, могут применяться требования в отношении технического оборудования, предусмотренные в Правилах</w:t>
      </w:r>
      <w:r>
        <w:rPr>
          <w:lang w:val="en-US"/>
        </w:rPr>
        <w:t> </w:t>
      </w:r>
      <w:r>
        <w:t>№ 154 ООН; во всех других случаях должны применяться нижеследующие требования.</w:t>
      </w:r>
    </w:p>
    <w:p w14:paraId="465EBF1F" w14:textId="77777777" w:rsidR="001A621A" w:rsidRPr="00026125" w:rsidRDefault="001A621A" w:rsidP="001A621A">
      <w:pPr>
        <w:spacing w:after="120"/>
        <w:ind w:leftChars="1134" w:left="2268" w:right="1110"/>
        <w:jc w:val="both"/>
        <w:rPr>
          <w:rFonts w:eastAsia="MS PGothic"/>
          <w:color w:val="000000"/>
        </w:rPr>
      </w:pPr>
      <w:r>
        <w:t>..."</w:t>
      </w:r>
    </w:p>
    <w:p w14:paraId="3BD6E121" w14:textId="77777777" w:rsidR="001A621A" w:rsidRPr="00026125" w:rsidRDefault="001A621A" w:rsidP="001A621A">
      <w:pPr>
        <w:adjustRightInd w:val="0"/>
        <w:spacing w:after="120"/>
        <w:ind w:left="1134" w:right="1134"/>
        <w:jc w:val="both"/>
        <w:rPr>
          <w:rFonts w:eastAsia="MS Mincho"/>
          <w:bCs/>
        </w:rPr>
      </w:pPr>
      <w:r>
        <w:rPr>
          <w:i/>
          <w:iCs/>
        </w:rPr>
        <w:t>Добавление 4, пункт 1</w:t>
      </w:r>
      <w:r>
        <w:t xml:space="preserve"> изменить следующим образом:</w:t>
      </w:r>
    </w:p>
    <w:p w14:paraId="3D8772CD" w14:textId="77777777" w:rsidR="001A621A" w:rsidRPr="009B5B33" w:rsidRDefault="001A621A" w:rsidP="001A621A">
      <w:pPr>
        <w:pStyle w:val="Default"/>
        <w:spacing w:after="120"/>
        <w:ind w:left="2268" w:right="1110" w:hanging="1134"/>
        <w:jc w:val="both"/>
        <w:rPr>
          <w:rFonts w:eastAsia="Times New Roman"/>
          <w:color w:val="auto"/>
          <w:sz w:val="20"/>
          <w:szCs w:val="20"/>
          <w:lang w:val="ru-RU" w:eastAsia="en-US"/>
        </w:rPr>
      </w:pPr>
      <w:r w:rsidRPr="009B5B33">
        <w:rPr>
          <w:rFonts w:eastAsia="Times New Roman"/>
          <w:color w:val="auto"/>
          <w:sz w:val="20"/>
          <w:szCs w:val="20"/>
          <w:lang w:val="ru-RU" w:eastAsia="en-US"/>
        </w:rPr>
        <w:t xml:space="preserve">"1. </w:t>
      </w:r>
      <w:r w:rsidRPr="009B5B33">
        <w:rPr>
          <w:rFonts w:eastAsia="Times New Roman"/>
          <w:color w:val="auto"/>
          <w:sz w:val="20"/>
          <w:szCs w:val="20"/>
          <w:lang w:val="ru-RU" w:eastAsia="en-US"/>
        </w:rPr>
        <w:tab/>
        <w:t>Технические требования</w:t>
      </w:r>
    </w:p>
    <w:p w14:paraId="104BE4B6" w14:textId="77777777" w:rsidR="001A621A" w:rsidRPr="00026125" w:rsidRDefault="001A621A" w:rsidP="001A621A">
      <w:pPr>
        <w:spacing w:after="120"/>
        <w:ind w:leftChars="1134" w:left="2268" w:right="1110"/>
        <w:jc w:val="both"/>
        <w:rPr>
          <w:color w:val="000000"/>
        </w:rPr>
      </w:pPr>
      <w:r>
        <w:t>В случае испытательного и измерительного оборудования, отвечающего техническим требованиям Правил № 154 ООН в их первоначальном варианте или их более позднего варианта, могут применяться требования в отношении технического оборудования, предусмотренные в Правилах</w:t>
      </w:r>
      <w:r>
        <w:rPr>
          <w:lang w:val="en-US"/>
        </w:rPr>
        <w:t> </w:t>
      </w:r>
      <w:r>
        <w:t>№ 154 ООН; во всех других случаях должны применяться нижеследующие требования.</w:t>
      </w:r>
    </w:p>
    <w:p w14:paraId="4A91E379" w14:textId="77777777" w:rsidR="001A621A" w:rsidRPr="00026125" w:rsidRDefault="001A621A" w:rsidP="001A621A">
      <w:pPr>
        <w:spacing w:after="120"/>
        <w:ind w:leftChars="1134" w:left="2268" w:right="1110"/>
        <w:jc w:val="both"/>
        <w:rPr>
          <w:rFonts w:eastAsia="MS PGothic"/>
          <w:color w:val="000000"/>
        </w:rPr>
      </w:pPr>
      <w:r>
        <w:t>..."</w:t>
      </w:r>
    </w:p>
    <w:p w14:paraId="59D06C20" w14:textId="77777777" w:rsidR="001A621A" w:rsidRPr="00026125" w:rsidRDefault="001A621A" w:rsidP="001A621A">
      <w:pPr>
        <w:adjustRightInd w:val="0"/>
        <w:spacing w:after="120"/>
        <w:ind w:left="1134" w:right="1134"/>
        <w:jc w:val="both"/>
        <w:rPr>
          <w:rFonts w:eastAsia="MS Mincho"/>
          <w:bCs/>
        </w:rPr>
      </w:pPr>
      <w:r>
        <w:rPr>
          <w:i/>
          <w:iCs/>
        </w:rPr>
        <w:t>Добавление 5, пункт 1</w:t>
      </w:r>
      <w:r>
        <w:t xml:space="preserve"> изменить следующим образом:</w:t>
      </w:r>
    </w:p>
    <w:p w14:paraId="2BD0F94B" w14:textId="77777777" w:rsidR="001A621A" w:rsidRPr="009B5B33" w:rsidRDefault="001A621A" w:rsidP="001A621A">
      <w:pPr>
        <w:pStyle w:val="Default"/>
        <w:spacing w:after="120"/>
        <w:ind w:left="2268" w:right="1110" w:hanging="1134"/>
        <w:jc w:val="both"/>
        <w:rPr>
          <w:rFonts w:eastAsia="Times New Roman"/>
          <w:color w:val="auto"/>
          <w:sz w:val="20"/>
          <w:szCs w:val="20"/>
          <w:lang w:val="ru-RU" w:eastAsia="en-US"/>
        </w:rPr>
      </w:pPr>
      <w:r w:rsidRPr="009B5B33">
        <w:rPr>
          <w:rFonts w:eastAsia="Times New Roman"/>
          <w:color w:val="auto"/>
          <w:sz w:val="20"/>
          <w:szCs w:val="20"/>
          <w:lang w:val="ru-RU" w:eastAsia="en-US"/>
        </w:rPr>
        <w:t xml:space="preserve">"1. </w:t>
      </w:r>
      <w:r w:rsidRPr="009B5B33">
        <w:rPr>
          <w:rFonts w:eastAsia="Times New Roman"/>
          <w:color w:val="auto"/>
          <w:sz w:val="20"/>
          <w:szCs w:val="20"/>
          <w:lang w:val="ru-RU" w:eastAsia="en-US"/>
        </w:rPr>
        <w:tab/>
        <w:t>Технические требования</w:t>
      </w:r>
    </w:p>
    <w:p w14:paraId="0AF87AC8" w14:textId="77777777" w:rsidR="001A621A" w:rsidRPr="00026125" w:rsidRDefault="001A621A" w:rsidP="001A621A">
      <w:pPr>
        <w:spacing w:after="120"/>
        <w:ind w:leftChars="1134" w:left="2268" w:right="1110"/>
        <w:jc w:val="both"/>
        <w:rPr>
          <w:color w:val="000000"/>
        </w:rPr>
      </w:pPr>
      <w:r>
        <w:t>В случае испытательного и измерительного оборудования, отвечающего техническим требованиям Правил № 154 ООН в их первоначальном варианте или их более позднего варианта, могут применяться требования в отношении технического оборудования, предусмотренные в Правилах</w:t>
      </w:r>
      <w:r>
        <w:rPr>
          <w:lang w:val="en-US"/>
        </w:rPr>
        <w:t> </w:t>
      </w:r>
      <w:r>
        <w:t>№ 154 ООН; во всех других случаях должны применяться нижеследующие требования.</w:t>
      </w:r>
    </w:p>
    <w:p w14:paraId="798AF789" w14:textId="77777777" w:rsidR="001A621A" w:rsidRPr="00026125" w:rsidRDefault="001A621A" w:rsidP="001A621A">
      <w:pPr>
        <w:spacing w:after="120"/>
        <w:ind w:leftChars="1134" w:left="2268" w:right="1110"/>
        <w:jc w:val="both"/>
        <w:rPr>
          <w:rFonts w:eastAsia="Yu Gothic"/>
          <w:color w:val="000000" w:themeColor="text1"/>
          <w:kern w:val="2"/>
        </w:rPr>
      </w:pPr>
      <w:r>
        <w:t>..."</w:t>
      </w:r>
    </w:p>
    <w:p w14:paraId="63473B67" w14:textId="77777777" w:rsidR="001A621A" w:rsidRPr="00026125" w:rsidRDefault="001A621A" w:rsidP="001A621A">
      <w:pPr>
        <w:adjustRightInd w:val="0"/>
        <w:spacing w:after="120"/>
        <w:ind w:left="1134" w:right="1134"/>
        <w:jc w:val="both"/>
        <w:rPr>
          <w:rFonts w:eastAsia="MS Mincho"/>
          <w:bCs/>
        </w:rPr>
      </w:pPr>
      <w:r>
        <w:rPr>
          <w:i/>
          <w:iCs/>
        </w:rPr>
        <w:t>Добавление 6, пункт 1</w:t>
      </w:r>
      <w:r>
        <w:t xml:space="preserve"> изменить следующим образом:</w:t>
      </w:r>
    </w:p>
    <w:p w14:paraId="3EBEC957" w14:textId="77777777" w:rsidR="001A621A" w:rsidRPr="00026125" w:rsidRDefault="001A621A" w:rsidP="001A621A">
      <w:pPr>
        <w:adjustRightInd w:val="0"/>
        <w:spacing w:after="120"/>
        <w:ind w:left="2268" w:right="1110" w:hanging="1134"/>
        <w:jc w:val="both"/>
        <w:rPr>
          <w:rFonts w:eastAsia="MS Mincho"/>
        </w:rPr>
      </w:pPr>
      <w:r>
        <w:t xml:space="preserve">"1. </w:t>
      </w:r>
      <w:r>
        <w:tab/>
        <w:t>Цель</w:t>
      </w:r>
    </w:p>
    <w:p w14:paraId="383EF02A" w14:textId="77777777" w:rsidR="001A621A" w:rsidRPr="00026125" w:rsidRDefault="001A621A" w:rsidP="001A621A">
      <w:pPr>
        <w:adjustRightInd w:val="0"/>
        <w:spacing w:after="120"/>
        <w:ind w:leftChars="1134" w:left="2268" w:right="1110"/>
        <w:jc w:val="both"/>
        <w:rPr>
          <w:rFonts w:eastAsia="MS Mincho"/>
        </w:rPr>
      </w:pPr>
      <w:r>
        <w:t>Метод, описанный в настоящем добавлении, позволяет проверить удовлетворительную имитацию общей инерции динамометрического стенда во время различных этапов рабочего цикла. Изготовитель динамометра указывает метод проверки соблюдения технических требований в соответствии с пунктом 3 настоящего добавления.</w:t>
      </w:r>
    </w:p>
    <w:p w14:paraId="619041C3" w14:textId="77777777" w:rsidR="001A621A" w:rsidRPr="00026125" w:rsidRDefault="001A621A" w:rsidP="001A621A">
      <w:pPr>
        <w:pStyle w:val="SingleTxtG"/>
        <w:ind w:leftChars="1134" w:left="2268"/>
        <w:rPr>
          <w:rFonts w:eastAsia="MS Mincho"/>
          <w:bCs/>
        </w:rPr>
      </w:pPr>
      <w:r>
        <w:t>В случае оборудования, отвечающего требованиям Правил № 154 ООН, необходимость в его применении может отпадать».</w:t>
      </w:r>
    </w:p>
    <w:p w14:paraId="7637D31E" w14:textId="77777777" w:rsidR="001A621A" w:rsidRPr="00026125" w:rsidRDefault="001A621A" w:rsidP="001A621A">
      <w:pPr>
        <w:pStyle w:val="SingleTxtG"/>
        <w:ind w:leftChars="515" w:left="1030" w:right="2244"/>
        <w:rPr>
          <w:i/>
          <w:iCs/>
        </w:rPr>
      </w:pPr>
      <w:r>
        <w:rPr>
          <w:i/>
          <w:iCs/>
        </w:rPr>
        <w:t>Приложение 7</w:t>
      </w:r>
    </w:p>
    <w:p w14:paraId="56AB1AB6" w14:textId="77777777" w:rsidR="001A621A" w:rsidRPr="00026125" w:rsidRDefault="001A621A" w:rsidP="001A621A">
      <w:pPr>
        <w:pStyle w:val="SingleTxtG"/>
        <w:ind w:leftChars="515" w:left="1030" w:right="2244"/>
      </w:pPr>
      <w:r>
        <w:rPr>
          <w:i/>
          <w:iCs/>
        </w:rPr>
        <w:t>Пункт 4</w:t>
      </w:r>
      <w:r>
        <w:t xml:space="preserve"> изменить следующим образом:</w:t>
      </w:r>
    </w:p>
    <w:p w14:paraId="7D2C98D9" w14:textId="6889E26F" w:rsidR="001A621A" w:rsidRPr="00026125" w:rsidRDefault="001A621A" w:rsidP="001A621A">
      <w:pPr>
        <w:pStyle w:val="SingleTxtG"/>
        <w:ind w:left="2268" w:right="1110" w:hanging="1134"/>
        <w:rPr>
          <w:i/>
          <w:iCs/>
        </w:rPr>
      </w:pPr>
      <w:r>
        <w:t xml:space="preserve">"4. </w:t>
      </w:r>
      <w:r>
        <w:tab/>
      </w:r>
      <w:r>
        <w:tab/>
      </w:r>
      <w:r>
        <w:t>Оборудование для испытания на выбросы в результате испарения</w:t>
      </w:r>
    </w:p>
    <w:p w14:paraId="32F0A9C7" w14:textId="77777777" w:rsidR="001A621A" w:rsidRPr="00026125" w:rsidRDefault="001A621A" w:rsidP="001A621A">
      <w:pPr>
        <w:spacing w:after="120"/>
        <w:ind w:leftChars="1134" w:left="2268" w:right="1110" w:firstLine="1"/>
        <w:jc w:val="both"/>
        <w:rPr>
          <w:rFonts w:eastAsia="Yu Gothic"/>
          <w:color w:val="000000" w:themeColor="text1"/>
          <w:kern w:val="2"/>
        </w:rPr>
      </w:pPr>
      <w:r>
        <w:t>В случае испытательного и измерительного оборудования, отвечающего техническим требованиям Правил № 154 ООН в их первоначальном варианте или их более позднего варианта, могут применяться требования в отношении технического оборудования, предусмотренные в Правилах</w:t>
      </w:r>
      <w:r>
        <w:rPr>
          <w:lang w:val="en-US"/>
        </w:rPr>
        <w:t> </w:t>
      </w:r>
      <w:r>
        <w:t>№ 154 ООН; во всех других случаях должны применяться нижеследующие требования.</w:t>
      </w:r>
    </w:p>
    <w:p w14:paraId="55AE1554" w14:textId="77777777" w:rsidR="001A621A" w:rsidRPr="00026125" w:rsidRDefault="001A621A" w:rsidP="001A621A">
      <w:pPr>
        <w:adjustRightInd w:val="0"/>
        <w:spacing w:after="120"/>
        <w:ind w:left="2268" w:hanging="1134"/>
        <w:jc w:val="both"/>
        <w:rPr>
          <w:rFonts w:eastAsia="MS Mincho"/>
        </w:rPr>
      </w:pPr>
      <w:r>
        <w:t>4.1</w:t>
      </w:r>
      <w:r>
        <w:tab/>
        <w:t>Динамометрический стенд</w:t>
      </w:r>
    </w:p>
    <w:p w14:paraId="12750FC9" w14:textId="77777777" w:rsidR="001A621A" w:rsidRPr="00026125" w:rsidRDefault="001A621A" w:rsidP="001A621A">
      <w:pPr>
        <w:adjustRightInd w:val="0"/>
        <w:spacing w:after="120"/>
        <w:ind w:left="2268" w:right="1110"/>
        <w:jc w:val="both"/>
      </w:pPr>
      <w:r>
        <w:t>Динамометрический стенд должен соответствовать предписаниям, содержащимся в добавлении 1 к приложению 4а к настоящим Правилам.</w:t>
      </w:r>
    </w:p>
    <w:p w14:paraId="2FEB4473" w14:textId="77777777" w:rsidR="001A621A" w:rsidRPr="00026125" w:rsidRDefault="001A621A" w:rsidP="001A621A">
      <w:pPr>
        <w:adjustRightInd w:val="0"/>
        <w:spacing w:after="120"/>
        <w:ind w:left="2268" w:right="1110"/>
        <w:jc w:val="both"/>
      </w:pPr>
      <w:r>
        <w:t>..."</w:t>
      </w:r>
    </w:p>
    <w:p w14:paraId="6FADAC9E" w14:textId="77777777" w:rsidR="001A621A" w:rsidRPr="00026125" w:rsidRDefault="001A621A" w:rsidP="001A621A">
      <w:pPr>
        <w:pStyle w:val="SingleTxtG"/>
      </w:pPr>
      <w:r>
        <w:rPr>
          <w:i/>
          <w:iCs/>
        </w:rPr>
        <w:t>Добавление 1, пункт 1</w:t>
      </w:r>
      <w:r>
        <w:t xml:space="preserve"> изменить следующим образом:</w:t>
      </w:r>
    </w:p>
    <w:p w14:paraId="74C4161E" w14:textId="77777777" w:rsidR="001A621A" w:rsidRPr="009B5B33" w:rsidRDefault="001A621A" w:rsidP="001A621A">
      <w:pPr>
        <w:pStyle w:val="Default"/>
        <w:spacing w:after="120"/>
        <w:ind w:left="2268" w:right="805" w:hanging="1134"/>
        <w:jc w:val="both"/>
        <w:rPr>
          <w:rFonts w:eastAsia="Times New Roman"/>
          <w:color w:val="auto"/>
          <w:sz w:val="20"/>
          <w:szCs w:val="20"/>
          <w:lang w:val="ru-RU" w:eastAsia="en-US"/>
        </w:rPr>
      </w:pPr>
      <w:r w:rsidRPr="009B5B33">
        <w:rPr>
          <w:rFonts w:eastAsia="Times New Roman"/>
          <w:color w:val="auto"/>
          <w:sz w:val="20"/>
          <w:szCs w:val="20"/>
          <w:lang w:val="ru-RU" w:eastAsia="en-US"/>
        </w:rPr>
        <w:t>"1.</w:t>
      </w:r>
      <w:r w:rsidRPr="009B5B33">
        <w:rPr>
          <w:rFonts w:eastAsia="Times New Roman"/>
          <w:color w:val="auto"/>
          <w:sz w:val="20"/>
          <w:szCs w:val="20"/>
          <w:lang w:val="ru-RU" w:eastAsia="en-US"/>
        </w:rPr>
        <w:tab/>
        <w:t>Частота и методы калибровки</w:t>
      </w:r>
    </w:p>
    <w:p w14:paraId="21916C52" w14:textId="77777777" w:rsidR="001A621A" w:rsidRPr="00026125" w:rsidRDefault="001A621A" w:rsidP="001A621A">
      <w:pPr>
        <w:spacing w:after="120"/>
        <w:ind w:leftChars="1134" w:left="2268" w:right="1110" w:firstLine="1"/>
        <w:jc w:val="both"/>
        <w:rPr>
          <w:color w:val="000000"/>
        </w:rPr>
      </w:pPr>
      <w:r>
        <w:t>В случае испытательного и измерительного оборудования, отвечающего техническим требованиям Правил № 154 ООН в их первоначальном варианте или их более позднего варианта, могут применяться требования в отношении технического оборудования, предусмотренные в Правилах</w:t>
      </w:r>
      <w:r>
        <w:rPr>
          <w:lang w:val="en-US"/>
        </w:rPr>
        <w:t> </w:t>
      </w:r>
      <w:r>
        <w:t>№ 154 ООН; во всех других случаях должны применяться нижеследующие требования.</w:t>
      </w:r>
    </w:p>
    <w:p w14:paraId="62F53D29" w14:textId="77777777" w:rsidR="001A621A" w:rsidRPr="00026125" w:rsidRDefault="001A621A" w:rsidP="001A621A">
      <w:pPr>
        <w:spacing w:after="120"/>
        <w:ind w:leftChars="1134" w:left="2268" w:right="1110" w:firstLine="1"/>
        <w:jc w:val="both"/>
        <w:rPr>
          <w:rFonts w:eastAsia="MS Mincho"/>
        </w:rPr>
      </w:pPr>
      <w:r>
        <w:t>..."</w:t>
      </w:r>
    </w:p>
    <w:p w14:paraId="753830A6" w14:textId="77777777" w:rsidR="001A621A" w:rsidRPr="00026125" w:rsidRDefault="001A621A" w:rsidP="001A621A">
      <w:pPr>
        <w:keepNext/>
        <w:spacing w:after="120"/>
        <w:ind w:left="1134" w:right="1134"/>
        <w:rPr>
          <w:rFonts w:eastAsia="MS Mincho"/>
          <w:i/>
        </w:rPr>
      </w:pPr>
      <w:r>
        <w:rPr>
          <w:i/>
          <w:iCs/>
        </w:rPr>
        <w:t>Приложение 11</w:t>
      </w:r>
    </w:p>
    <w:p w14:paraId="07AF3995" w14:textId="77777777" w:rsidR="001A621A" w:rsidRPr="00026125" w:rsidRDefault="001A621A" w:rsidP="001A621A">
      <w:pPr>
        <w:spacing w:after="120"/>
        <w:ind w:left="1134" w:right="1134"/>
        <w:rPr>
          <w:rFonts w:eastAsia="MS Mincho"/>
          <w:iCs/>
        </w:rPr>
      </w:pPr>
      <w:r>
        <w:rPr>
          <w:i/>
          <w:iCs/>
        </w:rPr>
        <w:t>Пункт 3.2.1.2</w:t>
      </w:r>
      <w:r>
        <w:t xml:space="preserve"> изменить следующим образом:</w:t>
      </w:r>
    </w:p>
    <w:p w14:paraId="6840C48B" w14:textId="311546D8" w:rsidR="001A621A" w:rsidRPr="00026125" w:rsidRDefault="001A621A" w:rsidP="001A621A">
      <w:pPr>
        <w:adjustRightInd w:val="0"/>
        <w:spacing w:after="120"/>
        <w:ind w:left="2268" w:right="1134" w:hanging="1134"/>
        <w:jc w:val="both"/>
      </w:pPr>
      <w:r>
        <w:t xml:space="preserve">"3.2.1.2 </w:t>
      </w:r>
      <w:r>
        <w:tab/>
        <w:t xml:space="preserve">Изготовитель может предусматривать блокировку любого конкретного вида БД-контроля для данного ездового цикла при температуре окружающей среды или двигателя ниже 266 К (–7 °С) или на высотах более 2500 м над уровнем моря, при условии что изготовитель представит данные и/или результаты инженерной оценки, которые надлежащим образом подтверждают, что в таких условиях осуществляемый системой контроль будет ненадежным. Изготовитель может также запросить блокировку любого конкретного вида БД-контроля при других температурах окружающей среды или другой высоте над уровнем моря, если он представит компетентному органу данные и/или результаты инженерной оценки, которые подтверждают, что при таких условиях диагностика будет неверной. Если в процессе регенерации предельные значения БД превышаются, то при условии отсутствия дефекта индикатор неисправности (ИН) может не зажигаться". </w:t>
      </w:r>
    </w:p>
    <w:p w14:paraId="17C10A46" w14:textId="77777777" w:rsidR="001A621A" w:rsidRPr="00026125" w:rsidRDefault="001A621A" w:rsidP="001A621A">
      <w:pPr>
        <w:spacing w:before="240"/>
        <w:jc w:val="center"/>
        <w:rPr>
          <w:u w:val="single"/>
        </w:rPr>
      </w:pPr>
      <w:r w:rsidRPr="00026125">
        <w:rPr>
          <w:u w:val="single"/>
        </w:rPr>
        <w:tab/>
      </w:r>
      <w:r w:rsidRPr="00026125">
        <w:rPr>
          <w:u w:val="single"/>
        </w:rPr>
        <w:tab/>
      </w:r>
      <w:r w:rsidRPr="00026125">
        <w:rPr>
          <w:u w:val="single"/>
        </w:rPr>
        <w:tab/>
      </w:r>
    </w:p>
    <w:sectPr w:rsidR="001A621A" w:rsidRPr="00026125" w:rsidSect="001A621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7D75" w14:textId="77777777" w:rsidR="00505CF6" w:rsidRPr="00A312BC" w:rsidRDefault="00505CF6" w:rsidP="00A312BC"/>
  </w:endnote>
  <w:endnote w:type="continuationSeparator" w:id="0">
    <w:p w14:paraId="0C47D565" w14:textId="77777777" w:rsidR="00505CF6" w:rsidRPr="00A312BC" w:rsidRDefault="00505CF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F3FB" w14:textId="67B51629" w:rsidR="001A621A" w:rsidRPr="001A621A" w:rsidRDefault="001A621A">
    <w:pPr>
      <w:pStyle w:val="a8"/>
    </w:pPr>
    <w:r w:rsidRPr="001A621A">
      <w:rPr>
        <w:b/>
        <w:sz w:val="18"/>
      </w:rPr>
      <w:fldChar w:fldCharType="begin"/>
    </w:r>
    <w:r w:rsidRPr="001A621A">
      <w:rPr>
        <w:b/>
        <w:sz w:val="18"/>
      </w:rPr>
      <w:instrText xml:space="preserve"> PAGE  \* MERGEFORMAT </w:instrText>
    </w:r>
    <w:r w:rsidRPr="001A621A">
      <w:rPr>
        <w:b/>
        <w:sz w:val="18"/>
      </w:rPr>
      <w:fldChar w:fldCharType="separate"/>
    </w:r>
    <w:r w:rsidRPr="001A621A">
      <w:rPr>
        <w:b/>
        <w:noProof/>
        <w:sz w:val="18"/>
      </w:rPr>
      <w:t>2</w:t>
    </w:r>
    <w:r w:rsidRPr="001A621A">
      <w:rPr>
        <w:b/>
        <w:sz w:val="18"/>
      </w:rPr>
      <w:fldChar w:fldCharType="end"/>
    </w:r>
    <w:r>
      <w:rPr>
        <w:b/>
        <w:sz w:val="18"/>
      </w:rPr>
      <w:tab/>
    </w:r>
    <w:r>
      <w:t>GE.22-13525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4BF5" w14:textId="61755E07" w:rsidR="001A621A" w:rsidRPr="001A621A" w:rsidRDefault="001A621A" w:rsidP="001A621A">
    <w:pPr>
      <w:pStyle w:val="a8"/>
      <w:tabs>
        <w:tab w:val="clear" w:pos="9639"/>
        <w:tab w:val="right" w:pos="9638"/>
      </w:tabs>
      <w:rPr>
        <w:b/>
        <w:sz w:val="18"/>
      </w:rPr>
    </w:pPr>
    <w:r>
      <w:t>GE.22-13525</w:t>
    </w:r>
    <w:r>
      <w:tab/>
    </w:r>
    <w:r w:rsidRPr="001A621A">
      <w:rPr>
        <w:b/>
        <w:sz w:val="18"/>
      </w:rPr>
      <w:fldChar w:fldCharType="begin"/>
    </w:r>
    <w:r w:rsidRPr="001A621A">
      <w:rPr>
        <w:b/>
        <w:sz w:val="18"/>
      </w:rPr>
      <w:instrText xml:space="preserve"> PAGE  \* MERGEFORMAT </w:instrText>
    </w:r>
    <w:r w:rsidRPr="001A621A">
      <w:rPr>
        <w:b/>
        <w:sz w:val="18"/>
      </w:rPr>
      <w:fldChar w:fldCharType="separate"/>
    </w:r>
    <w:r w:rsidRPr="001A621A">
      <w:rPr>
        <w:b/>
        <w:noProof/>
        <w:sz w:val="18"/>
      </w:rPr>
      <w:t>3</w:t>
    </w:r>
    <w:r w:rsidRPr="001A621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15D5" w14:textId="2C91653E" w:rsidR="00042B72" w:rsidRPr="001A621A" w:rsidRDefault="001A621A" w:rsidP="001A621A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6AC88A6" wp14:editId="599C8C75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13525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43F6CBF" wp14:editId="5BB4EA0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140922   140922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850B" w14:textId="77777777" w:rsidR="00505CF6" w:rsidRPr="001075E9" w:rsidRDefault="00505CF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91D0578" w14:textId="77777777" w:rsidR="00505CF6" w:rsidRDefault="00505CF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3B3E9FB" w14:textId="77777777" w:rsidR="001A621A" w:rsidRPr="002B323F" w:rsidRDefault="001A621A" w:rsidP="003E578B">
      <w:pPr>
        <w:pStyle w:val="ad"/>
        <w:tabs>
          <w:tab w:val="clear" w:pos="1021"/>
          <w:tab w:val="right" w:pos="993"/>
        </w:tabs>
        <w:ind w:right="1133"/>
      </w:pPr>
      <w:r>
        <w:tab/>
      </w:r>
      <w:r w:rsidRPr="003E578B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раздел 20), пункт 20.76), Всемирный форум будет разрабатывать, согласовывать и обновлять правила ООН в целях улучшения эксплуатационных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59CC" w14:textId="246A9664" w:rsidR="001A621A" w:rsidRPr="001A621A" w:rsidRDefault="001A621A">
    <w:pPr>
      <w:pStyle w:val="a5"/>
    </w:pPr>
    <w:fldSimple w:instr=" TITLE  \* MERGEFORMAT ">
      <w:r w:rsidR="00121AC2">
        <w:t>ECE/TRANS/WP.29/2022/134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21FC" w14:textId="45C4056D" w:rsidR="001A621A" w:rsidRPr="001A621A" w:rsidRDefault="001A621A" w:rsidP="001A621A">
    <w:pPr>
      <w:pStyle w:val="a5"/>
      <w:jc w:val="right"/>
    </w:pPr>
    <w:fldSimple w:instr=" TITLE  \* MERGEFORMAT ">
      <w:r w:rsidR="00121AC2">
        <w:t>ECE/TRANS/WP.29/2022/134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F6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21AC2"/>
    <w:rsid w:val="0014152F"/>
    <w:rsid w:val="00180183"/>
    <w:rsid w:val="0018024D"/>
    <w:rsid w:val="0018649F"/>
    <w:rsid w:val="00196389"/>
    <w:rsid w:val="001A621A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3E578B"/>
    <w:rsid w:val="003F170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05CF6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4713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069FB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08EE"/>
  <w15:docId w15:val="{8FBB7496-CA6A-4B67-B9FB-4994C6ED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uiPriority w:val="99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BVI fnr, BVI fnr,Footnote symbol,Footnote,Footnote Reference Superscript,SUPERS,-E Fußnotenzeichen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Fußnotentext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uiPriority w:val="99"/>
    <w:qFormat/>
    <w:locked/>
    <w:rsid w:val="001A621A"/>
    <w:rPr>
      <w:lang w:val="ru-RU" w:eastAsia="en-US"/>
    </w:rPr>
  </w:style>
  <w:style w:type="character" w:customStyle="1" w:styleId="HChGChar">
    <w:name w:val="_ H _Ch_G Char"/>
    <w:link w:val="HChG"/>
    <w:locked/>
    <w:rsid w:val="001A621A"/>
    <w:rPr>
      <w:b/>
      <w:sz w:val="28"/>
      <w:lang w:val="ru-RU" w:eastAsia="ru-RU"/>
    </w:rPr>
  </w:style>
  <w:style w:type="paragraph" w:styleId="af3">
    <w:name w:val="List Paragraph"/>
    <w:basedOn w:val="a"/>
    <w:uiPriority w:val="1"/>
    <w:qFormat/>
    <w:rsid w:val="001A621A"/>
    <w:pPr>
      <w:suppressAutoHyphens w:val="0"/>
      <w:spacing w:line="240" w:lineRule="auto"/>
      <w:ind w:left="720"/>
    </w:pPr>
    <w:rPr>
      <w:rFonts w:ascii="Calibri" w:eastAsia="Times New Roman" w:hAnsi="Calibri" w:cs="Times New Roman"/>
      <w:sz w:val="22"/>
      <w:lang w:val="nl-BE" w:eastAsia="nl-BE"/>
    </w:rPr>
  </w:style>
  <w:style w:type="paragraph" w:customStyle="1" w:styleId="Default">
    <w:name w:val="Default"/>
    <w:rsid w:val="001A621A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H1GChar">
    <w:name w:val="_ H_1_G Char"/>
    <w:link w:val="H1G"/>
    <w:locked/>
    <w:rsid w:val="001A621A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296A9-DEEA-43BB-94EA-E3D22CEA3B6B}"/>
</file>

<file path=customXml/itemProps2.xml><?xml version="1.0" encoding="utf-8"?>
<ds:datastoreItem xmlns:ds="http://schemas.openxmlformats.org/officeDocument/2006/customXml" ds:itemID="{32F3A1C1-C23C-4C15-9655-D3B94025931C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4</Pages>
  <Words>784</Words>
  <Characters>5442</Characters>
  <Application>Microsoft Office Word</Application>
  <DocSecurity>0</DocSecurity>
  <Lines>140</Lines>
  <Paragraphs>63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>ECE/TRANS/WP.29/2022/134</vt:lpstr>
      <vt:lpstr>    Предложение по дополнению 16 к поправкам серии 05 к Правилам № 83 ООН (выброс</vt:lpstr>
      <vt:lpstr>        Представлено Рабочей группой по проблемам энергии и загрязнения окружающей сре</vt:lpstr>
      <vt:lpstr>A/</vt:lpstr>
      <vt:lpstr>A/</vt:lpstr>
    </vt:vector>
  </TitlesOfParts>
  <Company>DCM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ECE/TRANS/WP.29/2022/134</dc:title>
  <dc:subject/>
  <dc:creator>Tatiana CHVETS</dc:creator>
  <cp:keywords/>
  <cp:lastModifiedBy>Tatiana Chvets</cp:lastModifiedBy>
  <cp:revision>3</cp:revision>
  <cp:lastPrinted>2022-09-14T12:40:00Z</cp:lastPrinted>
  <dcterms:created xsi:type="dcterms:W3CDTF">2022-09-14T12:39:00Z</dcterms:created>
  <dcterms:modified xsi:type="dcterms:W3CDTF">2022-09-14T12:40:00Z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