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7A53F69E"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0D796C">
              <w:rPr>
                <w:rFonts w:asciiTheme="majorBidi" w:hAnsiTheme="majorBidi" w:cstheme="majorBidi"/>
              </w:rPr>
              <w:t>1</w:t>
            </w:r>
            <w:r w:rsidR="00AA4892">
              <w:rPr>
                <w:rFonts w:asciiTheme="majorBidi" w:hAnsiTheme="majorBidi" w:cstheme="majorBidi"/>
              </w:rPr>
              <w:t>2</w:t>
            </w:r>
            <w:r w:rsidR="00C56270">
              <w:rPr>
                <w:rFonts w:asciiTheme="majorBidi" w:hAnsiTheme="majorBidi" w:cstheme="majorBidi"/>
              </w:rPr>
              <w:t>7</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General</w:t>
            </w:r>
          </w:p>
          <w:p w14:paraId="2288E497" w14:textId="4D0AAF9B" w:rsidR="00785AC2" w:rsidRPr="003D3861" w:rsidRDefault="00B27E96" w:rsidP="1BB8AD93">
            <w:pPr>
              <w:spacing w:line="240" w:lineRule="exact"/>
              <w:rPr>
                <w:rFonts w:asciiTheme="majorBidi" w:hAnsiTheme="majorBidi" w:cstheme="majorBidi"/>
              </w:rPr>
            </w:pPr>
            <w:r>
              <w:rPr>
                <w:rFonts w:asciiTheme="majorBidi" w:hAnsiTheme="majorBidi" w:cstheme="majorBidi"/>
              </w:rPr>
              <w:t>2</w:t>
            </w:r>
            <w:r w:rsidR="00C75FA3">
              <w:rPr>
                <w:rFonts w:asciiTheme="majorBidi" w:hAnsiTheme="majorBidi" w:cstheme="majorBidi"/>
              </w:rPr>
              <w:t>9 August</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7B58A892" w:rsidR="00495632" w:rsidRDefault="00495632" w:rsidP="00495632">
      <w:r>
        <w:t>Item 4.7.</w:t>
      </w:r>
      <w:r w:rsidR="00F77E6E">
        <w:t>1</w:t>
      </w:r>
      <w:r w:rsidR="00C56270">
        <w:t>2</w:t>
      </w:r>
      <w:r>
        <w:t xml:space="preserve"> of the provisional agenda</w:t>
      </w:r>
    </w:p>
    <w:p w14:paraId="2FB9AB39" w14:textId="120EFCA4"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GRSG</w:t>
      </w:r>
    </w:p>
    <w:p w14:paraId="2074CE97" w14:textId="561B42FD" w:rsidR="00DF5B41" w:rsidRPr="0038210D" w:rsidRDefault="00065893" w:rsidP="00D73791">
      <w:pPr>
        <w:pStyle w:val="HChG"/>
      </w:pPr>
      <w:r w:rsidRPr="0038210D">
        <w:tab/>
      </w:r>
      <w:r w:rsidR="00D73791" w:rsidRPr="0038210D">
        <w:tab/>
      </w:r>
      <w:r w:rsidR="00D73791" w:rsidRPr="0038210D">
        <w:tab/>
      </w:r>
      <w:r w:rsidR="008B334F" w:rsidRPr="000A118C">
        <w:t xml:space="preserve">Proposal for </w:t>
      </w:r>
      <w:r w:rsidR="009D10E4">
        <w:t>Supplement</w:t>
      </w:r>
      <w:r w:rsidR="0060762D">
        <w:t xml:space="preserve"> </w:t>
      </w:r>
      <w:r w:rsidR="007A5AF8">
        <w:t>2</w:t>
      </w:r>
      <w:r w:rsidR="0060762D">
        <w:t xml:space="preserve"> to the</w:t>
      </w:r>
      <w:r w:rsidR="008B334F">
        <w:t xml:space="preserve"> </w:t>
      </w:r>
      <w:r w:rsidR="002971A0">
        <w:t>original version of</w:t>
      </w:r>
      <w:r w:rsidR="008B334F" w:rsidRPr="000A118C">
        <w:t xml:space="preserve"> UN Regulation No. </w:t>
      </w:r>
      <w:r w:rsidR="00324F76">
        <w:t>1</w:t>
      </w:r>
      <w:r w:rsidR="00C76D0F">
        <w:t>6</w:t>
      </w:r>
      <w:r w:rsidR="007A5AF8">
        <w:t>3</w:t>
      </w:r>
      <w:r w:rsidR="008B334F" w:rsidRPr="000A118C">
        <w:t xml:space="preserve"> (</w:t>
      </w:r>
      <w:r w:rsidR="007A5AF8">
        <w:t>Vehicle Alarm Systems</w:t>
      </w:r>
      <w:r w:rsidR="008B334F" w:rsidRPr="000A118C">
        <w:t>)</w:t>
      </w:r>
    </w:p>
    <w:p w14:paraId="523CDB7A" w14:textId="77777777" w:rsidR="00D421C6" w:rsidRDefault="00D421C6" w:rsidP="00D421C6">
      <w:pPr>
        <w:pStyle w:val="H1G"/>
      </w:pPr>
      <w:r>
        <w:tab/>
      </w:r>
      <w:r>
        <w:tab/>
      </w:r>
      <w:r w:rsidRPr="00A96F13">
        <w:t>Submitted</w:t>
      </w:r>
      <w:r w:rsidRPr="0036339F">
        <w:t xml:space="preserve"> by the </w:t>
      </w:r>
      <w:r>
        <w:t xml:space="preserve">Working Party on General Safety Provisions </w:t>
      </w:r>
      <w:r w:rsidRPr="005F3E9A">
        <w:rPr>
          <w:rStyle w:val="FootnoteReference"/>
          <w:sz w:val="20"/>
        </w:rPr>
        <w:footnoteReference w:customMarkFollows="1" w:id="2"/>
        <w:t>*</w:t>
      </w:r>
    </w:p>
    <w:p w14:paraId="03BCB8CE" w14:textId="731AB3FD"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Pr>
          <w:szCs w:val="24"/>
        </w:rPr>
        <w:t>General</w:t>
      </w:r>
      <w:r w:rsidRPr="00B60FC0">
        <w:rPr>
          <w:szCs w:val="24"/>
        </w:rPr>
        <w:t xml:space="preserve"> Safety </w:t>
      </w:r>
      <w:r>
        <w:rPr>
          <w:szCs w:val="24"/>
        </w:rPr>
        <w:t>Provisions</w:t>
      </w:r>
      <w:r>
        <w:rPr>
          <w:lang w:val="en-US"/>
        </w:rPr>
        <w:t xml:space="preserve"> (GRSG) at its 123</w:t>
      </w:r>
      <w:r w:rsidRPr="006F6536">
        <w:rPr>
          <w:vertAlign w:val="superscript"/>
          <w:lang w:val="en-US"/>
        </w:rPr>
        <w:t>rd</w:t>
      </w:r>
      <w:r>
        <w:rPr>
          <w:lang w:val="en-US"/>
        </w:rPr>
        <w:t xml:space="preserve"> session (</w:t>
      </w:r>
      <w:r w:rsidRPr="0078793E">
        <w:t>ECE/TRANS/WP.29/GRS</w:t>
      </w:r>
      <w:r>
        <w:t>G</w:t>
      </w:r>
      <w:r w:rsidRPr="0078793E">
        <w:t>/</w:t>
      </w:r>
      <w:r>
        <w:t xml:space="preserve">102, para. </w:t>
      </w:r>
      <w:r w:rsidR="00C76D0F">
        <w:t>4</w:t>
      </w:r>
      <w:r w:rsidR="0017446D">
        <w:t>8</w:t>
      </w:r>
      <w:r>
        <w:rPr>
          <w:lang w:val="en-US"/>
        </w:rPr>
        <w:t>). It is</w:t>
      </w:r>
      <w:r w:rsidRPr="00DB1488">
        <w:rPr>
          <w:lang w:val="en-US"/>
        </w:rPr>
        <w:t xml:space="preserve"> based </w:t>
      </w:r>
      <w:r w:rsidRPr="00905E5C">
        <w:rPr>
          <w:lang w:val="en-US"/>
        </w:rPr>
        <w:t>on</w:t>
      </w:r>
      <w:r w:rsidR="00225736">
        <w:t xml:space="preserve"> </w:t>
      </w:r>
      <w:r w:rsidR="00C76D0F">
        <w:t>ECE/TRANS/WP.29/</w:t>
      </w:r>
      <w:r w:rsidR="004B15EA">
        <w:t>GRSG/2022/1</w:t>
      </w:r>
      <w:r w:rsidR="007A5AF8">
        <w:t>6</w:t>
      </w:r>
      <w:r w:rsidR="00621BCF">
        <w:t xml:space="preserve"> </w:t>
      </w:r>
      <w:r w:rsidR="00BC414F">
        <w:t>not amended</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2</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1A1B4E55" w14:textId="77777777" w:rsidR="004C65A1" w:rsidRDefault="004C65A1" w:rsidP="004C65A1">
      <w:pPr>
        <w:pStyle w:val="SingleTxtG"/>
        <w:rPr>
          <w:rFonts w:eastAsia="DengXian"/>
          <w:iCs/>
          <w:lang w:eastAsia="zh-CN"/>
        </w:rPr>
      </w:pPr>
      <w:r>
        <w:rPr>
          <w:rFonts w:eastAsia="DengXian"/>
          <w:i/>
          <w:lang w:eastAsia="zh-CN"/>
        </w:rPr>
        <w:lastRenderedPageBreak/>
        <w:t xml:space="preserve">Paragraph 1, </w:t>
      </w:r>
      <w:r>
        <w:rPr>
          <w:rFonts w:eastAsia="DengXian"/>
          <w:iCs/>
          <w:lang w:eastAsia="zh-CN"/>
        </w:rPr>
        <w:t>amend to read (footnotes unchanged):</w:t>
      </w:r>
    </w:p>
    <w:p w14:paraId="2498DDA9" w14:textId="77777777" w:rsidR="004C65A1" w:rsidRDefault="004C65A1" w:rsidP="004C65A1">
      <w:pPr>
        <w:pStyle w:val="HChG"/>
        <w:ind w:left="2268"/>
      </w:pPr>
      <w:r>
        <w:t>"1.</w:t>
      </w:r>
      <w:r>
        <w:tab/>
        <w:t>Scope</w:t>
      </w:r>
    </w:p>
    <w:p w14:paraId="177C5A83" w14:textId="390AFCE2" w:rsidR="004C65A1" w:rsidRPr="00EC1A25" w:rsidRDefault="004C65A1" w:rsidP="004C65A1">
      <w:pPr>
        <w:keepNext/>
        <w:keepLines/>
        <w:suppressAutoHyphens w:val="0"/>
        <w:spacing w:after="120"/>
        <w:ind w:left="2268" w:right="1134"/>
        <w:jc w:val="both"/>
      </w:pPr>
      <w:r w:rsidRPr="00EC1A25">
        <w:t xml:space="preserve">This </w:t>
      </w:r>
      <w:r w:rsidR="005125AB">
        <w:t xml:space="preserve">UN </w:t>
      </w:r>
      <w:r w:rsidRPr="00EC1A25">
        <w:t>Regulation applies to:</w:t>
      </w:r>
    </w:p>
    <w:p w14:paraId="07227FC1" w14:textId="3E43067F" w:rsidR="004C65A1" w:rsidRPr="00EC1A25" w:rsidRDefault="004C65A1" w:rsidP="00EC1A25">
      <w:pPr>
        <w:keepNext/>
        <w:keepLines/>
        <w:tabs>
          <w:tab w:val="left" w:pos="2268"/>
        </w:tabs>
        <w:suppressAutoHyphens w:val="0"/>
        <w:spacing w:after="120"/>
        <w:ind w:left="2268" w:right="1134" w:hanging="1134"/>
        <w:jc w:val="both"/>
      </w:pPr>
      <w:r w:rsidRPr="00EC1A25">
        <w:t>1.1.</w:t>
      </w:r>
      <w:r w:rsidRPr="00EC1A25">
        <w:tab/>
        <w:t xml:space="preserve">Approval of Vehicle Alarm Systems (VAS) which are intended to be permanently fitted to vehicles of any category. </w:t>
      </w:r>
      <w:r w:rsidRPr="00EC1A25">
        <w:rPr>
          <w:vertAlign w:val="superscript"/>
        </w:rPr>
        <w:t>1, 2</w:t>
      </w:r>
    </w:p>
    <w:p w14:paraId="518BB327" w14:textId="77777777" w:rsidR="004C65A1" w:rsidRPr="00EC1A25" w:rsidRDefault="004C65A1" w:rsidP="004C65A1">
      <w:pPr>
        <w:keepNext/>
        <w:keepLines/>
        <w:suppressAutoHyphens w:val="0"/>
        <w:spacing w:after="120"/>
        <w:ind w:left="2268" w:right="1134" w:hanging="1134"/>
        <w:jc w:val="both"/>
      </w:pPr>
      <w:r w:rsidRPr="00EC1A25">
        <w:t>1.2.</w:t>
      </w:r>
      <w:r w:rsidRPr="00EC1A25">
        <w:tab/>
        <w:t>Approval of vehicles of category M</w:t>
      </w:r>
      <w:r w:rsidRPr="00EC1A25">
        <w:rPr>
          <w:vertAlign w:val="subscript"/>
        </w:rPr>
        <w:t>1</w:t>
      </w:r>
      <w:r w:rsidRPr="00EC1A25">
        <w:t xml:space="preserve"> and those of category N</w:t>
      </w:r>
      <w:r w:rsidRPr="00EC1A25">
        <w:rPr>
          <w:vertAlign w:val="subscript"/>
        </w:rPr>
        <w:t>1</w:t>
      </w:r>
      <w:r w:rsidRPr="00EC1A25">
        <w:t xml:space="preserve"> with a maximum mass of not more than 2 tonnes, with regard to their alarm system(s). </w:t>
      </w:r>
      <w:r w:rsidRPr="00EC1A25">
        <w:rPr>
          <w:vertAlign w:val="superscript"/>
        </w:rPr>
        <w:t>2</w:t>
      </w:r>
    </w:p>
    <w:p w14:paraId="7764C72A" w14:textId="57255EAD" w:rsidR="004C65A1" w:rsidRPr="00EC1A25" w:rsidRDefault="004C65A1" w:rsidP="004C65A1">
      <w:pPr>
        <w:keepNext/>
        <w:keepLines/>
        <w:suppressAutoHyphens w:val="0"/>
        <w:spacing w:after="120"/>
        <w:ind w:left="2268" w:right="1134" w:hanging="1134"/>
        <w:jc w:val="both"/>
      </w:pPr>
      <w:r w:rsidRPr="00EC1A25">
        <w:t>1.3.</w:t>
      </w:r>
      <w:r w:rsidRPr="00EC1A25">
        <w:tab/>
        <w:t xml:space="preserve">At the request of the manufacturer, Contracting Parties may grant approvals to vehicles of </w:t>
      </w:r>
      <w:r w:rsidRPr="005A6FBB">
        <w:t xml:space="preserve">other </w:t>
      </w:r>
      <w:r w:rsidR="0064377A" w:rsidRPr="005A6FBB">
        <w:t xml:space="preserve">categories </w:t>
      </w:r>
      <w:r w:rsidRPr="005A6FBB">
        <w:t xml:space="preserve">with </w:t>
      </w:r>
      <w:r w:rsidRPr="00EC1A25">
        <w:t>regard to their alarm system(s).</w:t>
      </w:r>
    </w:p>
    <w:p w14:paraId="70399AF4" w14:textId="53726C8F" w:rsidR="004C65A1" w:rsidRPr="00EC1A25" w:rsidRDefault="004C65A1" w:rsidP="004C65A1">
      <w:pPr>
        <w:keepNext/>
        <w:keepLines/>
        <w:tabs>
          <w:tab w:val="left" w:pos="2268"/>
        </w:tabs>
        <w:suppressAutoHyphens w:val="0"/>
        <w:spacing w:after="120"/>
        <w:ind w:left="2268" w:right="1134" w:hanging="1134"/>
        <w:jc w:val="both"/>
      </w:pPr>
      <w:r w:rsidRPr="00EC1A25">
        <w:t>1.4.</w:t>
      </w:r>
      <w:r w:rsidRPr="00EC1A25">
        <w:tab/>
        <w:t xml:space="preserve">This </w:t>
      </w:r>
      <w:r w:rsidR="005125AB">
        <w:t>UN Regulation</w:t>
      </w:r>
      <w:r w:rsidRPr="00EC1A25">
        <w:t xml:space="preserve"> does not apply to radio transmission frequencies, whether or not related to the protection of vehicles against unauthorized use."</w:t>
      </w:r>
    </w:p>
    <w:p w14:paraId="6CFA76DA" w14:textId="77777777" w:rsidR="004C65A1" w:rsidRPr="00EC1A25" w:rsidRDefault="004C65A1" w:rsidP="004C65A1">
      <w:pPr>
        <w:pStyle w:val="para"/>
        <w:ind w:left="1170" w:firstLine="0"/>
        <w:rPr>
          <w:i/>
        </w:rPr>
      </w:pPr>
      <w:r w:rsidRPr="00EC1A25">
        <w:rPr>
          <w:i/>
        </w:rPr>
        <w:t xml:space="preserve">Paragraph 7, </w:t>
      </w:r>
      <w:r w:rsidRPr="00EC1A25">
        <w:rPr>
          <w:iCs/>
        </w:rPr>
        <w:t>amend to read (paragraphs 7.1. to 7.2.15. remain unchanged):</w:t>
      </w:r>
    </w:p>
    <w:p w14:paraId="5FAE7EE8" w14:textId="77777777" w:rsidR="004C65A1" w:rsidRDefault="004C65A1" w:rsidP="004C65A1">
      <w:pPr>
        <w:pStyle w:val="HChG"/>
        <w:tabs>
          <w:tab w:val="left" w:pos="720"/>
        </w:tabs>
        <w:ind w:left="2268"/>
        <w:rPr>
          <w:b w:val="0"/>
          <w:bCs/>
        </w:rPr>
      </w:pPr>
      <w:r>
        <w:rPr>
          <w:b w:val="0"/>
          <w:bCs/>
        </w:rPr>
        <w:t>"</w:t>
      </w:r>
      <w:r>
        <w:t>7.</w:t>
      </w:r>
      <w:r>
        <w:tab/>
        <w:t>Operation parameters and test conditions</w:t>
      </w:r>
    </w:p>
    <w:p w14:paraId="444771E8" w14:textId="77777777" w:rsidR="004C65A1" w:rsidRPr="00EC1A25" w:rsidRDefault="004C65A1" w:rsidP="004C65A1">
      <w:pPr>
        <w:tabs>
          <w:tab w:val="left" w:pos="2268"/>
        </w:tabs>
        <w:spacing w:before="120" w:after="120" w:line="240" w:lineRule="auto"/>
        <w:ind w:left="2268" w:right="1134" w:hanging="1134"/>
        <w:jc w:val="both"/>
        <w:rPr>
          <w:bCs/>
        </w:rPr>
      </w:pPr>
      <w:r w:rsidRPr="00EC1A25">
        <w:rPr>
          <w:bCs/>
        </w:rPr>
        <w:tab/>
        <w:t>Lamps which are used as part of the optical warning devices and which are included in the standard car lighting system need not comply with the operation parameters in paragraph 7.1. and shall not be submitted to tests listed under paragraph 7.2.</w:t>
      </w:r>
    </w:p>
    <w:p w14:paraId="03E9B324" w14:textId="77777777" w:rsidR="004C65A1" w:rsidRPr="00EC1A25" w:rsidRDefault="004C65A1" w:rsidP="004C65A1">
      <w:pPr>
        <w:tabs>
          <w:tab w:val="left" w:pos="2268"/>
        </w:tabs>
        <w:spacing w:before="120" w:after="120" w:line="240" w:lineRule="auto"/>
        <w:ind w:left="2268" w:right="1134" w:hanging="1134"/>
        <w:jc w:val="both"/>
        <w:rPr>
          <w:bCs/>
        </w:rPr>
      </w:pPr>
      <w:r w:rsidRPr="00EC1A25">
        <w:rPr>
          <w:bCs/>
        </w:rPr>
        <w:tab/>
        <w:t>Components that are not embedded in the vehicle (e.g. keys which are used for activation/deactivation of VAS) need not to comply with the operation parameters in paragraph 7.1. and are not required to be submitted to test listed under paragraph 7.2."</w:t>
      </w:r>
    </w:p>
    <w:p w14:paraId="378A2819" w14:textId="77777777" w:rsidR="004C65A1" w:rsidRDefault="004C65A1" w:rsidP="004C65A1">
      <w:pPr>
        <w:pStyle w:val="para"/>
        <w:ind w:left="1170" w:firstLine="0"/>
      </w:pPr>
      <w:r>
        <w:rPr>
          <w:i/>
        </w:rPr>
        <w:t xml:space="preserve">Paragraphs 14.1. to 14.3., </w:t>
      </w:r>
      <w:r>
        <w:rPr>
          <w:iCs/>
        </w:rPr>
        <w:t>shall be</w:t>
      </w:r>
      <w:r>
        <w:rPr>
          <w:i/>
        </w:rPr>
        <w:t xml:space="preserve"> </w:t>
      </w:r>
      <w:r>
        <w:t>deleted:</w:t>
      </w:r>
    </w:p>
    <w:p w14:paraId="4A310D84" w14:textId="77777777" w:rsidR="004C65A1" w:rsidRDefault="004C65A1" w:rsidP="004C65A1">
      <w:pPr>
        <w:pStyle w:val="para"/>
        <w:ind w:left="1170" w:firstLine="0"/>
      </w:pPr>
      <w:r>
        <w:rPr>
          <w:bCs/>
          <w:i/>
          <w:iCs/>
        </w:rPr>
        <w:t xml:space="preserve">Insert new </w:t>
      </w:r>
      <w:r>
        <w:rPr>
          <w:i/>
        </w:rPr>
        <w:t xml:space="preserve">Paragraphs14.1. to 14.3., </w:t>
      </w:r>
      <w:r>
        <w:t>to read:</w:t>
      </w:r>
    </w:p>
    <w:p w14:paraId="56E050E7" w14:textId="77777777" w:rsidR="004C65A1" w:rsidRDefault="004C65A1" w:rsidP="004C65A1">
      <w:pPr>
        <w:pStyle w:val="HChG"/>
        <w:ind w:left="2268"/>
        <w:rPr>
          <w:b w:val="0"/>
          <w:bCs/>
        </w:rPr>
      </w:pPr>
      <w:r>
        <w:rPr>
          <w:b w:val="0"/>
          <w:bCs/>
        </w:rPr>
        <w:t>"</w:t>
      </w:r>
      <w:r>
        <w:t>14.</w:t>
      </w:r>
      <w:r>
        <w:tab/>
        <w:t>Modification of the type and extension of approval</w:t>
      </w:r>
    </w:p>
    <w:p w14:paraId="768C807C" w14:textId="7087DCB9" w:rsidR="004C65A1" w:rsidRPr="00EC1A25" w:rsidRDefault="004C65A1" w:rsidP="004C65A1">
      <w:pPr>
        <w:pStyle w:val="SingleTxtG"/>
        <w:ind w:left="2250" w:hanging="1116"/>
      </w:pPr>
      <w:r w:rsidRPr="00EC1A25">
        <w:t>14.1.</w:t>
      </w:r>
      <w:r w:rsidRPr="00EC1A25">
        <w:tab/>
        <w:t xml:space="preserve">Every modification of a vehicle or component type with regard to this </w:t>
      </w:r>
      <w:r w:rsidR="005125AB">
        <w:t>UN Regulation</w:t>
      </w:r>
      <w:r w:rsidRPr="00EC1A25">
        <w:t xml:space="preserve"> shall be notified to the </w:t>
      </w:r>
      <w:r w:rsidR="007248D3">
        <w:t xml:space="preserve">type approval authority (TAA) </w:t>
      </w:r>
      <w:r w:rsidRPr="00EC1A25">
        <w:t>which approved the vehicle or component type. The</w:t>
      </w:r>
      <w:r w:rsidR="007248D3">
        <w:t xml:space="preserve"> TAA </w:t>
      </w:r>
      <w:r w:rsidRPr="00EC1A25">
        <w:t>may then either:</w:t>
      </w:r>
    </w:p>
    <w:p w14:paraId="072A1BB2" w14:textId="77777777" w:rsidR="004C65A1" w:rsidRPr="00EC1A25" w:rsidRDefault="004C65A1" w:rsidP="004C65A1">
      <w:pPr>
        <w:pStyle w:val="SingleTxtG"/>
        <w:ind w:left="2250" w:hanging="1116"/>
      </w:pPr>
      <w:r w:rsidRPr="00EC1A25">
        <w:t>14.1.1.</w:t>
      </w:r>
      <w:r w:rsidRPr="00EC1A25">
        <w:tab/>
        <w:t>consider that the modifications made are unlikely to have an appreciable adverse effect and that in any case the component or the vehicle still complies with the requirements, or</w:t>
      </w:r>
    </w:p>
    <w:p w14:paraId="75753EDF" w14:textId="77777777" w:rsidR="004C65A1" w:rsidRPr="00EC1A25" w:rsidRDefault="004C65A1" w:rsidP="004C65A1">
      <w:pPr>
        <w:pStyle w:val="SingleTxtG"/>
        <w:ind w:left="2250" w:hanging="1116"/>
      </w:pPr>
      <w:r w:rsidRPr="00EC1A25">
        <w:t>14.1.2.</w:t>
      </w:r>
      <w:r w:rsidRPr="00EC1A25">
        <w:tab/>
        <w:t>require a further report from the technical service responsible for conducting the tests.</w:t>
      </w:r>
    </w:p>
    <w:p w14:paraId="2DF9EE98" w14:textId="200B58E8" w:rsidR="004C65A1" w:rsidRPr="00EC1A25" w:rsidRDefault="004C65A1" w:rsidP="004C65A1">
      <w:pPr>
        <w:pStyle w:val="SingleTxtG"/>
        <w:ind w:left="2250" w:hanging="1116"/>
      </w:pPr>
      <w:r w:rsidRPr="00EC1A25">
        <w:t>14.2.</w:t>
      </w:r>
      <w:r w:rsidRPr="00EC1A25">
        <w:tab/>
        <w:t xml:space="preserve">Confirmation or refusal of approval, specifying the alteration, shall be communicated by the procedure specified in paragraph 4.3. above to the Contracting Parties to the Agreement applying this </w:t>
      </w:r>
      <w:r w:rsidR="005125AB">
        <w:t>UN Regulation</w:t>
      </w:r>
      <w:r w:rsidRPr="00EC1A25">
        <w:t>.</w:t>
      </w:r>
    </w:p>
    <w:p w14:paraId="6843012D" w14:textId="0E92103F" w:rsidR="004C65A1" w:rsidRPr="00EC1A25" w:rsidRDefault="004C65A1" w:rsidP="004C65A1">
      <w:pPr>
        <w:pStyle w:val="SingleTxtG"/>
        <w:ind w:left="2250" w:hanging="1116"/>
      </w:pPr>
      <w:r w:rsidRPr="00EC1A25">
        <w:t>14.3.</w:t>
      </w:r>
      <w:r w:rsidRPr="00EC1A25">
        <w:tab/>
        <w:t xml:space="preserve">The </w:t>
      </w:r>
      <w:r w:rsidR="007248D3">
        <w:t>TAA</w:t>
      </w:r>
      <w:r w:rsidRPr="00EC1A25">
        <w:t xml:space="preserve"> issuing the extension of approval shall inform the other Contracting Parties of the extension by means of the communication</w:t>
      </w:r>
      <w:r>
        <w:rPr>
          <w:b/>
          <w:bCs/>
        </w:rPr>
        <w:t xml:space="preserve"> </w:t>
      </w:r>
      <w:r w:rsidRPr="00EC1A25">
        <w:t xml:space="preserve">form which appears in Annex 1 to this </w:t>
      </w:r>
      <w:r w:rsidR="005125AB">
        <w:t>UN Regulation</w:t>
      </w:r>
      <w:r w:rsidRPr="00EC1A25">
        <w:t>. It shall assign a serial number to each communication form drawn up for such an extension."</w:t>
      </w:r>
    </w:p>
    <w:p w14:paraId="6D9111E2" w14:textId="77777777" w:rsidR="004C65A1" w:rsidRDefault="004C65A1" w:rsidP="004C65A1">
      <w:pPr>
        <w:pStyle w:val="SingleTxtG"/>
      </w:pPr>
      <w:r>
        <w:rPr>
          <w:i/>
          <w:iCs/>
        </w:rPr>
        <w:t>Annex 1a, paragraph 3.1.1</w:t>
      </w:r>
      <w:r>
        <w:t>., amend to read:</w:t>
      </w:r>
    </w:p>
    <w:p w14:paraId="7167F293" w14:textId="4688E428" w:rsidR="004C65A1" w:rsidRPr="00EC1A25" w:rsidRDefault="004C65A1" w:rsidP="004C65A1">
      <w:pPr>
        <w:tabs>
          <w:tab w:val="left" w:pos="2268"/>
        </w:tabs>
        <w:suppressAutoHyphens w:val="0"/>
        <w:spacing w:after="120"/>
        <w:ind w:left="2268" w:right="1088" w:hanging="1134"/>
        <w:jc w:val="both"/>
      </w:pPr>
      <w:r w:rsidRPr="00EC1A25">
        <w:t>"3.1.1.</w:t>
      </w:r>
      <w:r w:rsidRPr="00EC1A25">
        <w:tab/>
        <w:t xml:space="preserve">A detailed description of the vehicle type with regard to the arrangement of the installed vehicle alarm system illustrated by photographs and/or drawings (where the vehicle alarm system is already type approved as a separate technical </w:t>
      </w:r>
      <w:r w:rsidRPr="00EC1A25">
        <w:lastRenderedPageBreak/>
        <w:t>unit, reference may be made to the description in item 4.2. of the vehicle alarm system manufacturer’s information document):"</w:t>
      </w:r>
    </w:p>
    <w:p w14:paraId="3BD1EBC3" w14:textId="77777777" w:rsidR="004C65A1" w:rsidRDefault="004C65A1" w:rsidP="004C65A1">
      <w:pPr>
        <w:spacing w:after="120"/>
        <w:ind w:left="1166"/>
        <w:rPr>
          <w:i/>
        </w:rPr>
      </w:pPr>
      <w:r>
        <w:rPr>
          <w:i/>
        </w:rPr>
        <w:t>Annex 2b, paragraph 4.2.4.</w:t>
      </w:r>
      <w:r>
        <w:t>, amend to read:</w:t>
      </w:r>
    </w:p>
    <w:p w14:paraId="7F4E6324" w14:textId="60067484" w:rsidR="004C65A1" w:rsidRPr="00EC1A25" w:rsidRDefault="004C65A1" w:rsidP="004C65A1">
      <w:pPr>
        <w:tabs>
          <w:tab w:val="left" w:pos="2268"/>
        </w:tabs>
        <w:suppressAutoHyphens w:val="0"/>
        <w:spacing w:after="120"/>
        <w:ind w:left="2268" w:right="1134" w:hanging="1134"/>
        <w:jc w:val="both"/>
        <w:rPr>
          <w:rFonts w:eastAsia="DengXian"/>
          <w:lang w:eastAsia="zh-CN"/>
        </w:rPr>
      </w:pPr>
      <w:r w:rsidRPr="00EC1A25">
        <w:t>"4.2.4</w:t>
      </w:r>
      <w:r w:rsidRPr="00EC1A25">
        <w:tab/>
        <w:t>Types of vehicles on which the vehicle alarm system has been tested:"</w:t>
      </w: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2"/>
      <w:headerReference w:type="default" r:id="rId13"/>
      <w:footerReference w:type="even" r:id="rId14"/>
      <w:footerReference w:type="default" r:id="rId15"/>
      <w:footerReference w:type="first" r:id="rId16"/>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334A" w14:textId="77777777" w:rsidR="00BC5F62" w:rsidRDefault="00BC5F62" w:rsidP="00203C11">
      <w:pPr>
        <w:spacing w:line="240" w:lineRule="auto"/>
      </w:pPr>
      <w:r>
        <w:separator/>
      </w:r>
    </w:p>
  </w:endnote>
  <w:endnote w:type="continuationSeparator" w:id="0">
    <w:p w14:paraId="664FD259" w14:textId="77777777" w:rsidR="00BC5F62" w:rsidRDefault="00BC5F62" w:rsidP="00203C11">
      <w:pPr>
        <w:spacing w:line="240" w:lineRule="auto"/>
      </w:pPr>
      <w:r>
        <w:continuationSeparator/>
      </w:r>
    </w:p>
  </w:endnote>
  <w:endnote w:type="continuationNotice" w:id="1">
    <w:p w14:paraId="4BD668D5" w14:textId="77777777" w:rsidR="00BC5F62" w:rsidRDefault="00BC5F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72481"/>
      <w:docPartObj>
        <w:docPartGallery w:val="Page Numbers (Bottom of Page)"/>
        <w:docPartUnique/>
      </w:docPartObj>
    </w:sdtPr>
    <w:sdtEndPr>
      <w:rPr>
        <w:b/>
        <w:bCs/>
        <w:noProof/>
      </w:rPr>
    </w:sdtEndPr>
    <w:sdtContent>
      <w:p w14:paraId="7CDEE85A" w14:textId="13971EEE" w:rsidR="00F9034D" w:rsidRPr="00F9034D" w:rsidRDefault="00F9034D">
        <w:pPr>
          <w:pStyle w:val="Footer"/>
          <w:rPr>
            <w:b/>
            <w:bCs/>
          </w:rPr>
        </w:pPr>
        <w:r w:rsidRPr="00F9034D">
          <w:rPr>
            <w:b/>
            <w:bCs/>
          </w:rPr>
          <w:fldChar w:fldCharType="begin"/>
        </w:r>
        <w:r w:rsidRPr="00F9034D">
          <w:rPr>
            <w:b/>
            <w:bCs/>
          </w:rPr>
          <w:instrText xml:space="preserve"> PAGE   \* MERGEFORMAT </w:instrText>
        </w:r>
        <w:r w:rsidRPr="00F9034D">
          <w:rPr>
            <w:b/>
            <w:bCs/>
          </w:rPr>
          <w:fldChar w:fldCharType="separate"/>
        </w:r>
        <w:r w:rsidRPr="00F9034D">
          <w:rPr>
            <w:b/>
            <w:bCs/>
            <w:noProof/>
          </w:rPr>
          <w:t>2</w:t>
        </w:r>
        <w:r w:rsidRPr="00F9034D">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207061"/>
      <w:docPartObj>
        <w:docPartGallery w:val="Page Numbers (Bottom of Page)"/>
        <w:docPartUnique/>
      </w:docPartObj>
    </w:sdtPr>
    <w:sdtEndPr>
      <w:rPr>
        <w:noProof/>
      </w:rPr>
    </w:sdtEndPr>
    <w:sdtContent>
      <w:p w14:paraId="26F9E933" w14:textId="6A8CAC36" w:rsidR="00824685" w:rsidRDefault="00824685" w:rsidP="00824685">
        <w:pPr>
          <w:pStyle w:val="Footer"/>
          <w:jc w:val="right"/>
        </w:pPr>
        <w:r w:rsidRPr="00824685">
          <w:rPr>
            <w:b/>
            <w:bCs/>
          </w:rPr>
          <w:fldChar w:fldCharType="begin"/>
        </w:r>
        <w:r w:rsidRPr="00824685">
          <w:rPr>
            <w:b/>
            <w:bCs/>
          </w:rPr>
          <w:instrText xml:space="preserve"> PAGE   \* MERGEFORMAT </w:instrText>
        </w:r>
        <w:r w:rsidRPr="00824685">
          <w:rPr>
            <w:b/>
            <w:bCs/>
          </w:rPr>
          <w:fldChar w:fldCharType="separate"/>
        </w:r>
        <w:r w:rsidRPr="00824685">
          <w:rPr>
            <w:b/>
            <w:bCs/>
            <w:noProof/>
          </w:rPr>
          <w:t>2</w:t>
        </w:r>
        <w:r w:rsidRPr="00824685">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2D0F00D0" w:rsidR="001C64C2" w:rsidRDefault="00B228F2" w:rsidP="00B228F2">
    <w:pPr>
      <w:pStyle w:val="Footer"/>
      <w:jc w:val="right"/>
      <w:rPr>
        <w:b/>
        <w:bCs/>
      </w:rPr>
    </w:pPr>
    <w:bookmarkStart w:id="0" w:name="_GoBack"/>
    <w:bookmarkEnd w:id="0"/>
    <w:r w:rsidRPr="00B228F2">
      <w:rPr>
        <w:b/>
        <w:bCs/>
        <w:lang w:val="en-US" w:eastAsia="zh-CN"/>
      </w:rPr>
      <w:drawing>
        <wp:anchor distT="0" distB="0" distL="114300" distR="114300" simplePos="0" relativeHeight="251659264" behindDoc="1" locked="1" layoutInCell="1" allowOverlap="1" wp14:anchorId="730E4741" wp14:editId="05D08F1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9EE4A9" w14:textId="6052037F" w:rsidR="00B228F2" w:rsidRPr="00B228F2" w:rsidRDefault="00B228F2" w:rsidP="00B228F2">
    <w:pPr>
      <w:pStyle w:val="Footer"/>
      <w:ind w:right="1134"/>
      <w:rPr>
        <w:sz w:val="20"/>
      </w:rPr>
    </w:pPr>
    <w:r w:rsidRPr="00B228F2">
      <w:rPr>
        <w:sz w:val="20"/>
      </w:rPr>
      <w:t>GE.22-13424(E)</w:t>
    </w:r>
    <w:r w:rsidRPr="00B228F2">
      <w:rPr>
        <w:sz w:val="20"/>
      </w:rPr>
      <w:drawing>
        <wp:anchor distT="0" distB="0" distL="114300" distR="114300" simplePos="0" relativeHeight="251660288" behindDoc="0" locked="0" layoutInCell="1" allowOverlap="1" wp14:anchorId="32D53BE2" wp14:editId="3ACB8F6A">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8188" w14:textId="77777777" w:rsidR="00BC5F62" w:rsidRPr="00E378AC" w:rsidRDefault="00BC5F62" w:rsidP="00E378AC">
      <w:pPr>
        <w:tabs>
          <w:tab w:val="right" w:pos="2155"/>
        </w:tabs>
        <w:spacing w:after="80"/>
        <w:ind w:left="680"/>
        <w:rPr>
          <w:u w:val="single"/>
        </w:rPr>
      </w:pPr>
      <w:r>
        <w:rPr>
          <w:u w:val="single"/>
        </w:rPr>
        <w:tab/>
      </w:r>
    </w:p>
  </w:footnote>
  <w:footnote w:type="continuationSeparator" w:id="0">
    <w:p w14:paraId="371DB52F" w14:textId="77777777" w:rsidR="00BC5F62" w:rsidRDefault="00BC5F62">
      <w:r>
        <w:continuationSeparator/>
      </w:r>
    </w:p>
  </w:footnote>
  <w:footnote w:type="continuationNotice" w:id="1">
    <w:p w14:paraId="24E2776F" w14:textId="77777777" w:rsidR="00BC5F62" w:rsidRDefault="00BC5F62">
      <w:pPr>
        <w:spacing w:line="240" w:lineRule="auto"/>
      </w:pPr>
    </w:p>
  </w:footnote>
  <w:footnote w:id="2">
    <w:p w14:paraId="7A0A765F" w14:textId="77777777" w:rsidR="00D421C6" w:rsidRPr="002B323F" w:rsidRDefault="00D421C6" w:rsidP="00755693">
      <w:pPr>
        <w:pStyle w:val="FootnoteText"/>
        <w:tabs>
          <w:tab w:val="left" w:pos="993"/>
        </w:tabs>
        <w:spacing w:line="220" w:lineRule="exact"/>
        <w:ind w:left="1134" w:right="1133" w:hanging="1134"/>
        <w:rPr>
          <w:sz w:val="18"/>
        </w:rPr>
      </w:pPr>
      <w:r w:rsidRPr="002B323F">
        <w:rPr>
          <w:sz w:val="18"/>
        </w:rPr>
        <w:tab/>
      </w:r>
      <w:r w:rsidRPr="002B323F">
        <w:rPr>
          <w:rStyle w:val="FootnoteReference"/>
        </w:rPr>
        <w:t>*</w:t>
      </w:r>
      <w:r w:rsidRPr="002B323F">
        <w:rPr>
          <w:sz w:val="18"/>
        </w:rPr>
        <w:tab/>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2E4E" w14:textId="4CA119D4" w:rsidR="00DA05F3" w:rsidRDefault="00DA05F3" w:rsidP="00651491">
    <w:pPr>
      <w:pStyle w:val="Header"/>
    </w:pPr>
    <w:r>
      <w:t>ECE/TRANS/WP.29/2022/1</w:t>
    </w:r>
    <w:r w:rsidR="00AA4892">
      <w:t>2</w:t>
    </w:r>
    <w:r w:rsidR="00C56270">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0325" w14:textId="60CCD807" w:rsidR="006D14D8" w:rsidRDefault="006D14D8" w:rsidP="006D14D8">
    <w:pPr>
      <w:pStyle w:val="Header"/>
      <w:jc w:val="right"/>
    </w:pPr>
    <w:r>
      <w:t>ECE/TRANS/WP.29/2022/127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5C9F"/>
    <w:rsid w:val="000107D8"/>
    <w:rsid w:val="00013969"/>
    <w:rsid w:val="000230F1"/>
    <w:rsid w:val="00025CF8"/>
    <w:rsid w:val="00032424"/>
    <w:rsid w:val="00037C99"/>
    <w:rsid w:val="0004534F"/>
    <w:rsid w:val="00051F6C"/>
    <w:rsid w:val="00054B25"/>
    <w:rsid w:val="00055423"/>
    <w:rsid w:val="00056FD9"/>
    <w:rsid w:val="0005715A"/>
    <w:rsid w:val="00061BB4"/>
    <w:rsid w:val="00065893"/>
    <w:rsid w:val="00066E26"/>
    <w:rsid w:val="0006705C"/>
    <w:rsid w:val="00073404"/>
    <w:rsid w:val="00074B62"/>
    <w:rsid w:val="00081E82"/>
    <w:rsid w:val="00083BA1"/>
    <w:rsid w:val="000909E6"/>
    <w:rsid w:val="000A219B"/>
    <w:rsid w:val="000A4AB0"/>
    <w:rsid w:val="000A5A19"/>
    <w:rsid w:val="000A7087"/>
    <w:rsid w:val="000B449F"/>
    <w:rsid w:val="000B6FBE"/>
    <w:rsid w:val="000C296F"/>
    <w:rsid w:val="000C356D"/>
    <w:rsid w:val="000C59B8"/>
    <w:rsid w:val="000C75E6"/>
    <w:rsid w:val="000C7EBF"/>
    <w:rsid w:val="000D367D"/>
    <w:rsid w:val="000D57B5"/>
    <w:rsid w:val="000D796C"/>
    <w:rsid w:val="000E252E"/>
    <w:rsid w:val="000F5B80"/>
    <w:rsid w:val="00101BEF"/>
    <w:rsid w:val="0011327F"/>
    <w:rsid w:val="00113DE0"/>
    <w:rsid w:val="001276F6"/>
    <w:rsid w:val="001309F4"/>
    <w:rsid w:val="0013577F"/>
    <w:rsid w:val="00151208"/>
    <w:rsid w:val="0015307E"/>
    <w:rsid w:val="00156754"/>
    <w:rsid w:val="0016017D"/>
    <w:rsid w:val="001641E8"/>
    <w:rsid w:val="0017097E"/>
    <w:rsid w:val="00170E8B"/>
    <w:rsid w:val="001711CD"/>
    <w:rsid w:val="00171B7D"/>
    <w:rsid w:val="00173DA3"/>
    <w:rsid w:val="00173FFE"/>
    <w:rsid w:val="0017446D"/>
    <w:rsid w:val="00174CAC"/>
    <w:rsid w:val="00176F09"/>
    <w:rsid w:val="001802C9"/>
    <w:rsid w:val="00185078"/>
    <w:rsid w:val="001939AF"/>
    <w:rsid w:val="00194959"/>
    <w:rsid w:val="00195EB5"/>
    <w:rsid w:val="00197A14"/>
    <w:rsid w:val="001B25AE"/>
    <w:rsid w:val="001B5B00"/>
    <w:rsid w:val="001C03BD"/>
    <w:rsid w:val="001C64C2"/>
    <w:rsid w:val="001C6D07"/>
    <w:rsid w:val="001D0DAC"/>
    <w:rsid w:val="001D6794"/>
    <w:rsid w:val="001D6C5C"/>
    <w:rsid w:val="001E46F5"/>
    <w:rsid w:val="001E4F76"/>
    <w:rsid w:val="001E50C1"/>
    <w:rsid w:val="001F1DCE"/>
    <w:rsid w:val="001F27DC"/>
    <w:rsid w:val="00203BAB"/>
    <w:rsid w:val="00203C11"/>
    <w:rsid w:val="00207ABC"/>
    <w:rsid w:val="00212DD4"/>
    <w:rsid w:val="00214421"/>
    <w:rsid w:val="0021468D"/>
    <w:rsid w:val="00216BF2"/>
    <w:rsid w:val="00222D9F"/>
    <w:rsid w:val="00223E27"/>
    <w:rsid w:val="00225736"/>
    <w:rsid w:val="0023139E"/>
    <w:rsid w:val="00242021"/>
    <w:rsid w:val="00244BF0"/>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5FE7"/>
    <w:rsid w:val="00276B99"/>
    <w:rsid w:val="002835CD"/>
    <w:rsid w:val="002879CA"/>
    <w:rsid w:val="00287FC7"/>
    <w:rsid w:val="00296028"/>
    <w:rsid w:val="002971A0"/>
    <w:rsid w:val="002A1F08"/>
    <w:rsid w:val="002A57E1"/>
    <w:rsid w:val="002B323F"/>
    <w:rsid w:val="002B3BEA"/>
    <w:rsid w:val="002B4811"/>
    <w:rsid w:val="002C25DD"/>
    <w:rsid w:val="002D24E5"/>
    <w:rsid w:val="002D337D"/>
    <w:rsid w:val="002D4268"/>
    <w:rsid w:val="002D7084"/>
    <w:rsid w:val="002E1A58"/>
    <w:rsid w:val="002E3A07"/>
    <w:rsid w:val="002E5A67"/>
    <w:rsid w:val="002E5C78"/>
    <w:rsid w:val="002E6B62"/>
    <w:rsid w:val="002F2746"/>
    <w:rsid w:val="00304786"/>
    <w:rsid w:val="00310E6B"/>
    <w:rsid w:val="0031353C"/>
    <w:rsid w:val="00314FE6"/>
    <w:rsid w:val="0031630D"/>
    <w:rsid w:val="00324F76"/>
    <w:rsid w:val="00326716"/>
    <w:rsid w:val="00326F61"/>
    <w:rsid w:val="00327A5A"/>
    <w:rsid w:val="00330C7D"/>
    <w:rsid w:val="00340A6E"/>
    <w:rsid w:val="003438D7"/>
    <w:rsid w:val="00343F08"/>
    <w:rsid w:val="00345DAB"/>
    <w:rsid w:val="00351879"/>
    <w:rsid w:val="00353EE7"/>
    <w:rsid w:val="00363633"/>
    <w:rsid w:val="00363C7A"/>
    <w:rsid w:val="00370021"/>
    <w:rsid w:val="00373B86"/>
    <w:rsid w:val="0038210D"/>
    <w:rsid w:val="00384A7B"/>
    <w:rsid w:val="00386259"/>
    <w:rsid w:val="00393BA6"/>
    <w:rsid w:val="0039598B"/>
    <w:rsid w:val="00395AF4"/>
    <w:rsid w:val="00397754"/>
    <w:rsid w:val="003A0316"/>
    <w:rsid w:val="003A3E6B"/>
    <w:rsid w:val="003A4A40"/>
    <w:rsid w:val="003C44DD"/>
    <w:rsid w:val="003C57CC"/>
    <w:rsid w:val="003C7D56"/>
    <w:rsid w:val="003D3861"/>
    <w:rsid w:val="003E1D7F"/>
    <w:rsid w:val="003E3C27"/>
    <w:rsid w:val="003E46C0"/>
    <w:rsid w:val="003E5F6A"/>
    <w:rsid w:val="003F6C67"/>
    <w:rsid w:val="003F73BE"/>
    <w:rsid w:val="0040340A"/>
    <w:rsid w:val="00406576"/>
    <w:rsid w:val="00406B7F"/>
    <w:rsid w:val="004102FC"/>
    <w:rsid w:val="00411DA6"/>
    <w:rsid w:val="00416775"/>
    <w:rsid w:val="00416C08"/>
    <w:rsid w:val="00423AFF"/>
    <w:rsid w:val="004306C1"/>
    <w:rsid w:val="00430E2D"/>
    <w:rsid w:val="00430EC1"/>
    <w:rsid w:val="0043310C"/>
    <w:rsid w:val="0043667A"/>
    <w:rsid w:val="00436A7E"/>
    <w:rsid w:val="00443DCE"/>
    <w:rsid w:val="00454729"/>
    <w:rsid w:val="00455C29"/>
    <w:rsid w:val="00457E8C"/>
    <w:rsid w:val="00461D8F"/>
    <w:rsid w:val="00465AA8"/>
    <w:rsid w:val="00466E57"/>
    <w:rsid w:val="004731BE"/>
    <w:rsid w:val="00473950"/>
    <w:rsid w:val="00480734"/>
    <w:rsid w:val="00482C1C"/>
    <w:rsid w:val="00484A4E"/>
    <w:rsid w:val="0048577D"/>
    <w:rsid w:val="00494903"/>
    <w:rsid w:val="0049506D"/>
    <w:rsid w:val="00495632"/>
    <w:rsid w:val="004A00DD"/>
    <w:rsid w:val="004A0EDD"/>
    <w:rsid w:val="004A2839"/>
    <w:rsid w:val="004A29E9"/>
    <w:rsid w:val="004A32A4"/>
    <w:rsid w:val="004B15EA"/>
    <w:rsid w:val="004B37EF"/>
    <w:rsid w:val="004B6088"/>
    <w:rsid w:val="004B6112"/>
    <w:rsid w:val="004B7B1B"/>
    <w:rsid w:val="004C01D3"/>
    <w:rsid w:val="004C5306"/>
    <w:rsid w:val="004C65A1"/>
    <w:rsid w:val="004C7EC4"/>
    <w:rsid w:val="004D0240"/>
    <w:rsid w:val="004D4317"/>
    <w:rsid w:val="004D5A4F"/>
    <w:rsid w:val="004E11BD"/>
    <w:rsid w:val="004E1C7E"/>
    <w:rsid w:val="004E232A"/>
    <w:rsid w:val="004E39C6"/>
    <w:rsid w:val="004E652D"/>
    <w:rsid w:val="004E6FBC"/>
    <w:rsid w:val="00502847"/>
    <w:rsid w:val="005125AB"/>
    <w:rsid w:val="0051309E"/>
    <w:rsid w:val="00526212"/>
    <w:rsid w:val="00532BAD"/>
    <w:rsid w:val="00532BE8"/>
    <w:rsid w:val="005340B0"/>
    <w:rsid w:val="00541748"/>
    <w:rsid w:val="005423C5"/>
    <w:rsid w:val="00542D4C"/>
    <w:rsid w:val="00544A41"/>
    <w:rsid w:val="00547077"/>
    <w:rsid w:val="00561C22"/>
    <w:rsid w:val="005628AC"/>
    <w:rsid w:val="00571025"/>
    <w:rsid w:val="005762BC"/>
    <w:rsid w:val="0058370A"/>
    <w:rsid w:val="00591BCB"/>
    <w:rsid w:val="00592DED"/>
    <w:rsid w:val="00594739"/>
    <w:rsid w:val="00597290"/>
    <w:rsid w:val="005A393A"/>
    <w:rsid w:val="005A39FD"/>
    <w:rsid w:val="005A6C69"/>
    <w:rsid w:val="005A6FBB"/>
    <w:rsid w:val="005B27E2"/>
    <w:rsid w:val="005B3E3F"/>
    <w:rsid w:val="005B4240"/>
    <w:rsid w:val="005C1A83"/>
    <w:rsid w:val="005C2292"/>
    <w:rsid w:val="005C7785"/>
    <w:rsid w:val="005D37CC"/>
    <w:rsid w:val="005D41C8"/>
    <w:rsid w:val="005D5BEA"/>
    <w:rsid w:val="005D5FCC"/>
    <w:rsid w:val="005D6185"/>
    <w:rsid w:val="005D7424"/>
    <w:rsid w:val="005E0615"/>
    <w:rsid w:val="005E2A28"/>
    <w:rsid w:val="005F033E"/>
    <w:rsid w:val="005F2D36"/>
    <w:rsid w:val="006007D4"/>
    <w:rsid w:val="00601B57"/>
    <w:rsid w:val="00602464"/>
    <w:rsid w:val="00605F2E"/>
    <w:rsid w:val="00606343"/>
    <w:rsid w:val="0060762D"/>
    <w:rsid w:val="00621BCF"/>
    <w:rsid w:val="00627026"/>
    <w:rsid w:val="006321A9"/>
    <w:rsid w:val="00640077"/>
    <w:rsid w:val="00641714"/>
    <w:rsid w:val="0064377A"/>
    <w:rsid w:val="00651491"/>
    <w:rsid w:val="00652C98"/>
    <w:rsid w:val="00662208"/>
    <w:rsid w:val="00670C8F"/>
    <w:rsid w:val="00671520"/>
    <w:rsid w:val="00682D92"/>
    <w:rsid w:val="00686461"/>
    <w:rsid w:val="0069031F"/>
    <w:rsid w:val="00692477"/>
    <w:rsid w:val="006A2B1F"/>
    <w:rsid w:val="006B40F3"/>
    <w:rsid w:val="006B7966"/>
    <w:rsid w:val="006C2F16"/>
    <w:rsid w:val="006D14D8"/>
    <w:rsid w:val="006D61D7"/>
    <w:rsid w:val="006F13D9"/>
    <w:rsid w:val="006F2B2E"/>
    <w:rsid w:val="006F4C48"/>
    <w:rsid w:val="006F6664"/>
    <w:rsid w:val="00706082"/>
    <w:rsid w:val="00710D0F"/>
    <w:rsid w:val="0071173F"/>
    <w:rsid w:val="00713FA7"/>
    <w:rsid w:val="00715B05"/>
    <w:rsid w:val="00717515"/>
    <w:rsid w:val="00717F9C"/>
    <w:rsid w:val="00720CD0"/>
    <w:rsid w:val="00722DFF"/>
    <w:rsid w:val="007248D3"/>
    <w:rsid w:val="007275B4"/>
    <w:rsid w:val="00731911"/>
    <w:rsid w:val="00733A22"/>
    <w:rsid w:val="00734F7A"/>
    <w:rsid w:val="0073781F"/>
    <w:rsid w:val="00741F61"/>
    <w:rsid w:val="00753886"/>
    <w:rsid w:val="00755693"/>
    <w:rsid w:val="007559EC"/>
    <w:rsid w:val="007632CC"/>
    <w:rsid w:val="00771407"/>
    <w:rsid w:val="0078308E"/>
    <w:rsid w:val="00783E5D"/>
    <w:rsid w:val="00785AC2"/>
    <w:rsid w:val="00791C17"/>
    <w:rsid w:val="007A0292"/>
    <w:rsid w:val="007A5AF8"/>
    <w:rsid w:val="007A5D89"/>
    <w:rsid w:val="007B0834"/>
    <w:rsid w:val="007B4AD8"/>
    <w:rsid w:val="007B6863"/>
    <w:rsid w:val="007C5525"/>
    <w:rsid w:val="007C5EE4"/>
    <w:rsid w:val="007D1613"/>
    <w:rsid w:val="007D1EE3"/>
    <w:rsid w:val="007D3A93"/>
    <w:rsid w:val="007D4306"/>
    <w:rsid w:val="007D4B49"/>
    <w:rsid w:val="007D5B86"/>
    <w:rsid w:val="007D785F"/>
    <w:rsid w:val="007E2782"/>
    <w:rsid w:val="007E631D"/>
    <w:rsid w:val="007E6B7A"/>
    <w:rsid w:val="007F4F0E"/>
    <w:rsid w:val="007F68D2"/>
    <w:rsid w:val="00804877"/>
    <w:rsid w:val="00804B3A"/>
    <w:rsid w:val="008058D9"/>
    <w:rsid w:val="00810A73"/>
    <w:rsid w:val="00811A90"/>
    <w:rsid w:val="00813236"/>
    <w:rsid w:val="00815B79"/>
    <w:rsid w:val="00816303"/>
    <w:rsid w:val="00817063"/>
    <w:rsid w:val="0082103C"/>
    <w:rsid w:val="008226DE"/>
    <w:rsid w:val="00824685"/>
    <w:rsid w:val="00831DAA"/>
    <w:rsid w:val="00832F3D"/>
    <w:rsid w:val="00840DF3"/>
    <w:rsid w:val="00842831"/>
    <w:rsid w:val="00844C12"/>
    <w:rsid w:val="00844DD5"/>
    <w:rsid w:val="008460C3"/>
    <w:rsid w:val="0084718D"/>
    <w:rsid w:val="00851340"/>
    <w:rsid w:val="00851578"/>
    <w:rsid w:val="00851613"/>
    <w:rsid w:val="008528E7"/>
    <w:rsid w:val="00852CAE"/>
    <w:rsid w:val="00864117"/>
    <w:rsid w:val="008647A4"/>
    <w:rsid w:val="00873DD3"/>
    <w:rsid w:val="008747DA"/>
    <w:rsid w:val="00875329"/>
    <w:rsid w:val="00882441"/>
    <w:rsid w:val="00890CA0"/>
    <w:rsid w:val="00891C12"/>
    <w:rsid w:val="008B12E9"/>
    <w:rsid w:val="008B2A24"/>
    <w:rsid w:val="008B334F"/>
    <w:rsid w:val="008B5987"/>
    <w:rsid w:val="008C7D3C"/>
    <w:rsid w:val="008D28DC"/>
    <w:rsid w:val="008D4E79"/>
    <w:rsid w:val="008D5A13"/>
    <w:rsid w:val="008D622F"/>
    <w:rsid w:val="008F3F56"/>
    <w:rsid w:val="008F48C4"/>
    <w:rsid w:val="00901228"/>
    <w:rsid w:val="009019A3"/>
    <w:rsid w:val="009031D5"/>
    <w:rsid w:val="00905BA9"/>
    <w:rsid w:val="00905C0D"/>
    <w:rsid w:val="00905D05"/>
    <w:rsid w:val="00907FA3"/>
    <w:rsid w:val="009131B9"/>
    <w:rsid w:val="00922CEA"/>
    <w:rsid w:val="009259D7"/>
    <w:rsid w:val="0092617C"/>
    <w:rsid w:val="00926B71"/>
    <w:rsid w:val="00927F2C"/>
    <w:rsid w:val="0093001D"/>
    <w:rsid w:val="00931EF6"/>
    <w:rsid w:val="00933439"/>
    <w:rsid w:val="0093521B"/>
    <w:rsid w:val="00940582"/>
    <w:rsid w:val="00941811"/>
    <w:rsid w:val="009523F1"/>
    <w:rsid w:val="009551FA"/>
    <w:rsid w:val="00955848"/>
    <w:rsid w:val="0097132E"/>
    <w:rsid w:val="00972E9A"/>
    <w:rsid w:val="009736C6"/>
    <w:rsid w:val="00973A7E"/>
    <w:rsid w:val="00981E3A"/>
    <w:rsid w:val="00986A1B"/>
    <w:rsid w:val="00997A42"/>
    <w:rsid w:val="009A1B12"/>
    <w:rsid w:val="009A2543"/>
    <w:rsid w:val="009B1D25"/>
    <w:rsid w:val="009B279C"/>
    <w:rsid w:val="009B3F11"/>
    <w:rsid w:val="009B4427"/>
    <w:rsid w:val="009C0A73"/>
    <w:rsid w:val="009C2EAF"/>
    <w:rsid w:val="009C403A"/>
    <w:rsid w:val="009C5365"/>
    <w:rsid w:val="009D0DA6"/>
    <w:rsid w:val="009D10E4"/>
    <w:rsid w:val="009D4828"/>
    <w:rsid w:val="009E1190"/>
    <w:rsid w:val="009E1E96"/>
    <w:rsid w:val="009E646F"/>
    <w:rsid w:val="009E6A52"/>
    <w:rsid w:val="009F24A1"/>
    <w:rsid w:val="009F574B"/>
    <w:rsid w:val="00A0065A"/>
    <w:rsid w:val="00A00956"/>
    <w:rsid w:val="00A032BE"/>
    <w:rsid w:val="00A04921"/>
    <w:rsid w:val="00A05575"/>
    <w:rsid w:val="00A06F32"/>
    <w:rsid w:val="00A12AEA"/>
    <w:rsid w:val="00A17F0B"/>
    <w:rsid w:val="00A21BD6"/>
    <w:rsid w:val="00A24257"/>
    <w:rsid w:val="00A301A8"/>
    <w:rsid w:val="00A30A47"/>
    <w:rsid w:val="00A333A6"/>
    <w:rsid w:val="00A35240"/>
    <w:rsid w:val="00A408FE"/>
    <w:rsid w:val="00A430EA"/>
    <w:rsid w:val="00A514AD"/>
    <w:rsid w:val="00A81488"/>
    <w:rsid w:val="00A83E8D"/>
    <w:rsid w:val="00A90D99"/>
    <w:rsid w:val="00A92A57"/>
    <w:rsid w:val="00A92F07"/>
    <w:rsid w:val="00A968BD"/>
    <w:rsid w:val="00AA2560"/>
    <w:rsid w:val="00AA3F13"/>
    <w:rsid w:val="00AA4892"/>
    <w:rsid w:val="00AA77F5"/>
    <w:rsid w:val="00AA7959"/>
    <w:rsid w:val="00AC10D4"/>
    <w:rsid w:val="00AC1EA7"/>
    <w:rsid w:val="00AC21B6"/>
    <w:rsid w:val="00AC221E"/>
    <w:rsid w:val="00AC4428"/>
    <w:rsid w:val="00AC76BC"/>
    <w:rsid w:val="00AD0B8B"/>
    <w:rsid w:val="00AD2A98"/>
    <w:rsid w:val="00AD2ECE"/>
    <w:rsid w:val="00AD58C9"/>
    <w:rsid w:val="00AD6418"/>
    <w:rsid w:val="00AE23A3"/>
    <w:rsid w:val="00AE439A"/>
    <w:rsid w:val="00AE5B19"/>
    <w:rsid w:val="00AE6268"/>
    <w:rsid w:val="00AE6E78"/>
    <w:rsid w:val="00AF23D2"/>
    <w:rsid w:val="00AF31EE"/>
    <w:rsid w:val="00AF702D"/>
    <w:rsid w:val="00B00785"/>
    <w:rsid w:val="00B108BB"/>
    <w:rsid w:val="00B10910"/>
    <w:rsid w:val="00B1170F"/>
    <w:rsid w:val="00B21810"/>
    <w:rsid w:val="00B228F2"/>
    <w:rsid w:val="00B25384"/>
    <w:rsid w:val="00B27E96"/>
    <w:rsid w:val="00B43170"/>
    <w:rsid w:val="00B477C3"/>
    <w:rsid w:val="00B47A63"/>
    <w:rsid w:val="00B50238"/>
    <w:rsid w:val="00B641B7"/>
    <w:rsid w:val="00B6495D"/>
    <w:rsid w:val="00B65A79"/>
    <w:rsid w:val="00B72826"/>
    <w:rsid w:val="00B7398D"/>
    <w:rsid w:val="00B74B09"/>
    <w:rsid w:val="00B75220"/>
    <w:rsid w:val="00B77D82"/>
    <w:rsid w:val="00B81EB5"/>
    <w:rsid w:val="00B83218"/>
    <w:rsid w:val="00B92287"/>
    <w:rsid w:val="00B9350C"/>
    <w:rsid w:val="00B9585F"/>
    <w:rsid w:val="00B961B1"/>
    <w:rsid w:val="00B97A15"/>
    <w:rsid w:val="00BA2AF9"/>
    <w:rsid w:val="00BA51DC"/>
    <w:rsid w:val="00BA5A6C"/>
    <w:rsid w:val="00BA7188"/>
    <w:rsid w:val="00BB5FD4"/>
    <w:rsid w:val="00BB6742"/>
    <w:rsid w:val="00BC3F26"/>
    <w:rsid w:val="00BC414F"/>
    <w:rsid w:val="00BC5F62"/>
    <w:rsid w:val="00BD4F92"/>
    <w:rsid w:val="00BE257A"/>
    <w:rsid w:val="00BE2C65"/>
    <w:rsid w:val="00BE3283"/>
    <w:rsid w:val="00BE4683"/>
    <w:rsid w:val="00BE7A0C"/>
    <w:rsid w:val="00BF03CF"/>
    <w:rsid w:val="00BF0466"/>
    <w:rsid w:val="00C01ACF"/>
    <w:rsid w:val="00C1162B"/>
    <w:rsid w:val="00C13870"/>
    <w:rsid w:val="00C174CE"/>
    <w:rsid w:val="00C22AC5"/>
    <w:rsid w:val="00C341C6"/>
    <w:rsid w:val="00C41001"/>
    <w:rsid w:val="00C41B78"/>
    <w:rsid w:val="00C45436"/>
    <w:rsid w:val="00C50D43"/>
    <w:rsid w:val="00C539CE"/>
    <w:rsid w:val="00C54789"/>
    <w:rsid w:val="00C55487"/>
    <w:rsid w:val="00C56270"/>
    <w:rsid w:val="00C6127C"/>
    <w:rsid w:val="00C7398C"/>
    <w:rsid w:val="00C74127"/>
    <w:rsid w:val="00C75FA3"/>
    <w:rsid w:val="00C76D0F"/>
    <w:rsid w:val="00C97203"/>
    <w:rsid w:val="00CA2168"/>
    <w:rsid w:val="00CA3E19"/>
    <w:rsid w:val="00CA67C5"/>
    <w:rsid w:val="00CB5830"/>
    <w:rsid w:val="00CD1564"/>
    <w:rsid w:val="00CD29FA"/>
    <w:rsid w:val="00CF4E24"/>
    <w:rsid w:val="00CF5AE2"/>
    <w:rsid w:val="00D00137"/>
    <w:rsid w:val="00D013FA"/>
    <w:rsid w:val="00D03E54"/>
    <w:rsid w:val="00D06F91"/>
    <w:rsid w:val="00D14B9A"/>
    <w:rsid w:val="00D2335D"/>
    <w:rsid w:val="00D34E31"/>
    <w:rsid w:val="00D4133B"/>
    <w:rsid w:val="00D421C6"/>
    <w:rsid w:val="00D4546F"/>
    <w:rsid w:val="00D4685F"/>
    <w:rsid w:val="00D52E0D"/>
    <w:rsid w:val="00D55DBE"/>
    <w:rsid w:val="00D6339D"/>
    <w:rsid w:val="00D7196E"/>
    <w:rsid w:val="00D73791"/>
    <w:rsid w:val="00D7493A"/>
    <w:rsid w:val="00D81221"/>
    <w:rsid w:val="00D82FE0"/>
    <w:rsid w:val="00D84182"/>
    <w:rsid w:val="00D84BF6"/>
    <w:rsid w:val="00D84DB0"/>
    <w:rsid w:val="00D87149"/>
    <w:rsid w:val="00D87F6B"/>
    <w:rsid w:val="00D9262A"/>
    <w:rsid w:val="00D93D8E"/>
    <w:rsid w:val="00DA05F3"/>
    <w:rsid w:val="00DA42EC"/>
    <w:rsid w:val="00DB2FB7"/>
    <w:rsid w:val="00DB3411"/>
    <w:rsid w:val="00DB5704"/>
    <w:rsid w:val="00DC0D2A"/>
    <w:rsid w:val="00DC7B67"/>
    <w:rsid w:val="00DE1343"/>
    <w:rsid w:val="00DE5079"/>
    <w:rsid w:val="00DF0E34"/>
    <w:rsid w:val="00DF1D55"/>
    <w:rsid w:val="00DF40A2"/>
    <w:rsid w:val="00DF5B41"/>
    <w:rsid w:val="00E00D92"/>
    <w:rsid w:val="00E01D68"/>
    <w:rsid w:val="00E04BA7"/>
    <w:rsid w:val="00E14DC5"/>
    <w:rsid w:val="00E177AC"/>
    <w:rsid w:val="00E3089E"/>
    <w:rsid w:val="00E35375"/>
    <w:rsid w:val="00E378AC"/>
    <w:rsid w:val="00E43A91"/>
    <w:rsid w:val="00E4756F"/>
    <w:rsid w:val="00E520B0"/>
    <w:rsid w:val="00E5311C"/>
    <w:rsid w:val="00E54B03"/>
    <w:rsid w:val="00E65CBB"/>
    <w:rsid w:val="00E660AB"/>
    <w:rsid w:val="00E73C91"/>
    <w:rsid w:val="00E73FB1"/>
    <w:rsid w:val="00E75120"/>
    <w:rsid w:val="00E807AB"/>
    <w:rsid w:val="00E8137B"/>
    <w:rsid w:val="00E866A5"/>
    <w:rsid w:val="00E967C3"/>
    <w:rsid w:val="00EA523B"/>
    <w:rsid w:val="00EB1396"/>
    <w:rsid w:val="00EB213A"/>
    <w:rsid w:val="00EB2713"/>
    <w:rsid w:val="00EB2FDA"/>
    <w:rsid w:val="00EB53F7"/>
    <w:rsid w:val="00EB5F83"/>
    <w:rsid w:val="00EC0733"/>
    <w:rsid w:val="00EC1328"/>
    <w:rsid w:val="00EC1A25"/>
    <w:rsid w:val="00EC2BF1"/>
    <w:rsid w:val="00EC6C24"/>
    <w:rsid w:val="00ED2A2A"/>
    <w:rsid w:val="00ED4227"/>
    <w:rsid w:val="00EE1470"/>
    <w:rsid w:val="00EE1CA3"/>
    <w:rsid w:val="00EE415B"/>
    <w:rsid w:val="00EF0D18"/>
    <w:rsid w:val="00EF4602"/>
    <w:rsid w:val="00EF4A49"/>
    <w:rsid w:val="00F00C55"/>
    <w:rsid w:val="00F04B4A"/>
    <w:rsid w:val="00F04CC8"/>
    <w:rsid w:val="00F102C5"/>
    <w:rsid w:val="00F11D10"/>
    <w:rsid w:val="00F15B64"/>
    <w:rsid w:val="00F15C8E"/>
    <w:rsid w:val="00F25052"/>
    <w:rsid w:val="00F2515E"/>
    <w:rsid w:val="00F272D5"/>
    <w:rsid w:val="00F331FE"/>
    <w:rsid w:val="00F34370"/>
    <w:rsid w:val="00F40D0B"/>
    <w:rsid w:val="00F44D0B"/>
    <w:rsid w:val="00F45C35"/>
    <w:rsid w:val="00F46647"/>
    <w:rsid w:val="00F558FC"/>
    <w:rsid w:val="00F607C0"/>
    <w:rsid w:val="00F61C9A"/>
    <w:rsid w:val="00F62F29"/>
    <w:rsid w:val="00F63DFB"/>
    <w:rsid w:val="00F6453F"/>
    <w:rsid w:val="00F740FA"/>
    <w:rsid w:val="00F7502A"/>
    <w:rsid w:val="00F75616"/>
    <w:rsid w:val="00F77AD7"/>
    <w:rsid w:val="00F77E6E"/>
    <w:rsid w:val="00F852B9"/>
    <w:rsid w:val="00F8597C"/>
    <w:rsid w:val="00F85B5C"/>
    <w:rsid w:val="00F9034D"/>
    <w:rsid w:val="00FA07FE"/>
    <w:rsid w:val="00FA4871"/>
    <w:rsid w:val="00FA5E28"/>
    <w:rsid w:val="00FA6C30"/>
    <w:rsid w:val="00FB031B"/>
    <w:rsid w:val="00FB6628"/>
    <w:rsid w:val="00FB6924"/>
    <w:rsid w:val="00FB7AEC"/>
    <w:rsid w:val="00FC5A7E"/>
    <w:rsid w:val="00FC5BC1"/>
    <w:rsid w:val="00FC653E"/>
    <w:rsid w:val="00FD4DEB"/>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61453">
      <w:bodyDiv w:val="1"/>
      <w:marLeft w:val="0"/>
      <w:marRight w:val="0"/>
      <w:marTop w:val="0"/>
      <w:marBottom w:val="0"/>
      <w:divBdr>
        <w:top w:val="none" w:sz="0" w:space="0" w:color="auto"/>
        <w:left w:val="none" w:sz="0" w:space="0" w:color="auto"/>
        <w:bottom w:val="none" w:sz="0" w:space="0" w:color="auto"/>
        <w:right w:val="none" w:sz="0" w:space="0" w:color="auto"/>
      </w:divBdr>
    </w:div>
    <w:div w:id="705369774">
      <w:bodyDiv w:val="1"/>
      <w:marLeft w:val="0"/>
      <w:marRight w:val="0"/>
      <w:marTop w:val="0"/>
      <w:marBottom w:val="0"/>
      <w:divBdr>
        <w:top w:val="none" w:sz="0" w:space="0" w:color="auto"/>
        <w:left w:val="none" w:sz="0" w:space="0" w:color="auto"/>
        <w:bottom w:val="none" w:sz="0" w:space="0" w:color="auto"/>
        <w:right w:val="none" w:sz="0" w:space="0" w:color="auto"/>
      </w:divBdr>
    </w:div>
    <w:div w:id="716659680">
      <w:bodyDiv w:val="1"/>
      <w:marLeft w:val="0"/>
      <w:marRight w:val="0"/>
      <w:marTop w:val="0"/>
      <w:marBottom w:val="0"/>
      <w:divBdr>
        <w:top w:val="none" w:sz="0" w:space="0" w:color="auto"/>
        <w:left w:val="none" w:sz="0" w:space="0" w:color="auto"/>
        <w:bottom w:val="none" w:sz="0" w:space="0" w:color="auto"/>
        <w:right w:val="none" w:sz="0" w:space="0" w:color="auto"/>
      </w:divBdr>
    </w:div>
    <w:div w:id="726951312">
      <w:bodyDiv w:val="1"/>
      <w:marLeft w:val="0"/>
      <w:marRight w:val="0"/>
      <w:marTop w:val="0"/>
      <w:marBottom w:val="0"/>
      <w:divBdr>
        <w:top w:val="none" w:sz="0" w:space="0" w:color="auto"/>
        <w:left w:val="none" w:sz="0" w:space="0" w:color="auto"/>
        <w:bottom w:val="none" w:sz="0" w:space="0" w:color="auto"/>
        <w:right w:val="none" w:sz="0" w:space="0" w:color="auto"/>
      </w:divBdr>
    </w:div>
    <w:div w:id="765074046">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005401822">
      <w:bodyDiv w:val="1"/>
      <w:marLeft w:val="0"/>
      <w:marRight w:val="0"/>
      <w:marTop w:val="0"/>
      <w:marBottom w:val="0"/>
      <w:divBdr>
        <w:top w:val="none" w:sz="0" w:space="0" w:color="auto"/>
        <w:left w:val="none" w:sz="0" w:space="0" w:color="auto"/>
        <w:bottom w:val="none" w:sz="0" w:space="0" w:color="auto"/>
        <w:right w:val="none" w:sz="0" w:space="0" w:color="auto"/>
      </w:divBdr>
    </w:div>
    <w:div w:id="1015575275">
      <w:bodyDiv w:val="1"/>
      <w:marLeft w:val="0"/>
      <w:marRight w:val="0"/>
      <w:marTop w:val="0"/>
      <w:marBottom w:val="0"/>
      <w:divBdr>
        <w:top w:val="none" w:sz="0" w:space="0" w:color="auto"/>
        <w:left w:val="none" w:sz="0" w:space="0" w:color="auto"/>
        <w:bottom w:val="none" w:sz="0" w:space="0" w:color="auto"/>
        <w:right w:val="none" w:sz="0" w:space="0" w:color="auto"/>
      </w:divBdr>
    </w:div>
    <w:div w:id="1141073891">
      <w:bodyDiv w:val="1"/>
      <w:marLeft w:val="0"/>
      <w:marRight w:val="0"/>
      <w:marTop w:val="0"/>
      <w:marBottom w:val="0"/>
      <w:divBdr>
        <w:top w:val="none" w:sz="0" w:space="0" w:color="auto"/>
        <w:left w:val="none" w:sz="0" w:space="0" w:color="auto"/>
        <w:bottom w:val="none" w:sz="0" w:space="0" w:color="auto"/>
        <w:right w:val="none" w:sz="0" w:space="0" w:color="auto"/>
      </w:divBdr>
    </w:div>
    <w:div w:id="1644191857">
      <w:bodyDiv w:val="1"/>
      <w:marLeft w:val="0"/>
      <w:marRight w:val="0"/>
      <w:marTop w:val="0"/>
      <w:marBottom w:val="0"/>
      <w:divBdr>
        <w:top w:val="none" w:sz="0" w:space="0" w:color="auto"/>
        <w:left w:val="none" w:sz="0" w:space="0" w:color="auto"/>
        <w:bottom w:val="none" w:sz="0" w:space="0" w:color="auto"/>
        <w:right w:val="none" w:sz="0" w:space="0" w:color="auto"/>
      </w:divBdr>
    </w:div>
    <w:div w:id="1727603028">
      <w:bodyDiv w:val="1"/>
      <w:marLeft w:val="0"/>
      <w:marRight w:val="0"/>
      <w:marTop w:val="0"/>
      <w:marBottom w:val="0"/>
      <w:divBdr>
        <w:top w:val="none" w:sz="0" w:space="0" w:color="auto"/>
        <w:left w:val="none" w:sz="0" w:space="0" w:color="auto"/>
        <w:bottom w:val="none" w:sz="0" w:space="0" w:color="auto"/>
        <w:right w:val="none" w:sz="0" w:space="0" w:color="auto"/>
      </w:divBdr>
    </w:div>
    <w:div w:id="1735155171">
      <w:bodyDiv w:val="1"/>
      <w:marLeft w:val="0"/>
      <w:marRight w:val="0"/>
      <w:marTop w:val="0"/>
      <w:marBottom w:val="0"/>
      <w:divBdr>
        <w:top w:val="none" w:sz="0" w:space="0" w:color="auto"/>
        <w:left w:val="none" w:sz="0" w:space="0" w:color="auto"/>
        <w:bottom w:val="none" w:sz="0" w:space="0" w:color="auto"/>
        <w:right w:val="none" w:sz="0" w:space="0" w:color="auto"/>
      </w:divBdr>
    </w:div>
    <w:div w:id="19209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3.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4.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3315</Characters>
  <Application>Microsoft Office Word</Application>
  <DocSecurity>0</DocSecurity>
  <Lines>76</Lines>
  <Paragraphs>40</Paragraphs>
  <ScaleCrop>false</ScaleCrop>
  <HeadingPairs>
    <vt:vector size="2" baseType="variant">
      <vt:variant>
        <vt:lpstr>Title</vt:lpstr>
      </vt:variant>
      <vt:variant>
        <vt:i4>1</vt:i4>
      </vt:variant>
    </vt:vector>
  </HeadingPairs>
  <TitlesOfParts>
    <vt:vector size="1" baseType="lpstr">
      <vt:lpstr>ECE/TRANS/WP.29/GRSG/2021/19</vt:lpstr>
    </vt:vector>
  </TitlesOfParts>
  <Company>MIT</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ECE/TRANS/WP.29/2022/127</dc:title>
  <dc:subject>2213424</dc:subject>
  <dc:creator>Una Giltsoff</dc:creator>
  <cp:keywords/>
  <dc:description/>
  <cp:lastModifiedBy>Una Giltsoff</cp:lastModifiedBy>
  <cp:revision>2</cp:revision>
  <cp:lastPrinted>2019-07-19T02:29:00Z</cp:lastPrinted>
  <dcterms:created xsi:type="dcterms:W3CDTF">2022-08-29T14:47:00Z</dcterms:created>
  <dcterms:modified xsi:type="dcterms:W3CDTF">2022-08-29T14:47:00Z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