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CAD63B4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A961728" w14:textId="77777777" w:rsidR="002D5AAC" w:rsidRDefault="002D5AAC" w:rsidP="00E312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B0338B1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5A2AC01" w14:textId="52B0998F" w:rsidR="002D5AAC" w:rsidRDefault="00E31283" w:rsidP="00E31283">
            <w:pPr>
              <w:jc w:val="right"/>
            </w:pPr>
            <w:r w:rsidRPr="00E31283">
              <w:rPr>
                <w:sz w:val="40"/>
              </w:rPr>
              <w:t>ECE</w:t>
            </w:r>
            <w:r>
              <w:t>/TRANS/WP.29/2022/112</w:t>
            </w:r>
          </w:p>
        </w:tc>
      </w:tr>
      <w:tr w:rsidR="002D5AAC" w:rsidRPr="006B0DBC" w14:paraId="7FFC877C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2D6B2DA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A7C67AF" wp14:editId="41A2A32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1983374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C79248B" w14:textId="77777777" w:rsidR="002D5AAC" w:rsidRDefault="00E31283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D53EFBA" w14:textId="77777777" w:rsidR="00E31283" w:rsidRDefault="00E31283" w:rsidP="00E3128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19 August 2022</w:t>
            </w:r>
          </w:p>
          <w:p w14:paraId="07033EDE" w14:textId="77777777" w:rsidR="00E31283" w:rsidRDefault="00E31283" w:rsidP="00E3128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6FAD650" w14:textId="73E0FA93" w:rsidR="00E31283" w:rsidRPr="008D53B6" w:rsidRDefault="00E31283" w:rsidP="00E3128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5E6AABE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49D62AB" w14:textId="77777777" w:rsidR="00E31283" w:rsidRPr="006D5F61" w:rsidRDefault="00E31283" w:rsidP="00E31283">
      <w:pPr>
        <w:spacing w:before="120"/>
        <w:rPr>
          <w:sz w:val="28"/>
          <w:szCs w:val="28"/>
        </w:rPr>
      </w:pPr>
      <w:r w:rsidRPr="006D5F61">
        <w:rPr>
          <w:sz w:val="28"/>
          <w:szCs w:val="28"/>
        </w:rPr>
        <w:t>Комитет по внутреннему транспорту</w:t>
      </w:r>
    </w:p>
    <w:p w14:paraId="74DF0233" w14:textId="77777777" w:rsidR="00E31283" w:rsidRPr="006D5F61" w:rsidRDefault="00E31283" w:rsidP="00E31283">
      <w:pPr>
        <w:spacing w:before="120"/>
        <w:rPr>
          <w:b/>
          <w:sz w:val="24"/>
          <w:szCs w:val="24"/>
        </w:rPr>
      </w:pPr>
      <w:r w:rsidRPr="006D5F61">
        <w:rPr>
          <w:b/>
          <w:bCs/>
          <w:sz w:val="24"/>
          <w:szCs w:val="24"/>
        </w:rPr>
        <w:t>Всемирный форум для согласования правил</w:t>
      </w:r>
      <w:r w:rsidRPr="006D5F61">
        <w:rPr>
          <w:b/>
          <w:bCs/>
          <w:sz w:val="24"/>
          <w:szCs w:val="24"/>
        </w:rPr>
        <w:br/>
        <w:t>в области транспортных средств</w:t>
      </w:r>
    </w:p>
    <w:p w14:paraId="2A6454B1" w14:textId="77777777" w:rsidR="00E31283" w:rsidRPr="006D5F61" w:rsidRDefault="00E31283" w:rsidP="00E31283">
      <w:pPr>
        <w:tabs>
          <w:tab w:val="center" w:pos="4819"/>
        </w:tabs>
        <w:spacing w:before="120"/>
        <w:rPr>
          <w:b/>
        </w:rPr>
      </w:pPr>
      <w:r>
        <w:rPr>
          <w:b/>
          <w:bCs/>
        </w:rPr>
        <w:t>Сто восемьдесят восьмая сессия</w:t>
      </w:r>
    </w:p>
    <w:p w14:paraId="6611CF02" w14:textId="53EEE6F8" w:rsidR="00E31283" w:rsidRPr="006D5F61" w:rsidRDefault="00E31283" w:rsidP="00E31283">
      <w:r>
        <w:t>Женева, 14</w:t>
      </w:r>
      <w:bookmarkStart w:id="0" w:name="_Hlk38450922"/>
      <w:r w:rsidRPr="00C931B6">
        <w:t>–</w:t>
      </w:r>
      <w:bookmarkEnd w:id="0"/>
      <w:r>
        <w:t>16 ноября 2022 года</w:t>
      </w:r>
    </w:p>
    <w:p w14:paraId="543F6F38" w14:textId="77777777" w:rsidR="00E31283" w:rsidRPr="006D5F61" w:rsidRDefault="00E31283" w:rsidP="00E31283">
      <w:r>
        <w:t>Пункт 4.6.1 предварительной повестки дня</w:t>
      </w:r>
    </w:p>
    <w:p w14:paraId="209A9BFA" w14:textId="77777777" w:rsidR="00E31283" w:rsidRDefault="00E31283" w:rsidP="00E31283">
      <w:pPr>
        <w:rPr>
          <w:b/>
          <w:bCs/>
        </w:rPr>
      </w:pPr>
      <w:r>
        <w:rPr>
          <w:b/>
          <w:bCs/>
        </w:rPr>
        <w:t xml:space="preserve">Соглашение 1958 года: </w:t>
      </w:r>
    </w:p>
    <w:p w14:paraId="665E771F" w14:textId="77777777" w:rsidR="00E31283" w:rsidRDefault="00E31283" w:rsidP="00E31283">
      <w:pPr>
        <w:rPr>
          <w:b/>
          <w:bCs/>
        </w:rPr>
      </w:pPr>
      <w:r>
        <w:rPr>
          <w:b/>
          <w:bCs/>
        </w:rPr>
        <w:t xml:space="preserve">Рассмотрение проектов поправок к существующим </w:t>
      </w:r>
    </w:p>
    <w:p w14:paraId="510CCE08" w14:textId="77777777" w:rsidR="00E31283" w:rsidRPr="006D5F61" w:rsidRDefault="00E31283" w:rsidP="00E31283">
      <w:pPr>
        <w:rPr>
          <w:b/>
          <w:bCs/>
        </w:rPr>
      </w:pPr>
      <w:r>
        <w:rPr>
          <w:b/>
          <w:bCs/>
        </w:rPr>
        <w:t>правилам ООН, представленных GRE</w:t>
      </w:r>
    </w:p>
    <w:p w14:paraId="7348E6B7" w14:textId="415F5A44" w:rsidR="00E31283" w:rsidRPr="006D5F61" w:rsidRDefault="00E31283" w:rsidP="00E31283">
      <w:pPr>
        <w:pStyle w:val="HChG"/>
      </w:pPr>
      <w:r>
        <w:tab/>
      </w:r>
      <w:r>
        <w:tab/>
      </w:r>
      <w:r>
        <w:tab/>
      </w:r>
      <w:r>
        <w:rPr>
          <w:bCs/>
        </w:rPr>
        <w:t>Предложение по дополнению 17 к поправкам серии 06 к</w:t>
      </w:r>
      <w:r w:rsidRPr="00D560E7">
        <w:rPr>
          <w:lang w:val="en-US"/>
        </w:rPr>
        <w:t> </w:t>
      </w:r>
      <w:r>
        <w:rPr>
          <w:bCs/>
        </w:rPr>
        <w:t>Правилам № 48 ООН (установка устройств освещения и световой сигнализации)</w:t>
      </w:r>
    </w:p>
    <w:p w14:paraId="4EC7E434" w14:textId="77777777" w:rsidR="00E31283" w:rsidRPr="006D5F61" w:rsidRDefault="00E31283" w:rsidP="00E31283">
      <w:pPr>
        <w:pStyle w:val="H1G"/>
      </w:pPr>
      <w:r>
        <w:tab/>
      </w:r>
      <w:r>
        <w:tab/>
      </w:r>
      <w:r>
        <w:rPr>
          <w:bCs/>
        </w:rPr>
        <w:t>Представлено Рабочей группой по вопросам освещения и световой сигнализации</w:t>
      </w:r>
      <w:r w:rsidRPr="005F3E9A">
        <w:rPr>
          <w:rStyle w:val="aa"/>
          <w:sz w:val="20"/>
        </w:rPr>
        <w:footnoteReference w:customMarkFollows="1" w:id="1"/>
        <w:t>*</w:t>
      </w:r>
    </w:p>
    <w:p w14:paraId="658A841E" w14:textId="77777777" w:rsidR="00E31283" w:rsidRPr="006D5F61" w:rsidRDefault="00E31283" w:rsidP="00E31283">
      <w:pPr>
        <w:pStyle w:val="SingleTxtG"/>
        <w:ind w:firstLine="567"/>
        <w:rPr>
          <w:szCs w:val="24"/>
        </w:rPr>
      </w:pPr>
      <w:r>
        <w:t>Воспроизведенный ниже текст был принят Рабочей группой по вопросам освещения и световой сигнализации (GRE) на ее восемьдесят шестой сессии (ECE/TRANS/WP.29/GRE/86, пункт 18). В его основу положен документ ECE/TRANS/WP.29/GRE/2022/5 с поправками, содержащимися в неофициальном документе GRE-86-05-Rev.2.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2022 года.</w:t>
      </w:r>
    </w:p>
    <w:p w14:paraId="0DFB5BF4" w14:textId="77777777" w:rsidR="00E31283" w:rsidRPr="006D5F61" w:rsidRDefault="00E31283" w:rsidP="00E31283">
      <w:pPr>
        <w:pStyle w:val="SingleTxtG"/>
        <w:ind w:firstLine="425"/>
      </w:pPr>
    </w:p>
    <w:p w14:paraId="7F034613" w14:textId="77777777" w:rsidR="00E31283" w:rsidRPr="006D5F61" w:rsidRDefault="00E31283" w:rsidP="00E31283">
      <w:pPr>
        <w:pStyle w:val="HChG"/>
        <w:tabs>
          <w:tab w:val="left" w:pos="8505"/>
        </w:tabs>
        <w:spacing w:before="0" w:after="0" w:line="240" w:lineRule="auto"/>
        <w:ind w:firstLine="425"/>
        <w:jc w:val="lowKashida"/>
        <w:rPr>
          <w:rFonts w:asciiTheme="majorBidi" w:hAnsiTheme="majorBidi" w:cstheme="majorBidi"/>
        </w:rPr>
      </w:pPr>
      <w:r w:rsidRPr="006D5F61">
        <w:rPr>
          <w:rFonts w:asciiTheme="majorBidi" w:hAnsiTheme="majorBidi" w:cstheme="majorBidi"/>
        </w:rPr>
        <w:br w:type="page"/>
      </w:r>
    </w:p>
    <w:p w14:paraId="3BA44E13" w14:textId="77777777" w:rsidR="00E31283" w:rsidRPr="006D5F61" w:rsidRDefault="00E31283" w:rsidP="00E31283">
      <w:pPr>
        <w:spacing w:after="120"/>
        <w:ind w:left="1134" w:right="1133"/>
        <w:jc w:val="both"/>
      </w:pPr>
      <w:r>
        <w:rPr>
          <w:i/>
          <w:iCs/>
        </w:rPr>
        <w:lastRenderedPageBreak/>
        <w:t>Пункт 6.26.1</w:t>
      </w:r>
      <w:r>
        <w:t xml:space="preserve"> изменить следующим образом:</w:t>
      </w:r>
    </w:p>
    <w:p w14:paraId="2953FC74" w14:textId="77777777" w:rsidR="00E31283" w:rsidRPr="006D5F61" w:rsidRDefault="00E31283" w:rsidP="00E31283">
      <w:pPr>
        <w:spacing w:after="120"/>
        <w:ind w:left="1134" w:right="1133"/>
      </w:pPr>
      <w:r>
        <w:t>«6.26.1</w:t>
      </w:r>
      <w:r>
        <w:tab/>
        <w:t>Установка</w:t>
      </w:r>
    </w:p>
    <w:p w14:paraId="1608C7E8" w14:textId="77777777" w:rsidR="00E31283" w:rsidRPr="006D5F61" w:rsidRDefault="00E31283" w:rsidP="00E31283">
      <w:pPr>
        <w:spacing w:after="120"/>
        <w:ind w:left="1134" w:right="1133"/>
      </w:pPr>
      <w:r>
        <w:t>Факультативна для автомобилей и прицепов».</w:t>
      </w:r>
    </w:p>
    <w:p w14:paraId="69E9D9FC" w14:textId="7412EFA8" w:rsidR="00E31283" w:rsidRPr="006D5F61" w:rsidRDefault="00E31283" w:rsidP="00E31283">
      <w:pPr>
        <w:spacing w:after="120"/>
        <w:ind w:left="1134" w:right="1133"/>
        <w:jc w:val="both"/>
      </w:pPr>
      <w:r>
        <w:rPr>
          <w:i/>
          <w:iCs/>
        </w:rPr>
        <w:t>Пункт 6.26.</w:t>
      </w:r>
      <w:r w:rsidR="001B057D" w:rsidRPr="00C931B6">
        <w:rPr>
          <w:i/>
          <w:iCs/>
        </w:rPr>
        <w:t>7</w:t>
      </w:r>
      <w:r>
        <w:rPr>
          <w:i/>
          <w:iCs/>
        </w:rPr>
        <w:t xml:space="preserve"> </w:t>
      </w:r>
      <w:r>
        <w:t>изменить следующим образом:</w:t>
      </w:r>
    </w:p>
    <w:p w14:paraId="4B5C760F" w14:textId="77777777" w:rsidR="00E31283" w:rsidRPr="006D5F61" w:rsidRDefault="00E31283" w:rsidP="00E31283">
      <w:pPr>
        <w:spacing w:after="120"/>
        <w:ind w:left="2268" w:right="1133" w:hanging="1134"/>
        <w:jc w:val="both"/>
      </w:pPr>
      <w:r>
        <w:t>«6.26.7</w:t>
      </w:r>
      <w:r>
        <w:tab/>
        <w:t>Функциональная электрическая схема</w:t>
      </w:r>
    </w:p>
    <w:p w14:paraId="3529EB4D" w14:textId="77777777" w:rsidR="00E31283" w:rsidRPr="006D5F61" w:rsidRDefault="00E31283" w:rsidP="00E31283">
      <w:pPr>
        <w:spacing w:after="120"/>
        <w:ind w:left="2268" w:right="1133" w:hanging="1134"/>
        <w:jc w:val="both"/>
        <w:rPr>
          <w:color w:val="000000"/>
        </w:rPr>
      </w:pPr>
      <w:r>
        <w:tab/>
        <w:t>Автомобили: огни маневрирования должны быть подключены таким образом, чтобы их нельзя было включить при выключенных фарах дальнего света или фарах ближнего света автомобиля.</w:t>
      </w:r>
    </w:p>
    <w:p w14:paraId="2434B840" w14:textId="77777777" w:rsidR="00E31283" w:rsidRPr="006D5F61" w:rsidRDefault="00E31283" w:rsidP="00E31283">
      <w:pPr>
        <w:spacing w:after="120"/>
        <w:ind w:left="2268" w:right="1133" w:hanging="1134"/>
        <w:jc w:val="both"/>
      </w:pPr>
      <w:r>
        <w:tab/>
        <w:t>Огонь (огни) маневрирования включается(</w:t>
      </w:r>
      <w:proofErr w:type="spellStart"/>
      <w:r>
        <w:t>ются</w:t>
      </w:r>
      <w:proofErr w:type="spellEnd"/>
      <w:r>
        <w:t>) автоматически при маневрировании на низких скоростях до 10 км/ч при соблюдении одного из следующих условий:</w:t>
      </w:r>
    </w:p>
    <w:p w14:paraId="158D2979" w14:textId="77777777" w:rsidR="00E31283" w:rsidRPr="006D5F61" w:rsidRDefault="00E31283" w:rsidP="00E31283">
      <w:pPr>
        <w:spacing w:after="120"/>
        <w:ind w:left="2835" w:right="1133" w:hanging="567"/>
        <w:jc w:val="both"/>
      </w:pPr>
      <w:r>
        <w:t>a)</w:t>
      </w:r>
      <w:r>
        <w:tab/>
        <w:t>до начала движения транспортного средства после каждой активации силовой установки вручную; или</w:t>
      </w:r>
    </w:p>
    <w:p w14:paraId="637CBF9A" w14:textId="77777777" w:rsidR="00E31283" w:rsidRPr="006D5F61" w:rsidRDefault="00E31283" w:rsidP="00E31283">
      <w:pPr>
        <w:spacing w:after="120"/>
        <w:ind w:left="2835" w:right="1133" w:hanging="567"/>
        <w:jc w:val="both"/>
      </w:pPr>
      <w:r>
        <w:t>b)</w:t>
      </w:r>
      <w:r>
        <w:tab/>
        <w:t>при включении задней передачи; или</w:t>
      </w:r>
    </w:p>
    <w:p w14:paraId="43CF5D13" w14:textId="77777777" w:rsidR="00E31283" w:rsidRPr="006D5F61" w:rsidRDefault="00E31283" w:rsidP="00E31283">
      <w:pPr>
        <w:spacing w:after="120"/>
        <w:ind w:left="2835" w:right="1133" w:hanging="567"/>
        <w:jc w:val="both"/>
      </w:pPr>
      <w:r>
        <w:t>c)</w:t>
      </w:r>
      <w:r>
        <w:tab/>
        <w:t xml:space="preserve">при включении системы видеокамеры, оказывающей помощь при парковочных маневрах. </w:t>
      </w:r>
    </w:p>
    <w:p w14:paraId="05326B7C" w14:textId="15E0AA4C" w:rsidR="00E31283" w:rsidRPr="006D5F61" w:rsidRDefault="00E31283" w:rsidP="00E31283">
      <w:pPr>
        <w:spacing w:after="120"/>
        <w:ind w:left="2268" w:right="1133" w:hanging="1134"/>
        <w:jc w:val="both"/>
      </w:pPr>
      <w:r>
        <w:tab/>
        <w:t>Огни маневрирования должны выключаться автоматически, если скорость транспортного средства при движении вперед превышает 10</w:t>
      </w:r>
      <w:r w:rsidRPr="00D560E7">
        <w:rPr>
          <w:lang w:val="en-US"/>
        </w:rPr>
        <w:t> </w:t>
      </w:r>
      <w:r>
        <w:t>км/ч, и оставаться выключенными до тех пор, пока не будут вновь соблюдены условия их включения.</w:t>
      </w:r>
    </w:p>
    <w:p w14:paraId="7A5235C1" w14:textId="77777777" w:rsidR="00E31283" w:rsidRPr="006D5F61" w:rsidRDefault="00E31283" w:rsidP="00E31283">
      <w:pPr>
        <w:spacing w:after="120"/>
        <w:ind w:left="2268" w:right="1133" w:hanging="1134"/>
        <w:jc w:val="both"/>
      </w:pPr>
      <w:r>
        <w:tab/>
        <w:t xml:space="preserve">Прицепы: Огни маневрирования должны быть подключены таким образом, чтобы их нельзя было включить при выключенных габаритных огнях прицепа; входные данные о скорости должны поступать непосредственно от прицепа. </w:t>
      </w:r>
    </w:p>
    <w:p w14:paraId="3EE538C8" w14:textId="77777777" w:rsidR="00E31283" w:rsidRPr="006D5F61" w:rsidRDefault="00E31283" w:rsidP="00E31283">
      <w:pPr>
        <w:spacing w:after="120"/>
        <w:ind w:left="2268" w:right="1133" w:hanging="1134"/>
        <w:jc w:val="both"/>
      </w:pPr>
      <w:r>
        <w:tab/>
        <w:t>Огонь (огни) маневрирования включается(</w:t>
      </w:r>
      <w:proofErr w:type="spellStart"/>
      <w:r>
        <w:t>ются</w:t>
      </w:r>
      <w:proofErr w:type="spellEnd"/>
      <w:r>
        <w:t>) автоматически при маневрировании на низких скоростях до 10 км/ч при соблюдении одного из следующих условий:</w:t>
      </w:r>
    </w:p>
    <w:p w14:paraId="7AC01A4F" w14:textId="77777777" w:rsidR="00E31283" w:rsidRPr="006D5F61" w:rsidRDefault="00E31283" w:rsidP="00E31283">
      <w:pPr>
        <w:spacing w:after="120"/>
        <w:ind w:left="2835" w:right="1133" w:hanging="567"/>
        <w:jc w:val="both"/>
      </w:pPr>
      <w:r>
        <w:t>a)</w:t>
      </w:r>
      <w:r>
        <w:tab/>
        <w:t>до начала движения прицепа после каждой активации силовой установки транспортного средства вручную; или</w:t>
      </w:r>
    </w:p>
    <w:p w14:paraId="36BE37BE" w14:textId="77777777" w:rsidR="00E31283" w:rsidRPr="006D5F61" w:rsidRDefault="00E31283" w:rsidP="00E31283">
      <w:pPr>
        <w:spacing w:after="120"/>
        <w:ind w:left="2835" w:right="1133" w:hanging="567"/>
        <w:jc w:val="both"/>
      </w:pPr>
      <w:r>
        <w:t>b)</w:t>
      </w:r>
      <w:r>
        <w:tab/>
        <w:t>при включении огня заднего хода; или</w:t>
      </w:r>
    </w:p>
    <w:p w14:paraId="3A6D555B" w14:textId="77777777" w:rsidR="00E31283" w:rsidRPr="006D5F61" w:rsidRDefault="00E31283" w:rsidP="00E31283">
      <w:pPr>
        <w:spacing w:after="120"/>
        <w:ind w:left="2835" w:right="1133" w:hanging="567"/>
        <w:jc w:val="both"/>
      </w:pPr>
      <w:r>
        <w:t>c)</w:t>
      </w:r>
      <w:r>
        <w:tab/>
        <w:t xml:space="preserve">при включении системы видеокамеры, оказывающей помощь при парковочных маневрах. </w:t>
      </w:r>
    </w:p>
    <w:p w14:paraId="0F705C07" w14:textId="77777777" w:rsidR="00E31283" w:rsidRPr="006D5F61" w:rsidRDefault="00E31283" w:rsidP="00E31283">
      <w:pPr>
        <w:spacing w:after="120"/>
        <w:ind w:left="2268" w:right="1133" w:hanging="1134"/>
        <w:jc w:val="both"/>
        <w:rPr>
          <w:u w:val="single"/>
        </w:rPr>
      </w:pPr>
      <w:r>
        <w:tab/>
        <w:t>Огни маневрирования должны выключаться автоматически, если скорость прицепа при движении вперед превышает 10 км/ч, и оставаться выключенными до тех пор, пока не будут вновь соблюдены условия их включения».</w:t>
      </w:r>
    </w:p>
    <w:p w14:paraId="64873575" w14:textId="77777777" w:rsidR="00E31283" w:rsidRPr="006D5F61" w:rsidRDefault="00E31283" w:rsidP="00E31283">
      <w:pPr>
        <w:spacing w:before="240"/>
        <w:jc w:val="center"/>
        <w:rPr>
          <w:u w:val="single"/>
        </w:rPr>
      </w:pPr>
      <w:r w:rsidRPr="006D5F61">
        <w:rPr>
          <w:u w:val="single"/>
        </w:rPr>
        <w:tab/>
      </w:r>
      <w:r w:rsidRPr="006D5F61">
        <w:rPr>
          <w:u w:val="single"/>
        </w:rPr>
        <w:tab/>
      </w:r>
      <w:r w:rsidRPr="006D5F61">
        <w:rPr>
          <w:u w:val="single"/>
        </w:rPr>
        <w:tab/>
      </w:r>
    </w:p>
    <w:sectPr w:rsidR="00E31283" w:rsidRPr="006D5F61" w:rsidSect="00E3128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E54B" w14:textId="77777777" w:rsidR="001A25E8" w:rsidRPr="00A312BC" w:rsidRDefault="001A25E8" w:rsidP="00A312BC"/>
  </w:endnote>
  <w:endnote w:type="continuationSeparator" w:id="0">
    <w:p w14:paraId="3C483E6C" w14:textId="77777777" w:rsidR="001A25E8" w:rsidRPr="00A312BC" w:rsidRDefault="001A25E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CC1D" w14:textId="045A8AB7" w:rsidR="00E31283" w:rsidRPr="00E31283" w:rsidRDefault="00E31283">
    <w:pPr>
      <w:pStyle w:val="a8"/>
    </w:pPr>
    <w:r w:rsidRPr="00E31283">
      <w:rPr>
        <w:b/>
        <w:sz w:val="18"/>
      </w:rPr>
      <w:fldChar w:fldCharType="begin"/>
    </w:r>
    <w:r w:rsidRPr="00E31283">
      <w:rPr>
        <w:b/>
        <w:sz w:val="18"/>
      </w:rPr>
      <w:instrText xml:space="preserve"> PAGE  \* MERGEFORMAT </w:instrText>
    </w:r>
    <w:r w:rsidRPr="00E31283">
      <w:rPr>
        <w:b/>
        <w:sz w:val="18"/>
      </w:rPr>
      <w:fldChar w:fldCharType="separate"/>
    </w:r>
    <w:r w:rsidRPr="00E31283">
      <w:rPr>
        <w:b/>
        <w:noProof/>
        <w:sz w:val="18"/>
      </w:rPr>
      <w:t>2</w:t>
    </w:r>
    <w:r w:rsidRPr="00E31283">
      <w:rPr>
        <w:b/>
        <w:sz w:val="18"/>
      </w:rPr>
      <w:fldChar w:fldCharType="end"/>
    </w:r>
    <w:r>
      <w:rPr>
        <w:b/>
        <w:sz w:val="18"/>
      </w:rPr>
      <w:tab/>
    </w:r>
    <w:r>
      <w:t>GE.22-12944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50FF" w14:textId="057E88A0" w:rsidR="00E31283" w:rsidRPr="00E31283" w:rsidRDefault="00E31283" w:rsidP="00E31283">
    <w:pPr>
      <w:pStyle w:val="a8"/>
      <w:tabs>
        <w:tab w:val="clear" w:pos="9639"/>
        <w:tab w:val="right" w:pos="9638"/>
      </w:tabs>
      <w:rPr>
        <w:b/>
        <w:sz w:val="18"/>
      </w:rPr>
    </w:pPr>
    <w:r>
      <w:t>GE.22-12944</w:t>
    </w:r>
    <w:r>
      <w:tab/>
    </w:r>
    <w:r w:rsidRPr="00E31283">
      <w:rPr>
        <w:b/>
        <w:sz w:val="18"/>
      </w:rPr>
      <w:fldChar w:fldCharType="begin"/>
    </w:r>
    <w:r w:rsidRPr="00E31283">
      <w:rPr>
        <w:b/>
        <w:sz w:val="18"/>
      </w:rPr>
      <w:instrText xml:space="preserve"> PAGE  \* MERGEFORMAT </w:instrText>
    </w:r>
    <w:r w:rsidRPr="00E31283">
      <w:rPr>
        <w:b/>
        <w:sz w:val="18"/>
      </w:rPr>
      <w:fldChar w:fldCharType="separate"/>
    </w:r>
    <w:r w:rsidRPr="00E31283">
      <w:rPr>
        <w:b/>
        <w:noProof/>
        <w:sz w:val="18"/>
      </w:rPr>
      <w:t>3</w:t>
    </w:r>
    <w:r w:rsidRPr="00E3128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5F63" w14:textId="6EFDDA29" w:rsidR="00042B72" w:rsidRPr="00E31283" w:rsidRDefault="00E31283" w:rsidP="00E31283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92CFB0C" wp14:editId="1C111353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12944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CA94865" wp14:editId="45D9653A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010922   050922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FAD0" w14:textId="77777777" w:rsidR="001A25E8" w:rsidRPr="001075E9" w:rsidRDefault="001A25E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A8C0708" w14:textId="77777777" w:rsidR="001A25E8" w:rsidRDefault="001A25E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21ABD32" w14:textId="77777777" w:rsidR="00E31283" w:rsidRPr="002B323F" w:rsidRDefault="00E31283" w:rsidP="00E31283">
      <w:pPr>
        <w:pStyle w:val="ad"/>
        <w:tabs>
          <w:tab w:val="left" w:pos="993"/>
        </w:tabs>
        <w:ind w:right="1133"/>
      </w:pPr>
      <w:r>
        <w:tab/>
      </w:r>
      <w:r>
        <w:rPr>
          <w:vertAlign w:val="superscript"/>
        </w:rPr>
        <w:t>*</w:t>
      </w:r>
      <w:r>
        <w:tab/>
        <w:t>В соответствии с программой работы Комитета по внутреннему транспорту на 2022 год, изложенной в предлагаемом бюджете по программам на 2022 год (A/76/6 (часть V, раздел 20), пункт 20.76),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6A3F" w14:textId="51FCBAE8" w:rsidR="00E31283" w:rsidRPr="00E31283" w:rsidRDefault="00B968FE">
    <w:pPr>
      <w:pStyle w:val="a5"/>
    </w:pPr>
    <w:fldSimple w:instr=" TITLE  \* MERGEFORMAT ">
      <w:r w:rsidR="006B0DBC">
        <w:t>ECE/TRANS/WP.29/2022/112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15E7" w14:textId="485B1DE1" w:rsidR="00E31283" w:rsidRPr="00E31283" w:rsidRDefault="00B968FE" w:rsidP="00E31283">
    <w:pPr>
      <w:pStyle w:val="a5"/>
      <w:jc w:val="right"/>
    </w:pPr>
    <w:fldSimple w:instr=" TITLE  \* MERGEFORMAT ">
      <w:r w:rsidR="006B0DBC">
        <w:t>ECE/TRANS/WP.29/2022/112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E8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A25E8"/>
    <w:rsid w:val="001B057D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B0DBC"/>
    <w:rsid w:val="006C2031"/>
    <w:rsid w:val="006D461A"/>
    <w:rsid w:val="006F35EE"/>
    <w:rsid w:val="007021FF"/>
    <w:rsid w:val="00712895"/>
    <w:rsid w:val="00734ACB"/>
    <w:rsid w:val="00757357"/>
    <w:rsid w:val="00792497"/>
    <w:rsid w:val="007E722E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968FE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931B6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31283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2520A"/>
  <w15:docId w15:val="{DC832F12-D024-40E2-97FD-35C05A3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BVI fnr, BVI fnr,Footnote symbol,Footnote,Footnote Reference Superscript,SUPERS,-E Fußnotenzeichen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Fußnotentext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E31283"/>
    <w:rPr>
      <w:lang w:val="ru-RU" w:eastAsia="en-US"/>
    </w:rPr>
  </w:style>
  <w:style w:type="character" w:customStyle="1" w:styleId="HChGChar">
    <w:name w:val="_ H _Ch_G Char"/>
    <w:link w:val="HChG"/>
    <w:locked/>
    <w:rsid w:val="00E31283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E31283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F2002-926A-4E6F-BA54-807AF95A4D70}"/>
</file>

<file path=customXml/itemProps2.xml><?xml version="1.0" encoding="utf-8"?>
<ds:datastoreItem xmlns:ds="http://schemas.openxmlformats.org/officeDocument/2006/customXml" ds:itemID="{5882F480-F683-490E-8557-4B7C8527E9C5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2</Pages>
  <Words>374</Words>
  <Characters>2596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ECE/TRANS/WP.29/2022/112</dc:title>
  <dc:subject/>
  <dc:creator>Tatiana CHVETS</dc:creator>
  <cp:keywords/>
  <cp:lastModifiedBy>Tatiana Chvets</cp:lastModifiedBy>
  <cp:revision>3</cp:revision>
  <cp:lastPrinted>2022-09-05T07:19:00Z</cp:lastPrinted>
  <dcterms:created xsi:type="dcterms:W3CDTF">2022-09-05T07:19:00Z</dcterms:created>
  <dcterms:modified xsi:type="dcterms:W3CDTF">2022-09-05T07:19:00Z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