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F453A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404EC7" w14:textId="77777777" w:rsidR="002D5AAC" w:rsidRDefault="002D5AAC" w:rsidP="00E81E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1AE1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3CDCEC" w14:textId="6B930434" w:rsidR="002D5AAC" w:rsidRDefault="00E81ECB" w:rsidP="00E81ECB">
            <w:pPr>
              <w:jc w:val="right"/>
            </w:pPr>
            <w:r w:rsidRPr="00E81ECB">
              <w:rPr>
                <w:sz w:val="40"/>
              </w:rPr>
              <w:t>ECE</w:t>
            </w:r>
            <w:r>
              <w:t>/TRANS/WP.11/248/Add.1</w:t>
            </w:r>
          </w:p>
        </w:tc>
      </w:tr>
      <w:tr w:rsidR="002D5AAC" w:rsidRPr="00111270" w14:paraId="0A7DE9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3AFD2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222E75" wp14:editId="7D5CFA5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0D6FF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112C57" w14:textId="77777777" w:rsidR="002D5AAC" w:rsidRDefault="00E81EC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30B25E" w14:textId="77777777" w:rsidR="00E81ECB" w:rsidRDefault="00E81ECB" w:rsidP="00E81E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2022</w:t>
            </w:r>
          </w:p>
          <w:p w14:paraId="29E1984D" w14:textId="77777777" w:rsidR="00E81ECB" w:rsidRDefault="00E81ECB" w:rsidP="00E81E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8D518A" w14:textId="63D9A85E" w:rsidR="00E81ECB" w:rsidRPr="008D53B6" w:rsidRDefault="00E81ECB" w:rsidP="00E81E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C288FE" w14:textId="77777777" w:rsidR="00E81ECB" w:rsidRPr="00D94198" w:rsidRDefault="00E81ECB" w:rsidP="00E81ECB">
      <w:pPr>
        <w:spacing w:before="120"/>
        <w:rPr>
          <w:b/>
          <w:sz w:val="28"/>
          <w:szCs w:val="28"/>
        </w:rPr>
      </w:pPr>
      <w:r w:rsidRPr="00D94198">
        <w:rPr>
          <w:b/>
          <w:sz w:val="28"/>
          <w:szCs w:val="28"/>
        </w:rPr>
        <w:t>Европейская экономическая комиссия</w:t>
      </w:r>
    </w:p>
    <w:p w14:paraId="1C0E2AB4" w14:textId="77777777" w:rsidR="00E81ECB" w:rsidRPr="00D94198" w:rsidRDefault="00E81ECB" w:rsidP="00E81ECB">
      <w:pPr>
        <w:spacing w:before="120"/>
        <w:rPr>
          <w:sz w:val="28"/>
          <w:szCs w:val="28"/>
        </w:rPr>
      </w:pPr>
      <w:r w:rsidRPr="00D94198">
        <w:rPr>
          <w:sz w:val="28"/>
          <w:szCs w:val="28"/>
        </w:rPr>
        <w:t>Комитет по внутреннему транспорту</w:t>
      </w:r>
    </w:p>
    <w:p w14:paraId="6688F83B" w14:textId="77777777" w:rsidR="00E81ECB" w:rsidRPr="00D94198" w:rsidRDefault="00E81ECB" w:rsidP="00E81ECB">
      <w:pPr>
        <w:spacing w:before="120"/>
        <w:rPr>
          <w:b/>
          <w:sz w:val="24"/>
          <w:szCs w:val="24"/>
        </w:rPr>
      </w:pPr>
      <w:r w:rsidRPr="00D94198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D94198">
        <w:rPr>
          <w:b/>
          <w:bCs/>
          <w:sz w:val="24"/>
          <w:szCs w:val="24"/>
        </w:rPr>
        <w:br/>
        <w:t>пищевых продуктов</w:t>
      </w:r>
    </w:p>
    <w:p w14:paraId="2FA7DC28" w14:textId="77777777" w:rsidR="00E81ECB" w:rsidRPr="00D94198" w:rsidRDefault="00E81ECB" w:rsidP="00E81ECB">
      <w:pPr>
        <w:spacing w:before="120"/>
        <w:rPr>
          <w:b/>
        </w:rPr>
      </w:pPr>
      <w:r w:rsidRPr="00D94198">
        <w:rPr>
          <w:b/>
          <w:bCs/>
        </w:rPr>
        <w:t>Семьдесят девятая сессия</w:t>
      </w:r>
    </w:p>
    <w:p w14:paraId="55B5B383" w14:textId="77777777" w:rsidR="00E81ECB" w:rsidRPr="00D94198" w:rsidRDefault="00E81ECB" w:rsidP="00E81ECB">
      <w:r w:rsidRPr="00D94198">
        <w:t>Женева, 25−28 октября 2022 года</w:t>
      </w:r>
    </w:p>
    <w:p w14:paraId="36B47F48" w14:textId="77777777" w:rsidR="00E81ECB" w:rsidRPr="00D94198" w:rsidRDefault="00E81ECB" w:rsidP="00E81ECB">
      <w:r w:rsidRPr="00D94198">
        <w:t>Пункт 1 предварительной повестки дня</w:t>
      </w:r>
    </w:p>
    <w:p w14:paraId="4583CD10" w14:textId="77777777" w:rsidR="00E81ECB" w:rsidRPr="00D94198" w:rsidRDefault="00E81ECB" w:rsidP="00E81ECB">
      <w:r w:rsidRPr="00D94198">
        <w:rPr>
          <w:b/>
          <w:bCs/>
        </w:rPr>
        <w:t>Утверждение повестки дня</w:t>
      </w:r>
    </w:p>
    <w:p w14:paraId="6C5ECBD5" w14:textId="77777777" w:rsidR="00E81ECB" w:rsidRPr="00D94198" w:rsidRDefault="00E81ECB" w:rsidP="00E81ECB">
      <w:pPr>
        <w:pStyle w:val="HChG"/>
        <w:jc w:val="both"/>
      </w:pPr>
      <w:r w:rsidRPr="00E81ECB">
        <w:tab/>
      </w:r>
      <w:r w:rsidRPr="00E81ECB">
        <w:tab/>
      </w:r>
      <w:r w:rsidRPr="00D94198">
        <w:t>Предварительная повестка дня семьдесят девятой сессии</w:t>
      </w:r>
    </w:p>
    <w:p w14:paraId="0BBE8F3C" w14:textId="77777777" w:rsidR="00E81ECB" w:rsidRPr="00D94198" w:rsidRDefault="00E81ECB" w:rsidP="00E81ECB">
      <w:pPr>
        <w:pStyle w:val="H23G"/>
        <w:jc w:val="both"/>
      </w:pPr>
      <w:r w:rsidRPr="00D94198">
        <w:tab/>
      </w:r>
      <w:r w:rsidRPr="00D94198">
        <w:tab/>
        <w:t>Добавление</w:t>
      </w:r>
    </w:p>
    <w:p w14:paraId="2889B728" w14:textId="77777777" w:rsidR="00E81ECB" w:rsidRPr="00D94198" w:rsidRDefault="00E81ECB" w:rsidP="00E81ECB">
      <w:pPr>
        <w:pStyle w:val="HChG"/>
      </w:pPr>
      <w:r w:rsidRPr="00D94198">
        <w:tab/>
      </w:r>
      <w:r w:rsidRPr="00D94198">
        <w:tab/>
        <w:t>Aннотации</w:t>
      </w:r>
    </w:p>
    <w:p w14:paraId="46444283" w14:textId="77777777" w:rsidR="00E81ECB" w:rsidRPr="00D94198" w:rsidRDefault="00E81ECB" w:rsidP="00E81ECB">
      <w:pPr>
        <w:pStyle w:val="H1G"/>
      </w:pPr>
      <w:r w:rsidRPr="00D94198">
        <w:tab/>
        <w:t>1.</w:t>
      </w:r>
      <w:r w:rsidRPr="00D94198">
        <w:tab/>
        <w:t xml:space="preserve">Утверждение повестки дня </w:t>
      </w:r>
    </w:p>
    <w:p w14:paraId="43B87248" w14:textId="3A5BA0FD" w:rsidR="00E81ECB" w:rsidRPr="00D94198" w:rsidRDefault="00E81ECB" w:rsidP="00E81ECB">
      <w:pPr>
        <w:pStyle w:val="SingleTxtG"/>
      </w:pPr>
      <w:r w:rsidRPr="00D94198">
        <w:tab/>
        <w:t>В соответствии с правилами процедуры WP.11 первым пунктом предварительной повестки дня является утверждение повестки дня.</w:t>
      </w:r>
    </w:p>
    <w:p w14:paraId="16051411" w14:textId="77777777" w:rsidR="00E81ECB" w:rsidRPr="00D94198" w:rsidRDefault="00E81ECB" w:rsidP="00E81ECB">
      <w:pPr>
        <w:pStyle w:val="H1G"/>
      </w:pPr>
      <w:r w:rsidRPr="00D94198">
        <w:tab/>
        <w:t>2.</w:t>
      </w:r>
      <w:r w:rsidRPr="00D94198">
        <w:tab/>
        <w:t>Деятельность органов ЕЭК, представляющая интерес для Рабочей группы</w:t>
      </w:r>
    </w:p>
    <w:p w14:paraId="5BDF96D5" w14:textId="77777777" w:rsidR="00E81ECB" w:rsidRPr="00D94198" w:rsidRDefault="00E81ECB" w:rsidP="00E81ECB">
      <w:pPr>
        <w:pStyle w:val="H23G"/>
        <w:jc w:val="both"/>
      </w:pPr>
      <w:r w:rsidRPr="00D94198">
        <w:tab/>
        <w:t>a)</w:t>
      </w:r>
      <w:r w:rsidRPr="00D94198">
        <w:tab/>
        <w:t xml:space="preserve">Комитет по внутреннему транспорту </w:t>
      </w:r>
    </w:p>
    <w:p w14:paraId="2BAA4E3C" w14:textId="683BD55C" w:rsidR="00E81ECB" w:rsidRPr="00D94198" w:rsidRDefault="00E81ECB" w:rsidP="00E81ECB">
      <w:pPr>
        <w:pStyle w:val="SingleTxtG"/>
      </w:pPr>
      <w:r w:rsidRPr="00D94198">
        <w:tab/>
        <w:t>Рабочей группе предлагается принять к сведению соответствующие пункты доклада о работе восемьдесят четвертой сессии Комитета по внутреннему транспорту (КВТ) (22–25 февраля 2022 года) (ECE/TRANS/316).</w:t>
      </w:r>
    </w:p>
    <w:p w14:paraId="3F881A01" w14:textId="77777777" w:rsidR="00E81ECB" w:rsidRPr="00D94198" w:rsidRDefault="00E81ECB" w:rsidP="00E81ECB">
      <w:pPr>
        <w:pStyle w:val="H23G"/>
        <w:jc w:val="both"/>
      </w:pPr>
      <w:r w:rsidRPr="00D94198">
        <w:tab/>
        <w:t>b)</w:t>
      </w:r>
      <w:r w:rsidRPr="00D94198">
        <w:tab/>
        <w:t>Рабочая группа по сельскохозяйственным стандартам качества</w:t>
      </w:r>
    </w:p>
    <w:p w14:paraId="635A79C5" w14:textId="5A752740" w:rsidR="00E81ECB" w:rsidRPr="00D94198" w:rsidRDefault="00E81ECB" w:rsidP="00E81ECB">
      <w:pPr>
        <w:pStyle w:val="SingleTxtG"/>
      </w:pPr>
      <w:r w:rsidRPr="00D94198">
        <w:tab/>
        <w:t xml:space="preserve">Для WP.11 представляют интерес следующие мероприятия Рабочей группы по сельскохозяйственным стандартам качества (WP.7), которые будут проводиться во втором полугодии 2022 года: </w:t>
      </w:r>
    </w:p>
    <w:p w14:paraId="20FE5981" w14:textId="528BD03A" w:rsidR="00E81ECB" w:rsidRPr="00D94198" w:rsidRDefault="00E81ECB" w:rsidP="00F16C1C">
      <w:pPr>
        <w:pStyle w:val="Bullet1G"/>
        <w:rPr>
          <w:rFonts w:ascii="Symbol" w:hAnsi="Symbol"/>
        </w:rPr>
      </w:pPr>
      <w:r w:rsidRPr="00D94198">
        <w:rPr>
          <w:rFonts w:ascii="Symbol" w:hAnsi="Symbol"/>
        </w:rPr>
        <w:tab/>
      </w:r>
      <w:r w:rsidRPr="00D94198">
        <w:rPr>
          <w:rFonts w:asciiTheme="majorBidi" w:hAnsiTheme="majorBidi" w:cstheme="majorBidi"/>
        </w:rPr>
        <w:t xml:space="preserve">тридцатая </w:t>
      </w:r>
      <w:r w:rsidRPr="00D94198">
        <w:rPr>
          <w:shd w:val="clear" w:color="auto" w:fill="FFFFFF"/>
        </w:rPr>
        <w:t>сессия Специализированной секции по разработке стандартов на мясо (GE.11), 28–30 сентября 2022 года, Женева, Швейцария;</w:t>
      </w:r>
    </w:p>
    <w:p w14:paraId="58BC62A8" w14:textId="58C0107E" w:rsidR="00E81ECB" w:rsidRPr="00D94198" w:rsidRDefault="00E81ECB" w:rsidP="00F16C1C">
      <w:pPr>
        <w:pStyle w:val="Bullet1G"/>
        <w:rPr>
          <w:rFonts w:ascii="Symbol" w:hAnsi="Symbol"/>
        </w:rPr>
      </w:pPr>
      <w:r w:rsidRPr="00D94198">
        <w:rPr>
          <w:rFonts w:ascii="Symbol" w:hAnsi="Symbol"/>
        </w:rPr>
        <w:tab/>
      </w:r>
      <w:r w:rsidRPr="00D94198">
        <w:rPr>
          <w:shd w:val="clear" w:color="auto" w:fill="FFFFFF"/>
        </w:rPr>
        <w:t>семьдесят седьмая сессия Рабочей группы по сельскохозяйственным стандартам качества (WP.7), 15–17 ноября 2022 года, Женева, Швейцария.</w:t>
      </w:r>
    </w:p>
    <w:p w14:paraId="4E21BB18" w14:textId="5B45A04B" w:rsidR="00E81ECB" w:rsidRPr="00D94198" w:rsidRDefault="00E81ECB" w:rsidP="00E81ECB">
      <w:pPr>
        <w:pStyle w:val="SingleTxtG"/>
      </w:pPr>
      <w:r w:rsidRPr="00D94198">
        <w:tab/>
        <w:t>Новейший инструмент ЕЭК ООН по борьбе с продовольственными потерями</w:t>
      </w:r>
      <w:r w:rsidRPr="00D94198">
        <w:br/>
        <w:t xml:space="preserve">и пищевыми отходами доступен по следующему адресу в Интернете: </w:t>
      </w:r>
      <w:hyperlink r:id="rId8" w:history="1">
        <w:r w:rsidRPr="00D94198">
          <w:rPr>
            <w:rStyle w:val="af1"/>
          </w:rPr>
          <w:t>https://unece.org/trade/wp7/food-loss-and-waste</w:t>
        </w:r>
      </w:hyperlink>
      <w:r w:rsidRPr="00D94198">
        <w:t>.</w:t>
      </w:r>
    </w:p>
    <w:p w14:paraId="7F136F6A" w14:textId="7F50EA17" w:rsidR="00E81ECB" w:rsidRPr="00D94198" w:rsidRDefault="00E81ECB" w:rsidP="00E81ECB">
      <w:pPr>
        <w:pStyle w:val="SingleTxtG"/>
      </w:pPr>
      <w:r w:rsidRPr="00D94198">
        <w:lastRenderedPageBreak/>
        <w:tab/>
        <w:t xml:space="preserve">Более подробную информацию об этих и других мероприятиях см. на следующем веб-сайте WP.7: </w:t>
      </w:r>
      <w:hyperlink r:id="rId9" w:history="1">
        <w:r w:rsidRPr="00D94198">
          <w:rPr>
            <w:rStyle w:val="af1"/>
            <w:lang w:val="en-US"/>
          </w:rPr>
          <w:t>https</w:t>
        </w:r>
        <w:r w:rsidRPr="00D94198">
          <w:rPr>
            <w:rStyle w:val="af1"/>
          </w:rPr>
          <w:t>://unece.org/trade/working-party-agricultural-quality-standards-wp7</w:t>
        </w:r>
      </w:hyperlink>
      <w:r w:rsidRPr="00D94198">
        <w:t>.</w:t>
      </w:r>
    </w:p>
    <w:p w14:paraId="27A644B3" w14:textId="77777777" w:rsidR="00E81ECB" w:rsidRPr="00D94198" w:rsidRDefault="00E81ECB" w:rsidP="00E81ECB">
      <w:pPr>
        <w:pStyle w:val="H1G"/>
      </w:pPr>
      <w:r w:rsidRPr="00D94198">
        <w:tab/>
        <w:t>3.</w:t>
      </w:r>
      <w:r w:rsidRPr="00D94198">
        <w:tab/>
        <w:t>Деятельность других международных организаций, занимающихся вопросами, которые представляют интерес для Рабочей группы</w:t>
      </w:r>
    </w:p>
    <w:p w14:paraId="30A63F00" w14:textId="77777777" w:rsidR="00E81ECB" w:rsidRPr="00D94198" w:rsidRDefault="00E81ECB" w:rsidP="00E81ECB">
      <w:pPr>
        <w:pStyle w:val="H23G"/>
        <w:jc w:val="both"/>
      </w:pPr>
      <w:r w:rsidRPr="00D94198">
        <w:tab/>
        <w:t>a)</w:t>
      </w:r>
      <w:r w:rsidRPr="00D94198">
        <w:tab/>
        <w:t>Международный институт холода (МИХ)</w:t>
      </w:r>
    </w:p>
    <w:p w14:paraId="74CBB0C6" w14:textId="5E31693E" w:rsidR="00E81ECB" w:rsidRPr="00D94198" w:rsidRDefault="00E81ECB" w:rsidP="00E81ECB">
      <w:pPr>
        <w:pStyle w:val="SingleTxtG"/>
      </w:pPr>
      <w:r w:rsidRPr="00D94198">
        <w:tab/>
        <w:t xml:space="preserve">Рабочая группа будет проинформирована о результатах совещания Подкомиссии МИХ по перевозкам холодильным транспортом, которое проводилось в формате видеоконференции 17 мая 2022 года. </w:t>
      </w:r>
    </w:p>
    <w:p w14:paraId="45498A99" w14:textId="77777777" w:rsidR="00E81ECB" w:rsidRPr="00D94198" w:rsidRDefault="00E81ECB" w:rsidP="00E81ECB">
      <w:pPr>
        <w:pStyle w:val="H23G"/>
        <w:jc w:val="both"/>
      </w:pPr>
      <w:r w:rsidRPr="00D94198">
        <w:tab/>
        <w:t>b)</w:t>
      </w:r>
      <w:r w:rsidRPr="00D94198">
        <w:tab/>
        <w:t>«Трансфригорут интернэшнл»</w:t>
      </w:r>
    </w:p>
    <w:p w14:paraId="3156F45D" w14:textId="289F5727" w:rsidR="00E81ECB" w:rsidRPr="00D94198" w:rsidRDefault="00E81ECB" w:rsidP="00E81ECB">
      <w:pPr>
        <w:pStyle w:val="SingleTxtG"/>
      </w:pPr>
      <w:r w:rsidRPr="00D94198">
        <w:tab/>
        <w:t>Представителю «Трансфригорут интернэшнл» предлагается сообщить о деятельности его федерации за последнее время.</w:t>
      </w:r>
    </w:p>
    <w:p w14:paraId="6FE95306" w14:textId="77777777" w:rsidR="00E81ECB" w:rsidRPr="00D94198" w:rsidRDefault="00E81ECB" w:rsidP="00E81ECB">
      <w:pPr>
        <w:pStyle w:val="H23G"/>
        <w:jc w:val="both"/>
      </w:pPr>
      <w:r w:rsidRPr="00D94198">
        <w:tab/>
        <w:t>c)</w:t>
      </w:r>
      <w:r w:rsidRPr="00D94198">
        <w:tab/>
        <w:t>Организации по стандартизации</w:t>
      </w:r>
    </w:p>
    <w:p w14:paraId="6522F2B5" w14:textId="03DF2EAA" w:rsidR="00E81ECB" w:rsidRPr="00D94198" w:rsidRDefault="00E81ECB" w:rsidP="00E81ECB">
      <w:pPr>
        <w:pStyle w:val="SingleTxtG"/>
      </w:pPr>
      <w:r w:rsidRPr="00D94198">
        <w:tab/>
        <w:t xml:space="preserve">Делегациям, участвующим в работе организаций по стандартизации, предлагается проинформировать Рабочую группу о ходе разработки стандартов, касающихся перевозок в условиях контролируемой температуры, и о том, какое воздействие эти стандарты, как ожидается, окажут на СПС. </w:t>
      </w:r>
    </w:p>
    <w:p w14:paraId="08C5E864" w14:textId="77777777" w:rsidR="00E81ECB" w:rsidRPr="00D94198" w:rsidRDefault="00E81ECB" w:rsidP="00E81ECB">
      <w:pPr>
        <w:pStyle w:val="H1G"/>
      </w:pPr>
      <w:r w:rsidRPr="00D94198">
        <w:tab/>
        <w:t>4.</w:t>
      </w:r>
      <w:r w:rsidRPr="00D94198"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</w:t>
      </w:r>
      <w:r w:rsidRPr="00D94198">
        <w:rPr>
          <w:lang w:val="en-US"/>
        </w:rPr>
        <w:t> </w:t>
      </w:r>
      <w:r w:rsidRPr="00D94198">
        <w:t>(СПС)</w:t>
      </w:r>
    </w:p>
    <w:p w14:paraId="2B71079E" w14:textId="77777777" w:rsidR="00E81ECB" w:rsidRPr="00D94198" w:rsidRDefault="00E81ECB" w:rsidP="00E81ECB">
      <w:pPr>
        <w:pStyle w:val="H23G"/>
      </w:pPr>
      <w:r w:rsidRPr="00D94198">
        <w:tab/>
        <w:t>a)</w:t>
      </w:r>
      <w:r w:rsidRPr="00D94198">
        <w:tab/>
        <w:t>Состояние применения Соглашения</w:t>
      </w:r>
    </w:p>
    <w:p w14:paraId="2A3DF039" w14:textId="240DEBC7" w:rsidR="00E81ECB" w:rsidRPr="00D94198" w:rsidRDefault="00E81ECB" w:rsidP="00E81ECB">
      <w:pPr>
        <w:pStyle w:val="SingleTxtG"/>
      </w:pPr>
      <w:r w:rsidRPr="00D94198">
        <w:tab/>
      </w:r>
      <w:r w:rsidRPr="00D94198">
        <w:rPr>
          <w:shd w:val="clear" w:color="auto" w:fill="FFFFFF"/>
        </w:rPr>
        <w:t xml:space="preserve">За период, прошедший после прошлой сессии, к </w:t>
      </w:r>
      <w:bookmarkStart w:id="0" w:name="_Hlk112953517"/>
      <w:r w:rsidRPr="00D94198">
        <w:rPr>
          <w:shd w:val="clear" w:color="auto" w:fill="FFFFFF"/>
        </w:rPr>
        <w:t xml:space="preserve">СПС </w:t>
      </w:r>
      <w:bookmarkEnd w:id="0"/>
      <w:r w:rsidRPr="00D94198">
        <w:rPr>
          <w:shd w:val="clear" w:color="auto" w:fill="FFFFFF"/>
        </w:rPr>
        <w:t>не присоединилось ни одной новой страны, поэтому число Договаривающихся сторон по-прежнему составляет 52.</w:t>
      </w:r>
    </w:p>
    <w:p w14:paraId="25357A8C" w14:textId="77777777" w:rsidR="00E81ECB" w:rsidRPr="00D94198" w:rsidRDefault="00E81ECB" w:rsidP="00E81ECB">
      <w:pPr>
        <w:pStyle w:val="H23G"/>
        <w:jc w:val="both"/>
      </w:pPr>
      <w:r w:rsidRPr="00D94198">
        <w:tab/>
        <w:t>b)</w:t>
      </w:r>
      <w:r w:rsidRPr="00D94198">
        <w:tab/>
        <w:t>Состояние поправок</w:t>
      </w:r>
    </w:p>
    <w:p w14:paraId="0FAB1D69" w14:textId="451AF7BA" w:rsidR="00E81ECB" w:rsidRPr="00D94198" w:rsidRDefault="00F16C1C" w:rsidP="00F16C1C">
      <w:pPr>
        <w:pStyle w:val="SingleTxtG"/>
      </w:pPr>
      <w:r>
        <w:rPr>
          <w:shd w:val="clear" w:color="auto" w:fill="FFFFFF"/>
        </w:rPr>
        <w:tab/>
      </w:r>
      <w:r w:rsidR="00E81ECB" w:rsidRPr="00D94198">
        <w:rPr>
          <w:shd w:val="clear" w:color="auto" w:fill="FFFFFF"/>
        </w:rPr>
        <w:t>Рабочая группа будет проинформирована о статусе СПС.</w:t>
      </w:r>
    </w:p>
    <w:p w14:paraId="329402BD" w14:textId="77777777" w:rsidR="00E81ECB" w:rsidRPr="00D94198" w:rsidRDefault="00E81ECB" w:rsidP="00E81ECB">
      <w:pPr>
        <w:pStyle w:val="H23G"/>
      </w:pPr>
      <w:r w:rsidRPr="00D94198">
        <w:tab/>
        <w:t>c)</w:t>
      </w:r>
      <w:r w:rsidRPr="00D94198">
        <w:tab/>
        <w:t>Испытательные станции, официально назначаемые компетентными органами стран — участниц СПС</w:t>
      </w:r>
    </w:p>
    <w:p w14:paraId="7339CBF9" w14:textId="369E6A85" w:rsidR="00E81ECB" w:rsidRPr="00D94198" w:rsidRDefault="00E81ECB" w:rsidP="00E81ECB">
      <w:pPr>
        <w:pStyle w:val="SingleTxtG"/>
      </w:pPr>
      <w:r w:rsidRPr="00D94198">
        <w:tab/>
        <w:t xml:space="preserve">Нынешний перечень официально назначенных испытательных станций доступен по следующему адресу в Интернете: </w:t>
      </w:r>
      <w:hyperlink r:id="rId10" w:history="1">
        <w:r w:rsidRPr="00D94198">
          <w:rPr>
            <w:rStyle w:val="af1"/>
          </w:rPr>
          <w:t>https://unece.org/atp-competent-authorities-and-testing-stations</w:t>
        </w:r>
      </w:hyperlink>
      <w:r w:rsidRPr="00D94198">
        <w:t>.</w:t>
      </w:r>
    </w:p>
    <w:p w14:paraId="0B52FBF5" w14:textId="77777777" w:rsidR="00E81ECB" w:rsidRPr="00D94198" w:rsidRDefault="00E81ECB" w:rsidP="00E81ECB">
      <w:pPr>
        <w:pStyle w:val="H23G"/>
        <w:jc w:val="both"/>
      </w:pPr>
      <w:r w:rsidRPr="00D94198">
        <w:tab/>
        <w:t>d)</w:t>
      </w:r>
      <w:r w:rsidRPr="00D94198">
        <w:tab/>
        <w:t>Обмен информацией между Сторонами в соответствии со статьей 6 СПС</w:t>
      </w:r>
    </w:p>
    <w:p w14:paraId="09989A15" w14:textId="766942E2" w:rsidR="00E81ECB" w:rsidRPr="00D94198" w:rsidRDefault="00F16C1C" w:rsidP="00F16C1C">
      <w:pPr>
        <w:pStyle w:val="SingleTxtG"/>
      </w:pPr>
      <w:r>
        <w:rPr>
          <w:shd w:val="clear" w:color="auto" w:fill="FFFFFF"/>
        </w:rPr>
        <w:tab/>
      </w:r>
      <w:r w:rsidR="00E81ECB" w:rsidRPr="00D94198">
        <w:rPr>
          <w:shd w:val="clear" w:color="auto" w:fill="FFFFFF"/>
        </w:rPr>
        <w:t xml:space="preserve">На семьдесят седьмой сессии WP.11 поблагодарила 25 стран, представивших данные в ответ на вопросник об осуществлении СПС в 2020 году, подчеркнув необходимость в обязательном порядке располагать информацией от всех </w:t>
      </w:r>
      <w:r w:rsidR="00E81ECB" w:rsidRPr="00F16C1C">
        <w:t>Договаривающихся</w:t>
      </w:r>
      <w:r w:rsidR="00E81ECB" w:rsidRPr="00D94198">
        <w:rPr>
          <w:shd w:val="clear" w:color="auto" w:fill="FFFFFF"/>
        </w:rPr>
        <w:t xml:space="preserve"> сторон СПС и тот факт, что такая информация служит одним из средств согласования усилий по осуществлению Соглашения.</w:t>
      </w:r>
    </w:p>
    <w:p w14:paraId="3E5BD452" w14:textId="3F37DEC0" w:rsidR="00E81ECB" w:rsidRPr="00D94198" w:rsidRDefault="00F16C1C" w:rsidP="00F16C1C">
      <w:pPr>
        <w:pStyle w:val="SingleTxtG"/>
      </w:pPr>
      <w:r>
        <w:rPr>
          <w:shd w:val="clear" w:color="auto" w:fill="FFFFFF"/>
        </w:rPr>
        <w:tab/>
      </w:r>
      <w:r w:rsidR="00E81ECB" w:rsidRPr="00D94198">
        <w:rPr>
          <w:shd w:val="clear" w:color="auto" w:fill="FFFFFF"/>
        </w:rPr>
        <w:t xml:space="preserve">Информация, </w:t>
      </w:r>
      <w:r w:rsidR="00E81ECB" w:rsidRPr="00F16C1C">
        <w:t>полученная</w:t>
      </w:r>
      <w:r w:rsidR="00E81ECB" w:rsidRPr="00D94198">
        <w:rPr>
          <w:shd w:val="clear" w:color="auto" w:fill="FFFFFF"/>
        </w:rPr>
        <w:t xml:space="preserve"> за 2021 год, представлена в документе </w:t>
      </w:r>
      <w:r w:rsidR="00E81ECB" w:rsidRPr="00D94198">
        <w:t>ECE/TRANS/ WP.11/2022/12.</w:t>
      </w:r>
    </w:p>
    <w:p w14:paraId="63ED2C92" w14:textId="5D692EF6" w:rsidR="00E81ECB" w:rsidRPr="00D94198" w:rsidRDefault="00E81ECB" w:rsidP="00F16C1C">
      <w:pPr>
        <w:pStyle w:val="SingleTxtG"/>
      </w:pPr>
      <w:r w:rsidRPr="00D94198">
        <w:tab/>
        <w:t xml:space="preserve">По поручению Рабочей группы, высказанному в ходе ее семьдесят третьей сессии, секретариат направил всем Договаривающимся сторонам письмо с просьбой выполнять их </w:t>
      </w:r>
      <w:r w:rsidRPr="00F16C1C">
        <w:t>обязательства</w:t>
      </w:r>
      <w:r w:rsidRPr="00D94198">
        <w:t xml:space="preserve"> по статье 6 СПС посредством предоставления ответов на ежегодный вопросник и обновления контактных данных компетентных органов и </w:t>
      </w:r>
      <w:r w:rsidRPr="00D94198">
        <w:lastRenderedPageBreak/>
        <w:t xml:space="preserve">испытательных станций. Вся информация, поступившая в секретариат, включена в перечень компетентных органов и официально назначаемых испытательных станций, размещенный по следующему адресу в Интернете: </w:t>
      </w:r>
      <w:hyperlink r:id="rId11" w:history="1">
        <w:r w:rsidRPr="00D94198">
          <w:rPr>
            <w:rStyle w:val="af1"/>
          </w:rPr>
          <w:t>https://unece.org/atp-competent-authorities-and-testing-stations</w:t>
        </w:r>
      </w:hyperlink>
      <w:r w:rsidRPr="00D94198">
        <w:t>.</w:t>
      </w:r>
    </w:p>
    <w:p w14:paraId="1CD3D4A1" w14:textId="77777777" w:rsidR="00E81ECB" w:rsidRPr="00D94198" w:rsidRDefault="00E81ECB" w:rsidP="00E81ECB">
      <w:pPr>
        <w:pStyle w:val="H23G"/>
      </w:pPr>
      <w:r w:rsidRPr="00D94198">
        <w:tab/>
        <w:t>e)</w:t>
      </w:r>
      <w:r w:rsidRPr="00D94198">
        <w:tab/>
        <w:t xml:space="preserve">Обмен передовой практикой для более эффективного осуществления СПС </w:t>
      </w:r>
    </w:p>
    <w:p w14:paraId="0590D412" w14:textId="273B6A96" w:rsidR="00E81ECB" w:rsidRPr="00D94198" w:rsidRDefault="00E81ECB" w:rsidP="00E81ECB">
      <w:pPr>
        <w:pStyle w:val="SingleTxtG"/>
      </w:pPr>
      <w:r w:rsidRPr="00D94198">
        <w:tab/>
        <w:t>Рабочая группа, возможно, пожелает рассмотреть любые предложения по более эффективному осуществлению СПС.</w:t>
      </w:r>
    </w:p>
    <w:p w14:paraId="20247721" w14:textId="77777777" w:rsidR="00E81ECB" w:rsidRPr="00D94198" w:rsidRDefault="00E81ECB" w:rsidP="00E81ECB">
      <w:pPr>
        <w:pStyle w:val="H23G"/>
        <w:jc w:val="both"/>
      </w:pPr>
      <w:r w:rsidRPr="00D94198">
        <w:tab/>
        <w:t>f)</w:t>
      </w:r>
      <w:r w:rsidRPr="00D94198">
        <w:tab/>
        <w:t>Толкование СПС</w:t>
      </w:r>
    </w:p>
    <w:p w14:paraId="31FAF67E" w14:textId="2D74C074" w:rsidR="00E81ECB" w:rsidRPr="00D94198" w:rsidRDefault="00E81ECB" w:rsidP="00E81ECB">
      <w:pPr>
        <w:pStyle w:val="SingleTxtG"/>
      </w:pPr>
      <w:r w:rsidRPr="00D94198">
        <w:tab/>
        <w:t>Рабочей группе предлагается обсудить толкование любых положений СПС, которые считаются двусмысленными или неясными.</w:t>
      </w:r>
    </w:p>
    <w:p w14:paraId="03CF20E2" w14:textId="77777777" w:rsidR="00E81ECB" w:rsidRPr="00D94198" w:rsidRDefault="00E81ECB" w:rsidP="00E81ECB">
      <w:pPr>
        <w:pStyle w:val="H1G"/>
        <w:jc w:val="both"/>
      </w:pPr>
      <w:r w:rsidRPr="00D94198">
        <w:tab/>
        <w:t>5.</w:t>
      </w:r>
      <w:r w:rsidRPr="00D94198">
        <w:tab/>
        <w:t xml:space="preserve">Предложения по поправкам к СПС </w:t>
      </w:r>
    </w:p>
    <w:p w14:paraId="3C2D412A" w14:textId="77777777" w:rsidR="00E81ECB" w:rsidRPr="00D94198" w:rsidRDefault="00E81ECB" w:rsidP="00E81ECB">
      <w:pPr>
        <w:pStyle w:val="H23G"/>
        <w:jc w:val="both"/>
      </w:pPr>
      <w:r w:rsidRPr="00D94198">
        <w:tab/>
        <w:t>a)</w:t>
      </w:r>
      <w:r w:rsidRPr="00D94198">
        <w:tab/>
        <w:t>Предложения, по которым еще не приняты решения</w:t>
      </w:r>
    </w:p>
    <w:p w14:paraId="2F29B18A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</w:r>
      <w:r w:rsidRPr="00F16C1C">
        <w:t>Определение</w:t>
      </w:r>
      <w:r w:rsidRPr="00D94198">
        <w:t xml:space="preserve"> понятий независимости действия и автономности транспортного оборудования</w:t>
      </w:r>
    </w:p>
    <w:p w14:paraId="6D8CC755" w14:textId="7307F250" w:rsidR="00E81ECB" w:rsidRPr="00D94198" w:rsidRDefault="00F16C1C" w:rsidP="00F16C1C">
      <w:pPr>
        <w:pStyle w:val="SingleTxtG"/>
      </w:pPr>
      <w:r>
        <w:tab/>
      </w:r>
      <w:r w:rsidR="00E81ECB" w:rsidRPr="00F16C1C">
        <w:t>Рабочая</w:t>
      </w:r>
      <w:r w:rsidR="00E81ECB" w:rsidRPr="00D94198">
        <w:t xml:space="preserve"> группа, возможно, пожелает обсудить предложение Франции (ECE/TRANS/WP.11/2020/1/Rev.3).</w:t>
      </w:r>
    </w:p>
    <w:p w14:paraId="4CC7FDAA" w14:textId="77777777" w:rsidR="00E81ECB" w:rsidRPr="00D94198" w:rsidRDefault="00E81ECB" w:rsidP="00F16C1C">
      <w:pPr>
        <w:pStyle w:val="H23G"/>
        <w:rPr>
          <w:lang w:eastAsia="zh-CN"/>
        </w:rPr>
      </w:pPr>
      <w:r w:rsidRPr="00D94198">
        <w:tab/>
      </w:r>
      <w:r w:rsidRPr="00D94198">
        <w:tab/>
        <w:t xml:space="preserve">Поправка, касающаяся применения мер контроля, подлежащих осуществлению в </w:t>
      </w:r>
      <w:r w:rsidRPr="00F16C1C">
        <w:t>соответствии</w:t>
      </w:r>
      <w:r w:rsidRPr="00D94198">
        <w:t xml:space="preserve"> с пунктом 4.3.4 добавления 2 к приложению 1 к СПС от </w:t>
      </w:r>
      <w:r w:rsidRPr="00E81ECB">
        <w:t>1</w:t>
      </w:r>
      <w:r w:rsidRPr="00D94198">
        <w:t xml:space="preserve"> июня 202</w:t>
      </w:r>
      <w:r w:rsidRPr="00E81ECB">
        <w:t>2</w:t>
      </w:r>
      <w:r w:rsidRPr="00D94198">
        <w:t xml:space="preserve"> года</w:t>
      </w:r>
    </w:p>
    <w:p w14:paraId="2F5B5147" w14:textId="12E7CE8B" w:rsidR="00E81ECB" w:rsidRPr="00D94198" w:rsidRDefault="00F16C1C" w:rsidP="00F16C1C">
      <w:pPr>
        <w:pStyle w:val="SingleTxtG"/>
      </w:pPr>
      <w:r>
        <w:tab/>
      </w:r>
      <w:r w:rsidR="00E81ECB" w:rsidRPr="00F16C1C">
        <w:t>Рабочая</w:t>
      </w:r>
      <w:r w:rsidR="00E81ECB" w:rsidRPr="00D94198">
        <w:t xml:space="preserve"> группа, возможно, пожелает обсудить предложение Франции (ECE/TRANS/WP.11/2020/3/Rev.3).</w:t>
      </w:r>
    </w:p>
    <w:p w14:paraId="5D49E78F" w14:textId="61EB5820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Поправки к образцам протоколов испытаний, в которых определены технические требования к транспортным средствам и цистернам, предназначенным для перевозки жидких пищевых продуктов, в связи </w:t>
      </w:r>
      <w:r w:rsidR="00F16C1C">
        <w:br/>
      </w:r>
      <w:r w:rsidRPr="00D94198">
        <w:t>с необходимостью учета технологических изменений, обусловленных применением новых изоляционных материалов</w:t>
      </w:r>
    </w:p>
    <w:p w14:paraId="77453FD3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(ECE/TRANS/WP.11/2020/4/Rev.4).</w:t>
      </w:r>
    </w:p>
    <w:p w14:paraId="36AE6A8E" w14:textId="5C107F62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Внедрение свидетельств о </w:t>
      </w:r>
      <w:r w:rsidRPr="00F16C1C">
        <w:t>проверке</w:t>
      </w:r>
      <w:r w:rsidRPr="00D94198">
        <w:t xml:space="preserve"> типа в качестве документа, подтверждающего соответствие конструкции и проведенных испытаний </w:t>
      </w:r>
      <w:r w:rsidR="00A7016C">
        <w:br/>
      </w:r>
      <w:r w:rsidRPr="00D94198">
        <w:t>на основании протоколов СПС</w:t>
      </w:r>
    </w:p>
    <w:p w14:paraId="5C3A8873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(ECE/TRANS/WP.11/2022/13).</w:t>
      </w:r>
    </w:p>
    <w:p w14:paraId="4C918CD4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Поправка к образцам протоколов испытаний, в которых устанавливается порядок определения полезной холодопроизводительности холодильной установки, с целью учета влияния различных версий программного обеспечения на производительность </w:t>
      </w:r>
      <w:r w:rsidRPr="00F16C1C">
        <w:t>указанных</w:t>
      </w:r>
      <w:r w:rsidRPr="00D94198">
        <w:t xml:space="preserve"> установок</w:t>
      </w:r>
    </w:p>
    <w:p w14:paraId="06D46DD2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(ECE/TRANS/WP.11/2021/6/Rev.1).</w:t>
      </w:r>
    </w:p>
    <w:p w14:paraId="1E85CBBC" w14:textId="77777777" w:rsidR="00E81ECB" w:rsidRPr="00E81ECB" w:rsidRDefault="00E81ECB" w:rsidP="00F16C1C">
      <w:pPr>
        <w:pStyle w:val="H23G"/>
      </w:pPr>
      <w:r w:rsidRPr="00D94198">
        <w:tab/>
      </w:r>
      <w:r w:rsidRPr="00D94198">
        <w:tab/>
        <w:t>Поправка к пункту 3.2.6 добавления 2 к приложению</w:t>
      </w:r>
      <w:r w:rsidRPr="00D94198">
        <w:rPr>
          <w:lang w:val="fr-CH"/>
        </w:rPr>
        <w:t> </w:t>
      </w:r>
      <w:r w:rsidRPr="00E81ECB">
        <w:t xml:space="preserve">1 </w:t>
      </w:r>
      <w:r w:rsidRPr="00D94198">
        <w:t>и</w:t>
      </w:r>
      <w:r w:rsidRPr="00D94198">
        <w:rPr>
          <w:lang w:val="en-US"/>
        </w:rPr>
        <w:t> </w:t>
      </w:r>
      <w:r w:rsidRPr="00D94198">
        <w:t>Справочнику</w:t>
      </w:r>
      <w:r w:rsidRPr="00E81ECB">
        <w:t xml:space="preserve"> </w:t>
      </w:r>
      <w:r w:rsidRPr="00D94198">
        <w:t>СПС</w:t>
      </w:r>
    </w:p>
    <w:p w14:paraId="0DE5B8DA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Соединенного Королевства (ECE/TRANS/WP.11/2022/16).</w:t>
      </w:r>
    </w:p>
    <w:p w14:paraId="40F13699" w14:textId="77777777" w:rsidR="00E81ECB" w:rsidRPr="00D94198" w:rsidRDefault="00E81ECB" w:rsidP="00F16C1C">
      <w:pPr>
        <w:pStyle w:val="H23G"/>
      </w:pPr>
      <w:r w:rsidRPr="00D94198">
        <w:lastRenderedPageBreak/>
        <w:tab/>
      </w:r>
      <w:r w:rsidRPr="00D94198">
        <w:tab/>
        <w:t xml:space="preserve">Предлагаемые поправки к </w:t>
      </w:r>
      <w:r w:rsidRPr="00F16C1C">
        <w:t>пункту</w:t>
      </w:r>
      <w:r w:rsidRPr="00D94198">
        <w:t xml:space="preserve"> 7.3.7 добавления 2 к приложению 1</w:t>
      </w:r>
    </w:p>
    <w:p w14:paraId="00C8564A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(ECE/TRANS/WP.11/2022/5/Rev.1).</w:t>
      </w:r>
    </w:p>
    <w:p w14:paraId="20A30C08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  <w:t>Измерение толщины стенок съемных кузовов транспортных средств, предназначенных для перевозки скоропортящихся пищевых продуктов</w:t>
      </w:r>
    </w:p>
    <w:p w14:paraId="2A115CC2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(ECE/TRANS/WP.11/2022/6/Rev.1).</w:t>
      </w:r>
    </w:p>
    <w:p w14:paraId="77205940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Поправка к добавлению 4 к </w:t>
      </w:r>
      <w:r w:rsidRPr="00F16C1C">
        <w:t>приложению</w:t>
      </w:r>
      <w:r w:rsidRPr="00D94198">
        <w:t xml:space="preserve"> 1</w:t>
      </w:r>
    </w:p>
    <w:p w14:paraId="2F0CDB7B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Соединенного Королевства (ECE/TRANS/WP.11/2022/9/Rev.1).</w:t>
      </w:r>
    </w:p>
    <w:p w14:paraId="1B4CDD38" w14:textId="1CA0B538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Предложение по заявлению о соответствии (пункт 7.3.6 добавления 2 </w:t>
      </w:r>
      <w:r w:rsidR="00F16C1C">
        <w:br/>
      </w:r>
      <w:r w:rsidRPr="00D94198">
        <w:t xml:space="preserve">к приложению 1) и определению параметров многокамерных транспортных средств с мультитемпературным </w:t>
      </w:r>
      <w:r w:rsidRPr="00F16C1C">
        <w:t>режимом</w:t>
      </w:r>
      <w:r w:rsidRPr="00D94198">
        <w:t xml:space="preserve"> (MКMТ)</w:t>
      </w:r>
    </w:p>
    <w:p w14:paraId="6ECF7785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«Трансфригорут интернэшнл» (ТИ) (ECE/TRANS/WP.11/2022/8/Rev.1).</w:t>
      </w:r>
    </w:p>
    <w:p w14:paraId="282922C7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Предлагаемые поправки к </w:t>
      </w:r>
      <w:r w:rsidRPr="00111270">
        <w:t>пункту 7.3.1 добавления</w:t>
      </w:r>
      <w:r w:rsidRPr="00D94198">
        <w:t xml:space="preserve"> 2 к</w:t>
      </w:r>
      <w:r w:rsidRPr="00D94198">
        <w:rPr>
          <w:lang w:val="en-US"/>
        </w:rPr>
        <w:t> </w:t>
      </w:r>
      <w:r w:rsidRPr="00D94198">
        <w:t>приложению 1</w:t>
      </w:r>
    </w:p>
    <w:p w14:paraId="4D27F0B4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(ECE/TRANS/WP.11/2022/14).</w:t>
      </w:r>
    </w:p>
    <w:p w14:paraId="1049FD04" w14:textId="5C54E6E8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Предлагаемые </w:t>
      </w:r>
      <w:r w:rsidRPr="00F16C1C">
        <w:t>поправки</w:t>
      </w:r>
      <w:r w:rsidRPr="00D94198">
        <w:t xml:space="preserve"> к пункту 7.3.7 добавления 2 к приложению 1</w:t>
      </w:r>
    </w:p>
    <w:p w14:paraId="017C2AD8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(ECE/TRANS/WP.11/2022/15).</w:t>
      </w:r>
    </w:p>
    <w:p w14:paraId="13845047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  <w:t>Предлагаемый перечень основных компонентов и их ключевых характеристик</w:t>
      </w:r>
    </w:p>
    <w:p w14:paraId="560862EC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«Трансфригорут интернэшнл» (ТИ) (ECE/TRANS/WP.11/2022/18).</w:t>
      </w:r>
    </w:p>
    <w:p w14:paraId="1AC7E6BE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</w:r>
      <w:r w:rsidRPr="00D94198">
        <w:rPr>
          <w:shd w:val="clear" w:color="auto" w:fill="FFFFFF"/>
        </w:rPr>
        <w:t xml:space="preserve">Пересмотренное дополнение Соглашения о международных перевозках скоропортящихся пищевых продуктов и о </w:t>
      </w:r>
      <w:r w:rsidRPr="00F16C1C">
        <w:t>специальных</w:t>
      </w:r>
      <w:r w:rsidRPr="00D94198">
        <w:rPr>
          <w:shd w:val="clear" w:color="auto" w:fill="FFFFFF"/>
        </w:rPr>
        <w:t xml:space="preserve"> транспортных средствах, предназначенных для этих перевозок, положениями, касающимися испытательных станций и экспертов</w:t>
      </w:r>
    </w:p>
    <w:p w14:paraId="01EBD182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Российской Федерации (ECE/TRANS/WP.11/2022/21).</w:t>
      </w:r>
    </w:p>
    <w:p w14:paraId="4ED10A78" w14:textId="77777777" w:rsidR="00E81ECB" w:rsidRPr="00D94198" w:rsidRDefault="00E81ECB" w:rsidP="00E81ECB">
      <w:pPr>
        <w:pStyle w:val="H23G"/>
      </w:pPr>
      <w:r w:rsidRPr="00D94198">
        <w:tab/>
        <w:t>b)</w:t>
      </w:r>
      <w:r w:rsidRPr="00D94198">
        <w:tab/>
        <w:t>Новые предложения</w:t>
      </w:r>
    </w:p>
    <w:p w14:paraId="448B77CF" w14:textId="77777777" w:rsidR="00E81ECB" w:rsidRPr="00D94198" w:rsidRDefault="00E81ECB" w:rsidP="00E81ECB">
      <w:pPr>
        <w:pStyle w:val="H23G"/>
        <w:jc w:val="both"/>
      </w:pPr>
      <w:r w:rsidRPr="00D94198">
        <w:tab/>
      </w:r>
      <w:r w:rsidRPr="00D94198">
        <w:tab/>
        <w:t>Поправка к добавлению 3 к приложению 1</w:t>
      </w:r>
    </w:p>
    <w:p w14:paraId="3580255A" w14:textId="402B29A6" w:rsidR="00E81ECB" w:rsidRPr="00D94198" w:rsidRDefault="00F16C1C" w:rsidP="00F16C1C">
      <w:pPr>
        <w:pStyle w:val="SingleTxtG"/>
      </w:pPr>
      <w:r>
        <w:tab/>
      </w:r>
      <w:r w:rsidR="00E81ECB" w:rsidRPr="00F16C1C">
        <w:t>Рабочая</w:t>
      </w:r>
      <w:r w:rsidR="00E81ECB" w:rsidRPr="00D94198">
        <w:t xml:space="preserve"> группа, возможно, пожелает обсудить предложение Соединенного Королевства (ECE/TRANS/WP.11/2022/17).</w:t>
      </w:r>
    </w:p>
    <w:p w14:paraId="1025CFC8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Исправление определения </w:t>
      </w:r>
      <w:r w:rsidRPr="00F16C1C">
        <w:t>термина</w:t>
      </w:r>
      <w:r w:rsidRPr="00D94198">
        <w:t xml:space="preserve"> «транспортное средство» в пункте 7 приложения 1</w:t>
      </w:r>
    </w:p>
    <w:p w14:paraId="15A0D638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Нидерландов (ECE/TRANS/WP.11/2022/19).</w:t>
      </w:r>
    </w:p>
    <w:p w14:paraId="5646DC6A" w14:textId="77777777" w:rsidR="00E81ECB" w:rsidRPr="00D94198" w:rsidRDefault="00E81ECB" w:rsidP="00E81ECB">
      <w:pPr>
        <w:pStyle w:val="H23G"/>
        <w:jc w:val="both"/>
      </w:pPr>
      <w:r w:rsidRPr="00D94198">
        <w:tab/>
      </w:r>
      <w:r w:rsidRPr="00D94198">
        <w:tab/>
        <w:t>Поправки</w:t>
      </w:r>
      <w:r w:rsidRPr="00E81ECB">
        <w:t xml:space="preserve"> </w:t>
      </w:r>
      <w:r w:rsidRPr="00D94198">
        <w:t>к</w:t>
      </w:r>
      <w:r w:rsidRPr="00E81ECB">
        <w:t xml:space="preserve"> </w:t>
      </w:r>
      <w:r w:rsidRPr="00D94198">
        <w:t>СПС</w:t>
      </w:r>
    </w:p>
    <w:p w14:paraId="77829F94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Нидерландов от имени неофициальной рабочей группы по совершенствованию системы допущения транспортных средств и термического оборудования (ECE/TRANS/WP.11/2022/20).</w:t>
      </w:r>
    </w:p>
    <w:p w14:paraId="6930DF22" w14:textId="77777777" w:rsidR="00E81ECB" w:rsidRPr="00D94198" w:rsidRDefault="00E81ECB" w:rsidP="00E81ECB">
      <w:pPr>
        <w:pStyle w:val="H1G"/>
      </w:pPr>
      <w:r w:rsidRPr="00D94198">
        <w:lastRenderedPageBreak/>
        <w:tab/>
        <w:t>6.</w:t>
      </w:r>
      <w:r w:rsidRPr="00D94198">
        <w:tab/>
        <w:t>Справочник СПС</w:t>
      </w:r>
    </w:p>
    <w:p w14:paraId="12ED0AA0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Поправка к пункту 7.3.6 добавления 2 к приложению 1 к Справочнику СПС: рассмотрение конкретных случаев применения инструментария для определения параметров </w:t>
      </w:r>
      <w:r w:rsidRPr="00F16C1C">
        <w:t>транспортных</w:t>
      </w:r>
      <w:r w:rsidRPr="00D94198">
        <w:t xml:space="preserve"> средств с мультитемпературным режимом</w:t>
      </w:r>
    </w:p>
    <w:p w14:paraId="2ABD457D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(ECE/TRANS/WP.11/2021/11/Rev.1).</w:t>
      </w:r>
    </w:p>
    <w:p w14:paraId="3A1F8A14" w14:textId="77777777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Поправки к пункту 6 c) iii) добавления 1 к приложению 1 к Справочнику СПС: правила, подлежащие соблюдению при установке встраиваемого оборудования, оборудования, оснащенного дефлектором, </w:t>
      </w:r>
      <w:r w:rsidRPr="00F16C1C">
        <w:t>оборудования</w:t>
      </w:r>
      <w:r w:rsidRPr="00D94198">
        <w:t xml:space="preserve"> на подрамной конструкции или оборудования, допускающего возможность его смещения</w:t>
      </w:r>
    </w:p>
    <w:p w14:paraId="6700E78C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(ECE/TRANS/WP.11/2021/12/Rev.2).</w:t>
      </w:r>
    </w:p>
    <w:p w14:paraId="28BFCE3C" w14:textId="52E99733" w:rsidR="00E81ECB" w:rsidRPr="00D94198" w:rsidRDefault="00E81ECB" w:rsidP="00F16C1C">
      <w:pPr>
        <w:pStyle w:val="H23G"/>
      </w:pPr>
      <w:r w:rsidRPr="00D94198">
        <w:tab/>
      </w:r>
      <w:r w:rsidRPr="00D94198">
        <w:tab/>
        <w:t xml:space="preserve">Поправки к пункту 4 </w:t>
      </w:r>
      <w:r w:rsidRPr="00F16C1C">
        <w:t>комментариев</w:t>
      </w:r>
      <w:r w:rsidRPr="00D94198">
        <w:t xml:space="preserve"> к добавлению 1 к</w:t>
      </w:r>
      <w:r w:rsidRPr="00D94198">
        <w:rPr>
          <w:lang w:val="en-US"/>
        </w:rPr>
        <w:t> </w:t>
      </w:r>
      <w:r w:rsidRPr="00D94198">
        <w:t xml:space="preserve">приложению 2 Справочника СПС: места размещения щупов для измерения температуры </w:t>
      </w:r>
      <w:r w:rsidR="00F16C1C">
        <w:br/>
      </w:r>
      <w:r w:rsidRPr="00D94198">
        <w:t>во время перевозки</w:t>
      </w:r>
    </w:p>
    <w:p w14:paraId="6157AE9C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Франции (ECE/TRANS/WP.11/2021/13/Rev.2).</w:t>
      </w:r>
    </w:p>
    <w:p w14:paraId="7BD27634" w14:textId="77777777" w:rsidR="00E81ECB" w:rsidRPr="00111270" w:rsidRDefault="00E81ECB" w:rsidP="00F16C1C">
      <w:pPr>
        <w:pStyle w:val="H23G"/>
      </w:pPr>
      <w:r w:rsidRPr="00D94198">
        <w:tab/>
      </w:r>
      <w:r w:rsidRPr="00D94198">
        <w:tab/>
        <w:t>Поправка к пункту 3.2.6 добавления 2 к приложению</w:t>
      </w:r>
      <w:r w:rsidRPr="00D94198">
        <w:rPr>
          <w:lang w:val="fr-CH"/>
        </w:rPr>
        <w:t> </w:t>
      </w:r>
      <w:r w:rsidRPr="00111270">
        <w:t xml:space="preserve">1 </w:t>
      </w:r>
      <w:r w:rsidRPr="00D94198">
        <w:t>и</w:t>
      </w:r>
      <w:r w:rsidRPr="00D94198">
        <w:rPr>
          <w:lang w:val="en-US"/>
        </w:rPr>
        <w:t> </w:t>
      </w:r>
      <w:r w:rsidRPr="00F16C1C">
        <w:t>Справочнику</w:t>
      </w:r>
      <w:r w:rsidRPr="00111270">
        <w:t xml:space="preserve"> </w:t>
      </w:r>
      <w:r w:rsidRPr="00D94198">
        <w:t>СПС</w:t>
      </w:r>
    </w:p>
    <w:p w14:paraId="540D996F" w14:textId="77777777" w:rsidR="00E81ECB" w:rsidRPr="00D94198" w:rsidRDefault="00E81ECB" w:rsidP="00E81ECB">
      <w:pPr>
        <w:pStyle w:val="SingleTxtG"/>
        <w:ind w:firstLine="567"/>
      </w:pPr>
      <w:r w:rsidRPr="00D94198">
        <w:t>Рабочая группа, возможно, пожелает обсудить предложение Соединенного Королевства (ECE/TRANS/WP.11/2022/16).</w:t>
      </w:r>
    </w:p>
    <w:p w14:paraId="28C40A92" w14:textId="665A6DD2" w:rsidR="00E81ECB" w:rsidRPr="00D94198" w:rsidRDefault="00E81ECB" w:rsidP="00E81ECB">
      <w:pPr>
        <w:pStyle w:val="SingleTxtG"/>
      </w:pPr>
      <w:r w:rsidRPr="00D94198">
        <w:tab/>
        <w:t xml:space="preserve">С последним вариантом Справочника СПС на английском, русском и французском языках можно ознакомиться на веб-сайте Отдела транспорта по следующему адресу в Интернете: </w:t>
      </w:r>
      <w:hyperlink r:id="rId12" w:history="1">
        <w:r w:rsidRPr="00D94198">
          <w:rPr>
            <w:rStyle w:val="af1"/>
          </w:rPr>
          <w:t>https://unece.org/atp-handbook</w:t>
        </w:r>
      </w:hyperlink>
      <w:r w:rsidRPr="00D94198">
        <w:t>.</w:t>
      </w:r>
    </w:p>
    <w:p w14:paraId="03D65550" w14:textId="77777777" w:rsidR="00E81ECB" w:rsidRPr="00D94198" w:rsidRDefault="00E81ECB" w:rsidP="00E81ECB">
      <w:pPr>
        <w:pStyle w:val="H1G"/>
      </w:pPr>
      <w:r w:rsidRPr="00D94198">
        <w:tab/>
        <w:t>7.</w:t>
      </w:r>
      <w:r w:rsidRPr="00D94198">
        <w:tab/>
        <w:t>Доклады неофициальных рабочих групп</w:t>
      </w:r>
    </w:p>
    <w:p w14:paraId="5093A279" w14:textId="3633F984" w:rsidR="00E81ECB" w:rsidRPr="00D94198" w:rsidRDefault="00E81ECB" w:rsidP="00E81ECB">
      <w:pPr>
        <w:pStyle w:val="SingleTxtG"/>
      </w:pPr>
      <w:r w:rsidRPr="00D94198">
        <w:tab/>
        <w:t xml:space="preserve">Доклады неофициальных рабочих групп, поступившие после опубликования настоящей аннотированной повестки дня, будут представлены в качестве неофициальных документов. </w:t>
      </w:r>
    </w:p>
    <w:p w14:paraId="4ACCCF94" w14:textId="77777777" w:rsidR="00E81ECB" w:rsidRPr="00D94198" w:rsidRDefault="00E81ECB" w:rsidP="00E81ECB">
      <w:pPr>
        <w:pStyle w:val="H1G"/>
      </w:pPr>
      <w:r w:rsidRPr="00D94198">
        <w:tab/>
        <w:t>8.</w:t>
      </w:r>
      <w:r w:rsidRPr="00D94198">
        <w:tab/>
        <w:t>Сфера действия СПС</w:t>
      </w:r>
    </w:p>
    <w:p w14:paraId="2E442F84" w14:textId="02F809D5" w:rsidR="00E81ECB" w:rsidRPr="00D94198" w:rsidRDefault="00E81ECB" w:rsidP="00E81ECB">
      <w:pPr>
        <w:pStyle w:val="SingleTxtG"/>
      </w:pPr>
      <w:r w:rsidRPr="00D94198">
        <w:tab/>
        <w:t>WP.11, возможно, пожелает обсудить любые изменения, касающиеся сферы действия СПС, которые имеют отношение к ее работе.</w:t>
      </w:r>
    </w:p>
    <w:p w14:paraId="08DFB120" w14:textId="77777777" w:rsidR="00E81ECB" w:rsidRPr="00D94198" w:rsidRDefault="00E81ECB" w:rsidP="00E81ECB">
      <w:pPr>
        <w:pStyle w:val="H23G"/>
      </w:pPr>
      <w:r w:rsidRPr="00D94198">
        <w:tab/>
      </w:r>
      <w:r w:rsidRPr="00D94198">
        <w:tab/>
        <w:t xml:space="preserve">Будущее СПС </w:t>
      </w:r>
    </w:p>
    <w:p w14:paraId="089AC7C2" w14:textId="009DF1CC" w:rsidR="00E81ECB" w:rsidRPr="00D94198" w:rsidRDefault="00E81ECB" w:rsidP="00E81ECB">
      <w:pPr>
        <w:pStyle w:val="SingleTxtG"/>
      </w:pPr>
      <w:r w:rsidRPr="00D94198">
        <w:tab/>
        <w:t xml:space="preserve">«Дорожная карта» для присоединения к СПС и его осуществления, подготовленная в рамках проекта ЕвроМед в области автомобильного, железнодорожного и городского транспорта с участием секретариата и председателей WP.11, была опубликована и размещена на веб-сайте ЕЭК ООН по следующему адресу в Интернете: </w:t>
      </w:r>
      <w:hyperlink r:id="rId13" w:history="1">
        <w:r w:rsidRPr="00D94198">
          <w:rPr>
            <w:rStyle w:val="af1"/>
          </w:rPr>
          <w:t>https://unece.org/road-map-accession-and-implementation-atp</w:t>
        </w:r>
      </w:hyperlink>
      <w:r w:rsidRPr="00D94198">
        <w:t>.</w:t>
      </w:r>
    </w:p>
    <w:p w14:paraId="34EE1A9E" w14:textId="77777777" w:rsidR="00E81ECB" w:rsidRPr="00D94198" w:rsidRDefault="00E81ECB" w:rsidP="00E81ECB">
      <w:pPr>
        <w:pStyle w:val="H1G"/>
      </w:pPr>
      <w:r w:rsidRPr="00D94198">
        <w:tab/>
        <w:t>9.</w:t>
      </w:r>
      <w:r w:rsidRPr="00D94198">
        <w:tab/>
        <w:t>Энергетическая маркировка, хладагенты и вспенивающие вещества</w:t>
      </w:r>
    </w:p>
    <w:p w14:paraId="2D8001A2" w14:textId="4651C22E" w:rsidR="00E81ECB" w:rsidRPr="00D94198" w:rsidRDefault="00E81ECB" w:rsidP="00E81ECB">
      <w:pPr>
        <w:pStyle w:val="SingleTxtG"/>
      </w:pPr>
      <w:r w:rsidRPr="00D94198">
        <w:tab/>
        <w:t xml:space="preserve">WP.11, возможно, пожелает обсудить любые изменения, которые связаны с энергетической маркировкой, хладагентами и вспенивающими веществами и имеют отношение к ее работе. </w:t>
      </w:r>
    </w:p>
    <w:p w14:paraId="22CB5C59" w14:textId="77777777" w:rsidR="00E81ECB" w:rsidRPr="00D94198" w:rsidRDefault="00E81ECB" w:rsidP="00E81ECB">
      <w:pPr>
        <w:pStyle w:val="H1G"/>
      </w:pPr>
      <w:r w:rsidRPr="00D94198">
        <w:lastRenderedPageBreak/>
        <w:tab/>
        <w:t>10.</w:t>
      </w:r>
      <w:r w:rsidRPr="00D94198">
        <w:tab/>
        <w:t xml:space="preserve">Программа работы </w:t>
      </w:r>
    </w:p>
    <w:p w14:paraId="6EA29A85" w14:textId="77777777" w:rsidR="00E81ECB" w:rsidRPr="00D94198" w:rsidRDefault="00E81ECB" w:rsidP="00E81ECB">
      <w:pPr>
        <w:pStyle w:val="H23G"/>
      </w:pPr>
      <w:r w:rsidRPr="00D94198">
        <w:tab/>
      </w:r>
      <w:r w:rsidRPr="00D94198">
        <w:tab/>
      </w:r>
      <w:r w:rsidRPr="00D94198">
        <w:tab/>
        <w:t>Сроки проведения восьмидесятой сессии</w:t>
      </w:r>
    </w:p>
    <w:p w14:paraId="6F0ED880" w14:textId="4993297C" w:rsidR="00E81ECB" w:rsidRPr="00D94198" w:rsidRDefault="00E81ECB" w:rsidP="00E81ECB">
      <w:pPr>
        <w:pStyle w:val="SingleTxtG"/>
      </w:pPr>
      <w:r w:rsidRPr="00D94198">
        <w:tab/>
        <w:t>Восьмидесятую сессию WP.11 планируется провести 24–27 октября 2023 года (вторник–пятница).</w:t>
      </w:r>
    </w:p>
    <w:p w14:paraId="27948DD4" w14:textId="77777777" w:rsidR="00E81ECB" w:rsidRPr="00D94198" w:rsidRDefault="00E81ECB" w:rsidP="00E81ECB">
      <w:pPr>
        <w:pStyle w:val="H1G"/>
        <w:jc w:val="both"/>
      </w:pPr>
      <w:r w:rsidRPr="00D94198">
        <w:tab/>
        <w:t>11.</w:t>
      </w:r>
      <w:r w:rsidRPr="00D94198">
        <w:tab/>
        <w:t>Выборы должностных лиц</w:t>
      </w:r>
    </w:p>
    <w:p w14:paraId="0911C414" w14:textId="77777777" w:rsidR="00E81ECB" w:rsidRPr="00D94198" w:rsidRDefault="00E81ECB" w:rsidP="00E81ECB">
      <w:pPr>
        <w:pStyle w:val="SingleTxtG"/>
        <w:ind w:firstLine="567"/>
      </w:pPr>
      <w:r w:rsidRPr="00D94198">
        <w:rPr>
          <w:shd w:val="clear" w:color="auto" w:fill="FFFFFF"/>
        </w:rPr>
        <w:t>WP.11, как ожидается, изберет Председателя и заместителя Председателя своей сессии, которая состоится в 2023 году.</w:t>
      </w:r>
    </w:p>
    <w:p w14:paraId="099BE060" w14:textId="77777777" w:rsidR="00E81ECB" w:rsidRPr="00D94198" w:rsidRDefault="00E81ECB" w:rsidP="00E81ECB">
      <w:pPr>
        <w:pStyle w:val="SingleTxtG"/>
        <w:ind w:firstLine="567"/>
      </w:pPr>
      <w:r w:rsidRPr="00D94198">
        <w:rPr>
          <w:shd w:val="clear" w:color="auto" w:fill="FFFFFF"/>
        </w:rPr>
        <w:t>Выборы проводятся в соответствии с правилами 12, 36 и 37 Правил процедуры WP.11 (см. документ ECE/TRANS/WP.11/229), в которых говорится следующее:</w:t>
      </w:r>
    </w:p>
    <w:p w14:paraId="3BFB83B0" w14:textId="77777777" w:rsidR="00E81ECB" w:rsidRPr="00D94198" w:rsidRDefault="00E81ECB" w:rsidP="00E81ECB">
      <w:pPr>
        <w:pStyle w:val="SingleTxtG"/>
        <w:ind w:firstLine="567"/>
        <w:rPr>
          <w:i/>
          <w:iCs/>
        </w:rPr>
      </w:pPr>
      <w:r w:rsidRPr="00D94198">
        <w:rPr>
          <w:i/>
          <w:iCs/>
        </w:rPr>
        <w:t>«</w:t>
      </w:r>
      <w:r w:rsidRPr="00D94198">
        <w:rPr>
          <w:b/>
          <w:bCs/>
          <w:i/>
          <w:iCs/>
        </w:rPr>
        <w:t xml:space="preserve">Правило 12 </w:t>
      </w:r>
    </w:p>
    <w:p w14:paraId="3AF7D559" w14:textId="77777777" w:rsidR="00E81ECB" w:rsidRPr="00D94198" w:rsidRDefault="00E81ECB" w:rsidP="00E81ECB">
      <w:pPr>
        <w:pStyle w:val="SingleTxtG"/>
        <w:ind w:firstLine="567"/>
        <w:rPr>
          <w:i/>
          <w:iCs/>
        </w:rPr>
      </w:pPr>
      <w:r w:rsidRPr="00D94198">
        <w:rPr>
          <w:i/>
          <w:iCs/>
        </w:rPr>
        <w:t>Ежегодно WP.11 избирает из числа представителей полноправных участников, определенных в правиле 1, Председателя и заместителя Председателя, которые вступают в должность в начале первой сессии следующего после их избрания года. Эти должностные лица могут быть переизбраны.</w:t>
      </w:r>
    </w:p>
    <w:p w14:paraId="50C08C13" w14:textId="77777777" w:rsidR="00E81ECB" w:rsidRPr="00D94198" w:rsidRDefault="00E81ECB" w:rsidP="00E81ECB">
      <w:pPr>
        <w:pStyle w:val="SingleTxtG"/>
        <w:ind w:firstLine="567"/>
        <w:rPr>
          <w:i/>
          <w:iCs/>
        </w:rPr>
      </w:pPr>
      <w:r w:rsidRPr="00D94198">
        <w:rPr>
          <w:b/>
          <w:bCs/>
          <w:i/>
          <w:iCs/>
        </w:rPr>
        <w:t xml:space="preserve">Правило 36 </w:t>
      </w:r>
    </w:p>
    <w:p w14:paraId="05CA9F74" w14:textId="77777777" w:rsidR="00E81ECB" w:rsidRPr="00D94198" w:rsidRDefault="00E81ECB" w:rsidP="00E81ECB">
      <w:pPr>
        <w:pStyle w:val="SingleTxtG"/>
        <w:ind w:firstLine="567"/>
        <w:rPr>
          <w:i/>
          <w:iCs/>
        </w:rPr>
      </w:pPr>
      <w:r w:rsidRPr="00D94198">
        <w:rPr>
          <w:i/>
          <w:iCs/>
        </w:rPr>
        <w:t>Голосование WP.11 обычно проводится поднятием руки. Если какой-либо представитель требует поименного голосования, то оно проводится в английском алфавитном порядке названий участников.</w:t>
      </w:r>
    </w:p>
    <w:p w14:paraId="4953E3DB" w14:textId="77777777" w:rsidR="00E81ECB" w:rsidRPr="00D94198" w:rsidRDefault="00E81ECB" w:rsidP="00E81ECB">
      <w:pPr>
        <w:pStyle w:val="SingleTxtG"/>
        <w:ind w:firstLine="567"/>
        <w:rPr>
          <w:i/>
          <w:iCs/>
        </w:rPr>
      </w:pPr>
      <w:r w:rsidRPr="00D94198">
        <w:rPr>
          <w:b/>
          <w:bCs/>
          <w:i/>
          <w:iCs/>
        </w:rPr>
        <w:t xml:space="preserve">Правило 37 </w:t>
      </w:r>
    </w:p>
    <w:p w14:paraId="325923AC" w14:textId="77777777" w:rsidR="00E81ECB" w:rsidRPr="00D94198" w:rsidRDefault="00E81ECB" w:rsidP="00E81ECB">
      <w:pPr>
        <w:pStyle w:val="SingleTxtG"/>
        <w:ind w:firstLine="567"/>
        <w:rPr>
          <w:i/>
          <w:iCs/>
        </w:rPr>
      </w:pPr>
      <w:r w:rsidRPr="00D94198">
        <w:rPr>
          <w:i/>
          <w:iCs/>
        </w:rPr>
        <w:t>Все выборы проводятся голосованием поднятием руки».</w:t>
      </w:r>
    </w:p>
    <w:p w14:paraId="20BA5288" w14:textId="77777777" w:rsidR="00E81ECB" w:rsidRPr="00D94198" w:rsidRDefault="00E81ECB" w:rsidP="00E81ECB">
      <w:pPr>
        <w:pStyle w:val="H1G"/>
        <w:spacing w:before="340" w:after="220"/>
        <w:jc w:val="both"/>
      </w:pPr>
      <w:r w:rsidRPr="00D94198">
        <w:tab/>
        <w:t>12.</w:t>
      </w:r>
      <w:r w:rsidRPr="00D94198">
        <w:tab/>
        <w:t>Прочие вопросы</w:t>
      </w:r>
    </w:p>
    <w:p w14:paraId="26FCE51A" w14:textId="2DAB4B6C" w:rsidR="00E81ECB" w:rsidRPr="00D94198" w:rsidRDefault="00E81ECB" w:rsidP="00E81ECB">
      <w:pPr>
        <w:pStyle w:val="SingleTxtG"/>
      </w:pPr>
      <w:r w:rsidRPr="00D94198">
        <w:tab/>
        <w:t>WP.11, возможно, пожелает рассмотреть в рамках этого пункта повестки дня любые другие вопросы.</w:t>
      </w:r>
    </w:p>
    <w:p w14:paraId="4EEDEB0A" w14:textId="77777777" w:rsidR="00E81ECB" w:rsidRPr="00D94198" w:rsidRDefault="00E81ECB" w:rsidP="00E81ECB">
      <w:pPr>
        <w:pStyle w:val="H1G"/>
        <w:spacing w:before="340" w:after="220"/>
        <w:jc w:val="both"/>
      </w:pPr>
      <w:r w:rsidRPr="00D94198">
        <w:tab/>
        <w:t>13.</w:t>
      </w:r>
      <w:r w:rsidRPr="00D94198">
        <w:tab/>
        <w:t>Утверждение доклада</w:t>
      </w:r>
    </w:p>
    <w:p w14:paraId="185EBB3F" w14:textId="1F792BC1" w:rsidR="00E81ECB" w:rsidRPr="00D94198" w:rsidRDefault="00E81ECB" w:rsidP="00E81ECB">
      <w:pPr>
        <w:pStyle w:val="SingleTxtG"/>
      </w:pPr>
      <w:r w:rsidRPr="00D94198">
        <w:tab/>
        <w:t>Ожидается, что WP.11 утвердит доклад о работе своей семьдесят девятой сессии на основе проекта, подготовленного секретариатом.</w:t>
      </w:r>
    </w:p>
    <w:p w14:paraId="054226D9" w14:textId="77777777" w:rsidR="00E81ECB" w:rsidRPr="00D94198" w:rsidRDefault="00E81ECB" w:rsidP="00E81ECB">
      <w:pPr>
        <w:spacing w:before="120"/>
        <w:jc w:val="center"/>
        <w:rPr>
          <w:u w:val="single"/>
        </w:rPr>
      </w:pPr>
      <w:r w:rsidRPr="00D94198">
        <w:rPr>
          <w:u w:val="single"/>
        </w:rPr>
        <w:tab/>
      </w:r>
      <w:r w:rsidRPr="00D94198">
        <w:rPr>
          <w:u w:val="single"/>
        </w:rPr>
        <w:tab/>
      </w:r>
      <w:r w:rsidRPr="00D94198">
        <w:rPr>
          <w:u w:val="single"/>
        </w:rPr>
        <w:tab/>
      </w:r>
    </w:p>
    <w:p w14:paraId="46155795" w14:textId="77777777" w:rsidR="00E12C5F" w:rsidRPr="008D53B6" w:rsidRDefault="00E12C5F" w:rsidP="00D9145B"/>
    <w:sectPr w:rsidR="00E12C5F" w:rsidRPr="008D53B6" w:rsidSect="00E81EC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9E33" w14:textId="77777777" w:rsidR="00C41818" w:rsidRPr="00A312BC" w:rsidRDefault="00C41818" w:rsidP="00A312BC"/>
  </w:endnote>
  <w:endnote w:type="continuationSeparator" w:id="0">
    <w:p w14:paraId="70058091" w14:textId="77777777" w:rsidR="00C41818" w:rsidRPr="00A312BC" w:rsidRDefault="00C418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95B9" w14:textId="096DDD5B" w:rsidR="00E81ECB" w:rsidRPr="00E81ECB" w:rsidRDefault="00E81ECB">
    <w:pPr>
      <w:pStyle w:val="a8"/>
    </w:pPr>
    <w:r w:rsidRPr="00E81ECB">
      <w:rPr>
        <w:b/>
        <w:sz w:val="18"/>
      </w:rPr>
      <w:fldChar w:fldCharType="begin"/>
    </w:r>
    <w:r w:rsidRPr="00E81ECB">
      <w:rPr>
        <w:b/>
        <w:sz w:val="18"/>
      </w:rPr>
      <w:instrText xml:space="preserve"> PAGE  \* MERGEFORMAT </w:instrText>
    </w:r>
    <w:r w:rsidRPr="00E81ECB">
      <w:rPr>
        <w:b/>
        <w:sz w:val="18"/>
      </w:rPr>
      <w:fldChar w:fldCharType="separate"/>
    </w:r>
    <w:r w:rsidRPr="00E81ECB">
      <w:rPr>
        <w:b/>
        <w:noProof/>
        <w:sz w:val="18"/>
      </w:rPr>
      <w:t>2</w:t>
    </w:r>
    <w:r w:rsidRPr="00E81ECB">
      <w:rPr>
        <w:b/>
        <w:sz w:val="18"/>
      </w:rPr>
      <w:fldChar w:fldCharType="end"/>
    </w:r>
    <w:r>
      <w:rPr>
        <w:b/>
        <w:sz w:val="18"/>
      </w:rPr>
      <w:tab/>
    </w:r>
    <w:r>
      <w:t>GE.22-12653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BFEF" w14:textId="640B61B6" w:rsidR="00E81ECB" w:rsidRPr="00E81ECB" w:rsidRDefault="00E81ECB" w:rsidP="00E81ECB">
    <w:pPr>
      <w:pStyle w:val="a8"/>
      <w:tabs>
        <w:tab w:val="clear" w:pos="9639"/>
        <w:tab w:val="right" w:pos="9638"/>
      </w:tabs>
      <w:rPr>
        <w:b/>
        <w:sz w:val="18"/>
      </w:rPr>
    </w:pPr>
    <w:r>
      <w:t>GE.22-12653</w:t>
    </w:r>
    <w:r>
      <w:tab/>
    </w:r>
    <w:r w:rsidRPr="00E81ECB">
      <w:rPr>
        <w:b/>
        <w:sz w:val="18"/>
      </w:rPr>
      <w:fldChar w:fldCharType="begin"/>
    </w:r>
    <w:r w:rsidRPr="00E81ECB">
      <w:rPr>
        <w:b/>
        <w:sz w:val="18"/>
      </w:rPr>
      <w:instrText xml:space="preserve"> PAGE  \* MERGEFORMAT </w:instrText>
    </w:r>
    <w:r w:rsidRPr="00E81ECB">
      <w:rPr>
        <w:b/>
        <w:sz w:val="18"/>
      </w:rPr>
      <w:fldChar w:fldCharType="separate"/>
    </w:r>
    <w:r w:rsidRPr="00E81ECB">
      <w:rPr>
        <w:b/>
        <w:noProof/>
        <w:sz w:val="18"/>
      </w:rPr>
      <w:t>3</w:t>
    </w:r>
    <w:r w:rsidRPr="00E81E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8BDB" w14:textId="73E4D466" w:rsidR="00042B72" w:rsidRPr="00F16C1C" w:rsidRDefault="00E81ECB" w:rsidP="00E81EC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E893AA" wp14:editId="6E2F0D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22-12653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9EDB6F" wp14:editId="76AD30A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C1C">
      <w:rPr>
        <w:lang w:val="en-US"/>
      </w:rPr>
      <w:t xml:space="preserve">   020922  0</w:t>
    </w:r>
    <w:r w:rsidR="00111270">
      <w:rPr>
        <w:lang w:val="en-US"/>
      </w:rPr>
      <w:t>6</w:t>
    </w:r>
    <w:r w:rsidR="00F16C1C">
      <w:rPr>
        <w:lang w:val="en-US"/>
      </w:rPr>
      <w:t>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ED5E" w14:textId="77777777" w:rsidR="00C41818" w:rsidRPr="001075E9" w:rsidRDefault="00C418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53E408" w14:textId="77777777" w:rsidR="00C41818" w:rsidRDefault="00C418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E4DF" w14:textId="224567C6" w:rsidR="00E81ECB" w:rsidRPr="00E81ECB" w:rsidRDefault="00040C7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ECE/TRANS/WP.11/248/Add.1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AB10" w14:textId="46F4F1F9" w:rsidR="00E81ECB" w:rsidRPr="00E81ECB" w:rsidRDefault="00040C7F" w:rsidP="00E81EC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ECE/TRANS/WP.11/248/Add.1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18"/>
    <w:rsid w:val="00033EE1"/>
    <w:rsid w:val="00040C7F"/>
    <w:rsid w:val="00042B72"/>
    <w:rsid w:val="000558BD"/>
    <w:rsid w:val="000B57E7"/>
    <w:rsid w:val="000B6373"/>
    <w:rsid w:val="000E4E5B"/>
    <w:rsid w:val="000F09DF"/>
    <w:rsid w:val="000F61B2"/>
    <w:rsid w:val="001075E9"/>
    <w:rsid w:val="00111270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016C"/>
    <w:rsid w:val="00A77F0B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181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1ECB"/>
    <w:rsid w:val="00EA2C9F"/>
    <w:rsid w:val="00EA420E"/>
    <w:rsid w:val="00ED0BDA"/>
    <w:rsid w:val="00EE142A"/>
    <w:rsid w:val="00EF1360"/>
    <w:rsid w:val="00EF3220"/>
    <w:rsid w:val="00F16C1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4DFFB"/>
  <w15:docId w15:val="{F5680B49-2D7C-4677-AFB1-E6986F6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81EC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de/wp7/food-loss-and-waste" TargetMode="External"/><Relationship Id="rId13" Type="http://schemas.openxmlformats.org/officeDocument/2006/relationships/hyperlink" Target="https://unece.org/road-map-accession-and-implementation-atp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hyperlink" Target="https://unece.org/atp-handboo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atp-competent-authorities-and-testing-statio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unece.org/atp-competent-authorities-and-testing-stati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de/working-party-agricultural-quality-standards-wp7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7E2D2-5EC7-4D68-93FE-39F82B8DF9CA}"/>
</file>

<file path=customXml/itemProps2.xml><?xml version="1.0" encoding="utf-8"?>
<ds:datastoreItem xmlns:ds="http://schemas.openxmlformats.org/officeDocument/2006/customXml" ds:itemID="{8F71BDAE-A207-4B3E-BD6E-38449FD285C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6</Pages>
  <Words>1392</Words>
  <Characters>10722</Characters>
  <Application>Microsoft Office Word</Application>
  <DocSecurity>0</DocSecurity>
  <Lines>238</Lines>
  <Paragraphs>121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ECE/TRANS/WP.11/248/Add.1</vt:lpstr>
      <vt:lpstr>A/</vt:lpstr>
      <vt:lpstr>A/</vt:lpstr>
    </vt:vector>
  </TitlesOfParts>
  <Company>DCM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ECE/TRANS/WP.11/248/Add.1</dc:title>
  <dc:subject/>
  <dc:creator>Anna BLAGODATSKIKH</dc:creator>
  <cp:keywords/>
  <cp:lastModifiedBy>Anna Blagodatskikh</cp:lastModifiedBy>
  <cp:revision>3</cp:revision>
  <cp:lastPrinted>2022-09-06T08:33:00Z</cp:lastPrinted>
  <dcterms:created xsi:type="dcterms:W3CDTF">2022-09-06T08:33:00Z</dcterms:created>
  <dcterms:modified xsi:type="dcterms:W3CDTF">2022-09-06T08:35:00Z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