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809776" w14:textId="77777777" w:rsidTr="00B20551">
        <w:trPr>
          <w:cantSplit/>
          <w:trHeight w:hRule="exact" w:val="851"/>
        </w:trPr>
        <w:tc>
          <w:tcPr>
            <w:tcW w:w="1276" w:type="dxa"/>
            <w:tcBorders>
              <w:bottom w:val="single" w:sz="4" w:space="0" w:color="auto"/>
            </w:tcBorders>
            <w:vAlign w:val="bottom"/>
          </w:tcPr>
          <w:p w14:paraId="72432073" w14:textId="77777777" w:rsidR="009E6CB7" w:rsidRDefault="009E6CB7" w:rsidP="00B20551">
            <w:pPr>
              <w:spacing w:after="80"/>
            </w:pPr>
          </w:p>
        </w:tc>
        <w:tc>
          <w:tcPr>
            <w:tcW w:w="2268" w:type="dxa"/>
            <w:tcBorders>
              <w:bottom w:val="single" w:sz="4" w:space="0" w:color="auto"/>
            </w:tcBorders>
            <w:vAlign w:val="bottom"/>
          </w:tcPr>
          <w:p w14:paraId="1440D57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649E91C" w14:textId="196C2683" w:rsidR="009E6CB7" w:rsidRPr="00D47EEA" w:rsidRDefault="00B90054" w:rsidP="00B90054">
            <w:pPr>
              <w:jc w:val="right"/>
            </w:pPr>
            <w:r w:rsidRPr="00B90054">
              <w:rPr>
                <w:sz w:val="40"/>
              </w:rPr>
              <w:t>ECE</w:t>
            </w:r>
            <w:r>
              <w:t>/TRANS/WP.11/2022/16</w:t>
            </w:r>
          </w:p>
        </w:tc>
      </w:tr>
      <w:tr w:rsidR="009E6CB7" w14:paraId="523E2652" w14:textId="77777777" w:rsidTr="00B20551">
        <w:trPr>
          <w:cantSplit/>
          <w:trHeight w:hRule="exact" w:val="2835"/>
        </w:trPr>
        <w:tc>
          <w:tcPr>
            <w:tcW w:w="1276" w:type="dxa"/>
            <w:tcBorders>
              <w:top w:val="single" w:sz="4" w:space="0" w:color="auto"/>
              <w:bottom w:val="single" w:sz="12" w:space="0" w:color="auto"/>
            </w:tcBorders>
          </w:tcPr>
          <w:p w14:paraId="5C3F5DDC" w14:textId="77777777" w:rsidR="009E6CB7" w:rsidRDefault="00686A48" w:rsidP="00B20551">
            <w:pPr>
              <w:spacing w:before="120"/>
            </w:pPr>
            <w:r>
              <w:rPr>
                <w:noProof/>
                <w:lang w:val="fr-CH" w:eastAsia="fr-CH"/>
              </w:rPr>
              <w:drawing>
                <wp:inline distT="0" distB="0" distL="0" distR="0" wp14:anchorId="37BD48E0" wp14:editId="73A186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00B28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D1BD0C" w14:textId="77777777" w:rsidR="00FC3021" w:rsidRDefault="00FC3021" w:rsidP="00FC3021">
            <w:pPr>
              <w:spacing w:before="240" w:line="240" w:lineRule="exact"/>
            </w:pPr>
            <w:r>
              <w:t>Distr.: General</w:t>
            </w:r>
          </w:p>
          <w:p w14:paraId="64F08766" w14:textId="660AB35B" w:rsidR="009E6CB7" w:rsidRDefault="00F9508C" w:rsidP="00FC3021">
            <w:pPr>
              <w:spacing w:line="240" w:lineRule="exact"/>
            </w:pPr>
            <w:r>
              <w:t>9</w:t>
            </w:r>
            <w:r w:rsidR="00B90054">
              <w:t xml:space="preserve"> August 2022</w:t>
            </w:r>
          </w:p>
          <w:p w14:paraId="3439BF57" w14:textId="77777777" w:rsidR="00B90054" w:rsidRDefault="00B90054" w:rsidP="00B90054">
            <w:pPr>
              <w:spacing w:line="240" w:lineRule="exact"/>
            </w:pPr>
          </w:p>
          <w:p w14:paraId="63CD3383" w14:textId="266E3BA8" w:rsidR="00B90054" w:rsidRDefault="00B90054" w:rsidP="00B90054">
            <w:pPr>
              <w:spacing w:line="240" w:lineRule="exact"/>
            </w:pPr>
            <w:r>
              <w:t>Original: English</w:t>
            </w:r>
          </w:p>
        </w:tc>
      </w:tr>
    </w:tbl>
    <w:p w14:paraId="0DD2F3E9" w14:textId="316AE82D" w:rsidR="00891A4B" w:rsidRDefault="00891A4B" w:rsidP="00B90054">
      <w:pPr>
        <w:spacing w:before="120"/>
        <w:rPr>
          <w:b/>
          <w:sz w:val="28"/>
          <w:szCs w:val="28"/>
        </w:rPr>
      </w:pPr>
      <w:r w:rsidRPr="00AB134D">
        <w:rPr>
          <w:b/>
          <w:sz w:val="28"/>
          <w:szCs w:val="28"/>
        </w:rPr>
        <w:t>Economic Commission for Europe</w:t>
      </w:r>
    </w:p>
    <w:p w14:paraId="0CFD0029" w14:textId="77777777" w:rsidR="00C562C0" w:rsidRDefault="00C562C0" w:rsidP="00C562C0">
      <w:pPr>
        <w:spacing w:before="120"/>
        <w:rPr>
          <w:sz w:val="28"/>
          <w:szCs w:val="28"/>
        </w:rPr>
      </w:pPr>
      <w:r>
        <w:rPr>
          <w:sz w:val="28"/>
          <w:szCs w:val="28"/>
        </w:rPr>
        <w:t>Inland Transport Committee</w:t>
      </w:r>
    </w:p>
    <w:p w14:paraId="60FBCACE" w14:textId="77777777" w:rsidR="00C562C0" w:rsidRDefault="00C562C0" w:rsidP="00C562C0">
      <w:pPr>
        <w:spacing w:before="120"/>
        <w:rPr>
          <w:b/>
          <w:sz w:val="24"/>
          <w:szCs w:val="24"/>
        </w:rPr>
      </w:pPr>
      <w:r>
        <w:rPr>
          <w:b/>
          <w:sz w:val="24"/>
          <w:szCs w:val="24"/>
        </w:rPr>
        <w:t>Working Party on the Transport of Perishable Foodstuffs</w:t>
      </w:r>
    </w:p>
    <w:p w14:paraId="36A03D98" w14:textId="77777777" w:rsidR="00C562C0" w:rsidRPr="008D7010" w:rsidRDefault="00C562C0" w:rsidP="00C562C0">
      <w:pPr>
        <w:spacing w:before="120"/>
        <w:rPr>
          <w:b/>
        </w:rPr>
      </w:pPr>
      <w:r w:rsidRPr="008D7010">
        <w:rPr>
          <w:b/>
        </w:rPr>
        <w:t>S</w:t>
      </w:r>
      <w:r>
        <w:rPr>
          <w:b/>
        </w:rPr>
        <w:t>eventy-ninth</w:t>
      </w:r>
      <w:r w:rsidRPr="008D7010">
        <w:rPr>
          <w:b/>
        </w:rPr>
        <w:t xml:space="preserve"> session</w:t>
      </w:r>
    </w:p>
    <w:p w14:paraId="3C67B441" w14:textId="77777777" w:rsidR="00C562C0" w:rsidRDefault="00C562C0" w:rsidP="00C562C0">
      <w:r w:rsidRPr="008D7010">
        <w:t xml:space="preserve">Geneva, </w:t>
      </w:r>
      <w:r>
        <w:t>25-28 October 2022</w:t>
      </w:r>
    </w:p>
    <w:p w14:paraId="717AF8C1" w14:textId="71DFF080" w:rsidR="00C562C0" w:rsidRDefault="00C562C0" w:rsidP="00C562C0">
      <w:pPr>
        <w:rPr>
          <w:lang w:val="en-US"/>
        </w:rPr>
      </w:pPr>
      <w:r>
        <w:rPr>
          <w:lang w:val="en-US"/>
        </w:rPr>
        <w:t xml:space="preserve">Item </w:t>
      </w:r>
      <w:r w:rsidR="000B5938">
        <w:rPr>
          <w:lang w:val="en-US"/>
        </w:rPr>
        <w:t>5 (a)</w:t>
      </w:r>
      <w:r>
        <w:rPr>
          <w:lang w:val="en-US"/>
        </w:rPr>
        <w:t xml:space="preserve"> of the provisional agenda</w:t>
      </w:r>
    </w:p>
    <w:p w14:paraId="15A5E779" w14:textId="4070304D" w:rsidR="00C562C0" w:rsidRPr="009A33A2" w:rsidRDefault="003A3C6A" w:rsidP="00C562C0">
      <w:pPr>
        <w:rPr>
          <w:b/>
          <w:bCs/>
          <w:lang w:val="en-US"/>
        </w:rPr>
      </w:pPr>
      <w:r w:rsidRPr="009A33A2">
        <w:rPr>
          <w:b/>
          <w:bCs/>
        </w:rPr>
        <w:t>Proposals of amendments to ATP</w:t>
      </w:r>
      <w:r w:rsidRPr="009A33A2">
        <w:rPr>
          <w:b/>
          <w:bCs/>
          <w:lang w:val="en-US"/>
        </w:rPr>
        <w:t>:</w:t>
      </w:r>
    </w:p>
    <w:p w14:paraId="4D3594A6" w14:textId="305B33EA" w:rsidR="003A3C6A" w:rsidRPr="009A33A2" w:rsidRDefault="009A33A2" w:rsidP="00C562C0">
      <w:pPr>
        <w:rPr>
          <w:b/>
          <w:bCs/>
        </w:rPr>
      </w:pPr>
      <w:r w:rsidRPr="009A33A2">
        <w:rPr>
          <w:b/>
          <w:bCs/>
        </w:rPr>
        <w:t>pending proposals</w:t>
      </w:r>
    </w:p>
    <w:p w14:paraId="57E3546C" w14:textId="37484DFF" w:rsidR="008673C4" w:rsidRPr="00DB4C7D" w:rsidRDefault="00035129" w:rsidP="00035129">
      <w:pPr>
        <w:pStyle w:val="HChG"/>
        <w:rPr>
          <w:lang w:val="en-US"/>
        </w:rPr>
      </w:pPr>
      <w:r>
        <w:rPr>
          <w:lang w:val="en-US"/>
        </w:rPr>
        <w:tab/>
      </w:r>
      <w:r>
        <w:rPr>
          <w:lang w:val="en-US"/>
        </w:rPr>
        <w:tab/>
      </w:r>
      <w:r w:rsidR="008673C4" w:rsidRPr="003213BB">
        <w:rPr>
          <w:lang w:val="en-US"/>
        </w:rPr>
        <w:t xml:space="preserve">Amendment </w:t>
      </w:r>
      <w:r w:rsidR="008673C4">
        <w:rPr>
          <w:lang w:val="en-US"/>
        </w:rPr>
        <w:t>t</w:t>
      </w:r>
      <w:r w:rsidR="008673C4" w:rsidRPr="003213BB">
        <w:rPr>
          <w:lang w:val="en-US"/>
        </w:rPr>
        <w:t xml:space="preserve">o Annex </w:t>
      </w:r>
      <w:r w:rsidR="008673C4" w:rsidRPr="00025187">
        <w:rPr>
          <w:lang w:val="en-US"/>
        </w:rPr>
        <w:t>1, Appendix 2</w:t>
      </w:r>
      <w:r w:rsidR="008673C4">
        <w:rPr>
          <w:lang w:val="en-US"/>
        </w:rPr>
        <w:t>,</w:t>
      </w:r>
      <w:r w:rsidR="008673C4" w:rsidRPr="00025187">
        <w:rPr>
          <w:lang w:val="en-US"/>
        </w:rPr>
        <w:t xml:space="preserve"> </w:t>
      </w:r>
      <w:r w:rsidR="008673C4">
        <w:t>p</w:t>
      </w:r>
      <w:r w:rsidR="008673C4" w:rsidRPr="006D55FF">
        <w:t>aragraph</w:t>
      </w:r>
      <w:r w:rsidR="008673C4" w:rsidRPr="00025187">
        <w:rPr>
          <w:lang w:val="en-US"/>
        </w:rPr>
        <w:t xml:space="preserve"> 3.2.6 and the ATP Handbook</w:t>
      </w:r>
    </w:p>
    <w:p w14:paraId="46EE7E03" w14:textId="12B3CDF7" w:rsidR="008673C4" w:rsidRPr="00DB4C7D" w:rsidRDefault="00EE7DE5" w:rsidP="00EE7DE5">
      <w:pPr>
        <w:pStyle w:val="H1G"/>
      </w:pPr>
      <w:r>
        <w:tab/>
      </w:r>
      <w:r>
        <w:tab/>
      </w:r>
      <w:r w:rsidR="005F5C5E">
        <w:t xml:space="preserve">Transmitted by the Government of the United </w:t>
      </w:r>
      <w:r>
        <w:t>Kingdom</w:t>
      </w:r>
    </w:p>
    <w:p w14:paraId="69B84D13" w14:textId="297C3C51" w:rsidR="008673C4" w:rsidRDefault="00EE7DE5" w:rsidP="00EE7DE5">
      <w:pPr>
        <w:pStyle w:val="HChG"/>
      </w:pPr>
      <w:r>
        <w:tab/>
      </w:r>
      <w:r>
        <w:tab/>
      </w:r>
      <w:r w:rsidR="008673C4" w:rsidRPr="00DB4C7D">
        <w:t>Introduction</w:t>
      </w:r>
    </w:p>
    <w:p w14:paraId="4CF585BE" w14:textId="1418D68C" w:rsidR="008673C4" w:rsidRDefault="00D31C65" w:rsidP="00D31C65">
      <w:pPr>
        <w:pStyle w:val="SingleTxtG"/>
      </w:pPr>
      <w:r>
        <w:t>1</w:t>
      </w:r>
      <w:r w:rsidR="00814468">
        <w:t>.</w:t>
      </w:r>
      <w:r w:rsidR="00814468">
        <w:tab/>
      </w:r>
      <w:r w:rsidR="008673C4">
        <w:t>The U</w:t>
      </w:r>
      <w:r w:rsidR="00915010">
        <w:t xml:space="preserve">nited </w:t>
      </w:r>
      <w:r w:rsidR="008673C4">
        <w:t>K</w:t>
      </w:r>
      <w:r w:rsidR="00915010">
        <w:t>ingdom</w:t>
      </w:r>
      <w:r w:rsidR="008673C4">
        <w:t xml:space="preserve"> airflow proposal was first presented at the </w:t>
      </w:r>
      <w:r w:rsidR="006479D9" w:rsidRPr="00590663">
        <w:t>seventieth</w:t>
      </w:r>
      <w:r w:rsidR="00336A9E" w:rsidRPr="00590663">
        <w:t xml:space="preserve"> </w:t>
      </w:r>
      <w:r w:rsidR="008673C4" w:rsidRPr="00590663">
        <w:t>session</w:t>
      </w:r>
      <w:r w:rsidR="008673C4">
        <w:t xml:space="preserve"> (</w:t>
      </w:r>
      <w:r w:rsidR="008673C4" w:rsidRPr="0040363F">
        <w:rPr>
          <w:spacing w:val="-4"/>
        </w:rPr>
        <w:t>ECE/TRANS/WP.11/2014/15, part A</w:t>
      </w:r>
      <w:r w:rsidR="008673C4">
        <w:rPr>
          <w:spacing w:val="-4"/>
        </w:rPr>
        <w:t xml:space="preserve">) with 10 contracting parties in favour of the proposal </w:t>
      </w:r>
      <w:r w:rsidR="008673C4" w:rsidRPr="0040363F">
        <w:t>(Denmark, Finland, France, Germany, Italy, Poland, Portugal, Spain, United Kingdom and United States) and none against</w:t>
      </w:r>
      <w:r w:rsidR="008673C4">
        <w:t xml:space="preserve"> so was adopted at this session. The proposal adopted at the </w:t>
      </w:r>
      <w:r w:rsidR="00E6755A">
        <w:t>seventieth</w:t>
      </w:r>
      <w:r w:rsidR="008673C4">
        <w:t xml:space="preserve"> session is shown below</w:t>
      </w:r>
      <w:r w:rsidR="0079586F">
        <w:t>:</w:t>
      </w:r>
    </w:p>
    <w:p w14:paraId="070B1EAF" w14:textId="0A686A84" w:rsidR="008673C4" w:rsidRPr="00CC04FE" w:rsidRDefault="00924B09" w:rsidP="00924B09">
      <w:pPr>
        <w:pStyle w:val="SingleTxtG"/>
        <w:ind w:left="1701"/>
        <w:rPr>
          <w:lang w:val="en-US"/>
        </w:rPr>
      </w:pPr>
      <w:r>
        <w:rPr>
          <w:lang w:val="en-US"/>
        </w:rPr>
        <w:t>"</w:t>
      </w:r>
      <w:r w:rsidR="008673C4" w:rsidRPr="00CC04FE">
        <w:rPr>
          <w:lang w:val="en-US"/>
        </w:rPr>
        <w:t>The airflow specified in the test report of the mechanically refrigerated equipment shall conform to the following:</w:t>
      </w:r>
    </w:p>
    <w:p w14:paraId="5EE83AE3" w14:textId="77777777" w:rsidR="008673C4" w:rsidRPr="00CC04FE" w:rsidRDefault="008673C4" w:rsidP="00924B09">
      <w:pPr>
        <w:pStyle w:val="SingleTxtG"/>
        <w:ind w:left="1701"/>
        <w:rPr>
          <w:u w:val="single"/>
        </w:rPr>
      </w:pPr>
      <w:r w:rsidRPr="00CC04FE">
        <w:rPr>
          <w:noProof/>
          <w:lang w:eastAsia="en-GB"/>
        </w:rPr>
        <w:drawing>
          <wp:inline distT="0" distB="0" distL="0" distR="0" wp14:anchorId="11F3DCCB" wp14:editId="536A0E38">
            <wp:extent cx="32194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low.jpg"/>
                    <pic:cNvPicPr/>
                  </pic:nvPicPr>
                  <pic:blipFill>
                    <a:blip r:embed="rId11">
                      <a:extLst>
                        <a:ext uri="{28A0092B-C50C-407E-A947-70E740481C1C}">
                          <a14:useLocalDpi xmlns:a14="http://schemas.microsoft.com/office/drawing/2010/main" val="0"/>
                        </a:ext>
                      </a:extLst>
                    </a:blip>
                    <a:stretch>
                      <a:fillRect/>
                    </a:stretch>
                  </pic:blipFill>
                  <pic:spPr>
                    <a:xfrm>
                      <a:off x="0" y="0"/>
                      <a:ext cx="3219450" cy="1409700"/>
                    </a:xfrm>
                    <a:prstGeom prst="rect">
                      <a:avLst/>
                    </a:prstGeom>
                  </pic:spPr>
                </pic:pic>
              </a:graphicData>
            </a:graphic>
          </wp:inline>
        </w:drawing>
      </w:r>
    </w:p>
    <w:p w14:paraId="2DEFC9DD" w14:textId="77777777" w:rsidR="008673C4" w:rsidRPr="00CC04FE" w:rsidRDefault="008673C4" w:rsidP="00924B09">
      <w:pPr>
        <w:pStyle w:val="SingleTxtG"/>
        <w:ind w:left="1701"/>
        <w:rPr>
          <w:lang w:val="en-US"/>
        </w:rPr>
      </w:pPr>
      <w:r w:rsidRPr="00CC04FE">
        <w:rPr>
          <w:lang w:val="en-US"/>
        </w:rPr>
        <w:t>The air delivery system shall be compensated for any loss of airflow due to internal equipment such as air ducts and the frosting of the evaporator(s)."</w:t>
      </w:r>
    </w:p>
    <w:p w14:paraId="58C399E6" w14:textId="525A43CF" w:rsidR="008673C4" w:rsidRDefault="00D929BC" w:rsidP="00D31C65">
      <w:pPr>
        <w:pStyle w:val="SingleTxtG"/>
      </w:pPr>
      <w:r>
        <w:t>2.</w:t>
      </w:r>
      <w:r>
        <w:tab/>
      </w:r>
      <w:r w:rsidR="008673C4">
        <w:t xml:space="preserve">On </w:t>
      </w:r>
      <w:r w:rsidR="008B7774">
        <w:t xml:space="preserve">17 </w:t>
      </w:r>
      <w:r w:rsidR="008673C4">
        <w:t xml:space="preserve">September 2015, the Finnish Government made an objection to the proposed amendment to </w:t>
      </w:r>
      <w:r w:rsidR="002372CA">
        <w:t>A</w:t>
      </w:r>
      <w:r w:rsidR="008673C4">
        <w:t xml:space="preserve">nnex 1, </w:t>
      </w:r>
      <w:r w:rsidR="002372CA">
        <w:t>A</w:t>
      </w:r>
      <w:r w:rsidR="008673C4">
        <w:t>ppendix 2, paragraph 2.3.6 (C.N.</w:t>
      </w:r>
      <w:proofErr w:type="gramStart"/>
      <w:r w:rsidR="008673C4">
        <w:t>481.2015.TREATIES</w:t>
      </w:r>
      <w:proofErr w:type="gramEnd"/>
      <w:r w:rsidR="008673C4">
        <w:t>-X1.B.22) (airflow requirement proposal for 60 a/c/h). This was an objection of a single proposal and did not affect the other proposals.</w:t>
      </w:r>
    </w:p>
    <w:p w14:paraId="40FD2C52" w14:textId="5D75CEA5" w:rsidR="008673C4" w:rsidRDefault="00783308" w:rsidP="00D31C65">
      <w:pPr>
        <w:pStyle w:val="SingleTxtG"/>
      </w:pPr>
      <w:r>
        <w:t>3.</w:t>
      </w:r>
      <w:r>
        <w:tab/>
      </w:r>
      <w:r w:rsidR="008673C4">
        <w:t xml:space="preserve">This proposal was revised at the </w:t>
      </w:r>
      <w:r w:rsidR="006901D1">
        <w:t>seventy-fourth</w:t>
      </w:r>
      <w:r w:rsidR="008673C4">
        <w:t xml:space="preserve"> session with the addition of a footnote for using multi-lateral and bilateral agreements but was not adopted.</w:t>
      </w:r>
    </w:p>
    <w:p w14:paraId="03E542BF" w14:textId="34314387" w:rsidR="008673C4" w:rsidRDefault="00783308" w:rsidP="00D31C65">
      <w:pPr>
        <w:pStyle w:val="SingleTxtG"/>
      </w:pPr>
      <w:r>
        <w:lastRenderedPageBreak/>
        <w:t>4.</w:t>
      </w:r>
      <w:r>
        <w:tab/>
      </w:r>
      <w:r w:rsidR="008673C4">
        <w:t xml:space="preserve">At the </w:t>
      </w:r>
      <w:r w:rsidR="006901D1">
        <w:t>seventy-fifth</w:t>
      </w:r>
      <w:r w:rsidR="008673C4">
        <w:t xml:space="preserve"> session the airflow proposal was revised again with different airflow rates for frozen and chilled which is shown below</w:t>
      </w:r>
      <w:r w:rsidR="00B67D4F">
        <w:t>:</w:t>
      </w:r>
    </w:p>
    <w:p w14:paraId="2A178BF5" w14:textId="06385913" w:rsidR="008673C4" w:rsidRPr="0063504F" w:rsidRDefault="009A0C53" w:rsidP="009A0C53">
      <w:pPr>
        <w:pStyle w:val="SingleTxtG"/>
        <w:ind w:left="1701"/>
        <w:rPr>
          <w:lang w:val="en-US"/>
        </w:rPr>
      </w:pPr>
      <w:r>
        <w:rPr>
          <w:lang w:val="en-US"/>
        </w:rPr>
        <w:t>"</w:t>
      </w:r>
      <w:r w:rsidR="008673C4" w:rsidRPr="0063504F">
        <w:rPr>
          <w:lang w:val="en-US"/>
        </w:rPr>
        <w:t xml:space="preserve">The </w:t>
      </w:r>
      <w:r w:rsidR="008673C4">
        <w:rPr>
          <w:lang w:val="en-US"/>
        </w:rPr>
        <w:t xml:space="preserve">required </w:t>
      </w:r>
      <w:r w:rsidR="008673C4" w:rsidRPr="0063504F">
        <w:rPr>
          <w:lang w:val="en-US"/>
        </w:rPr>
        <w:t xml:space="preserve">airflow </w:t>
      </w:r>
      <w:r w:rsidR="008673C4">
        <w:rPr>
          <w:lang w:val="en-US"/>
        </w:rPr>
        <w:t xml:space="preserve">for </w:t>
      </w:r>
      <w:r w:rsidR="008673C4" w:rsidRPr="0063504F">
        <w:rPr>
          <w:lang w:val="en-US"/>
        </w:rPr>
        <w:t xml:space="preserve">equipment </w:t>
      </w:r>
      <w:r w:rsidR="008673C4">
        <w:rPr>
          <w:lang w:val="en-US"/>
        </w:rPr>
        <w:t xml:space="preserve">that </w:t>
      </w:r>
      <w:r w:rsidR="008673C4" w:rsidRPr="0063504F">
        <w:rPr>
          <w:lang w:val="en-US"/>
        </w:rPr>
        <w:t xml:space="preserve">has an internal volume </w:t>
      </w:r>
      <w:r w:rsidR="008673C4">
        <w:rPr>
          <w:lang w:val="en-US"/>
        </w:rPr>
        <w:t>of ≤2 and ≤</w:t>
      </w:r>
      <w:r w:rsidR="008673C4" w:rsidRPr="0063504F">
        <w:rPr>
          <w:lang w:val="en-US"/>
        </w:rPr>
        <w:t>10</w:t>
      </w:r>
      <w:r w:rsidR="008673C4">
        <w:rPr>
          <w:lang w:val="en-US"/>
        </w:rPr>
        <w:t>0</w:t>
      </w:r>
      <w:r w:rsidR="008673C4" w:rsidRPr="0063504F">
        <w:rPr>
          <w:lang w:val="en-US"/>
        </w:rPr>
        <w:t>m</w:t>
      </w:r>
      <w:r w:rsidR="008673C4" w:rsidRPr="0063504F">
        <w:rPr>
          <w:vertAlign w:val="superscript"/>
          <w:lang w:val="en-US"/>
        </w:rPr>
        <w:t>3</w:t>
      </w:r>
      <w:r w:rsidR="008673C4">
        <w:rPr>
          <w:lang w:val="en-US"/>
        </w:rPr>
        <w:t xml:space="preserve"> is calculated using the following formula: </w:t>
      </w:r>
    </w:p>
    <w:p w14:paraId="7A9863EA" w14:textId="77777777" w:rsidR="008673C4" w:rsidRPr="00273A2F" w:rsidRDefault="001A614F" w:rsidP="009A0C53">
      <w:pPr>
        <w:pStyle w:val="SingleTxtG"/>
        <w:ind w:left="1701"/>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r>
            <w:rPr>
              <w:rFonts w:ascii="Cambria Math" w:hAnsi="Cambria Math"/>
            </w:rPr>
            <m:t xml:space="preserve">=N·V  </m:t>
          </m:r>
        </m:oMath>
      </m:oMathPara>
    </w:p>
    <w:p w14:paraId="3BB169AE" w14:textId="77777777" w:rsidR="008673C4" w:rsidRPr="00273A2F" w:rsidRDefault="008673C4" w:rsidP="009A0C53">
      <w:pPr>
        <w:pStyle w:val="SingleTxtG"/>
        <w:ind w:left="1701"/>
      </w:pPr>
      <w:r w:rsidRPr="00273A2F">
        <w:t xml:space="preserve">The air flow rate </w:t>
      </w:r>
      <w:r w:rsidRPr="00273A2F">
        <w:rPr>
          <w:i/>
        </w:rPr>
        <w:t>N</w:t>
      </w:r>
      <w:r w:rsidRPr="00273A2F">
        <w:t xml:space="preserve"> is defined as the circulated volumes </w:t>
      </w:r>
      <w:r w:rsidRPr="00273A2F">
        <w:rPr>
          <w:i/>
        </w:rPr>
        <w:t>V</w:t>
      </w:r>
      <w:r w:rsidRPr="00273A2F">
        <w:t xml:space="preserve"> of the empty load space each hour.</w:t>
      </w:r>
    </w:p>
    <w:p w14:paraId="6B8B186C" w14:textId="77777777" w:rsidR="008673C4" w:rsidRPr="00273A2F" w:rsidRDefault="008673C4" w:rsidP="009A0C53">
      <w:pPr>
        <w:pStyle w:val="SingleTxtG"/>
        <w:ind w:left="1701"/>
      </w:pPr>
      <w:r w:rsidRPr="00273A2F">
        <w:t>Where:</w:t>
      </w:r>
    </w:p>
    <w:p w14:paraId="520CEBF4" w14:textId="77777777" w:rsidR="008673C4" w:rsidRPr="00273A2F" w:rsidRDefault="008673C4" w:rsidP="009A0C53">
      <w:pPr>
        <w:pStyle w:val="SingleTxtG"/>
        <w:ind w:left="1701"/>
      </w:pPr>
      <w:r w:rsidRPr="00273A2F">
        <w:rPr>
          <w:i/>
          <w:iCs/>
        </w:rPr>
        <w:t xml:space="preserve">V </w:t>
      </w:r>
      <w:r w:rsidRPr="00273A2F">
        <w:t>is the volume of the load space, in m</w:t>
      </w:r>
      <w:r w:rsidRPr="00273A2F">
        <w:rPr>
          <w:vertAlign w:val="superscript"/>
        </w:rPr>
        <w:t>3</w:t>
      </w:r>
      <w:r w:rsidRPr="00273A2F">
        <w:t>;</w:t>
      </w:r>
    </w:p>
    <w:p w14:paraId="54C4DB63" w14:textId="77777777" w:rsidR="008673C4" w:rsidRPr="00273A2F" w:rsidRDefault="001A614F" w:rsidP="009A0C53">
      <w:pPr>
        <w:pStyle w:val="SingleTxtG"/>
        <w:ind w:left="1701"/>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oMath>
      <w:r w:rsidR="008673C4" w:rsidRPr="00273A2F">
        <w:t xml:space="preserve"> is the recommended design air flow, in </w:t>
      </w:r>
      <m:oMath>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/h</m:t>
        </m:r>
      </m:oMath>
      <w:r w:rsidR="008673C4" w:rsidRPr="00273A2F">
        <w:t>;</w:t>
      </w:r>
    </w:p>
    <w:p w14:paraId="1F214673" w14:textId="77777777" w:rsidR="008673C4" w:rsidRPr="00273A2F" w:rsidRDefault="008673C4" w:rsidP="009A0C53">
      <w:pPr>
        <w:pStyle w:val="SingleTxtG"/>
        <w:ind w:left="1701"/>
      </w:pPr>
      <w:r w:rsidRPr="00273A2F">
        <w:t xml:space="preserve">N is the air flow rate, in </w:t>
      </w:r>
      <w:r w:rsidRPr="00273A2F">
        <w:rPr>
          <w:i/>
        </w:rPr>
        <w:t>h</w:t>
      </w:r>
      <w:r w:rsidRPr="00273A2F">
        <w:rPr>
          <w:i/>
          <w:vertAlign w:val="superscript"/>
        </w:rPr>
        <w:t>-1</w:t>
      </w:r>
      <w:r w:rsidRPr="00273A2F">
        <w:t>..</w:t>
      </w:r>
    </w:p>
    <w:p w14:paraId="240D2377" w14:textId="36C2A80B" w:rsidR="008673C4" w:rsidRPr="00273A2F" w:rsidRDefault="008673C4" w:rsidP="009A0C53">
      <w:pPr>
        <w:pStyle w:val="SingleTxtG"/>
        <w:ind w:left="1701"/>
      </w:pPr>
      <w:r w:rsidRPr="00273A2F">
        <w:t>with</w:t>
      </w:r>
    </w:p>
    <w:p w14:paraId="1F934684" w14:textId="77777777" w:rsidR="008673C4" w:rsidRPr="00273A2F" w:rsidRDefault="008673C4" w:rsidP="009A0C53">
      <w:pPr>
        <w:pStyle w:val="SingleTxtG"/>
        <w:ind w:left="1701"/>
      </w:pPr>
      <m:oMath>
        <m:r>
          <w:rPr>
            <w:rFonts w:ascii="Cambria Math" w:hAnsi="Cambria Math"/>
          </w:rPr>
          <m:t>40 ≤N≤ 60</m:t>
        </m:r>
      </m:oMath>
      <w:r w:rsidRPr="00273A2F">
        <w:t xml:space="preserve"> for frozen mode</w:t>
      </w:r>
      <w:r w:rsidRPr="00273A2F">
        <w:tab/>
        <w:t xml:space="preserve">or </w:t>
      </w:r>
      <w:r w:rsidRPr="00273A2F">
        <w:tab/>
      </w:r>
      <w:r w:rsidRPr="00273A2F">
        <w:br/>
      </w:r>
      <m:oMath>
        <m:r>
          <w:rPr>
            <w:rFonts w:ascii="Cambria Math" w:hAnsi="Cambria Math"/>
          </w:rPr>
          <m:t>50 ≤N≤ 90</m:t>
        </m:r>
      </m:oMath>
      <w:r w:rsidRPr="00273A2F">
        <w:t xml:space="preserve"> for chilled/heating mode.</w:t>
      </w:r>
    </w:p>
    <w:p w14:paraId="0C641A1F" w14:textId="77777777" w:rsidR="008673C4" w:rsidRDefault="008673C4" w:rsidP="009A0C53">
      <w:pPr>
        <w:pStyle w:val="SingleTxtG"/>
        <w:ind w:left="1701"/>
        <w:rPr>
          <w:color w:val="000000"/>
          <w:lang w:val="en-US"/>
        </w:rPr>
      </w:pPr>
      <w:r>
        <w:rPr>
          <w:color w:val="000000"/>
          <w:lang w:val="en-US"/>
        </w:rPr>
        <w:t>The air delivery system shall be compensated for any loss of airflow due to internal equipment such as air ducts and the frosting of the evaporator(s) and need not be continuous.</w:t>
      </w:r>
    </w:p>
    <w:p w14:paraId="0B95833B" w14:textId="61CED66B" w:rsidR="008673C4" w:rsidRPr="0063504F" w:rsidRDefault="008673C4" w:rsidP="009A0C53">
      <w:pPr>
        <w:pStyle w:val="SingleTxtG"/>
        <w:ind w:left="1701"/>
        <w:rPr>
          <w:lang w:val="en-US"/>
        </w:rPr>
      </w:pPr>
      <w:r w:rsidRPr="0063504F">
        <w:rPr>
          <w:lang w:val="en-US"/>
        </w:rPr>
        <w:t>If the internal volume is ≥10</w:t>
      </w:r>
      <w:r>
        <w:rPr>
          <w:lang w:val="en-US"/>
        </w:rPr>
        <w:t>0</w:t>
      </w:r>
      <w:r w:rsidRPr="0063504F">
        <w:rPr>
          <w:lang w:val="en-US"/>
        </w:rPr>
        <w:t>m</w:t>
      </w:r>
      <w:r w:rsidRPr="0063504F">
        <w:rPr>
          <w:vertAlign w:val="superscript"/>
          <w:lang w:val="en-US"/>
        </w:rPr>
        <w:t>3</w:t>
      </w:r>
      <w:r w:rsidRPr="0063504F">
        <w:rPr>
          <w:lang w:val="en-US"/>
        </w:rPr>
        <w:t xml:space="preserve"> </w:t>
      </w:r>
      <w:r>
        <w:rPr>
          <w:lang w:val="en-US"/>
        </w:rPr>
        <w:t>or ≤2,</w:t>
      </w:r>
      <w:r w:rsidRPr="0063504F">
        <w:rPr>
          <w:lang w:val="en-US"/>
        </w:rPr>
        <w:t xml:space="preserve"> the competent authority where the equipment is re</w:t>
      </w:r>
      <w:r>
        <w:rPr>
          <w:lang w:val="en-US"/>
        </w:rPr>
        <w:t xml:space="preserve">gistered or recorded shall determine </w:t>
      </w:r>
      <w:r w:rsidRPr="0063504F">
        <w:rPr>
          <w:lang w:val="en-US"/>
        </w:rPr>
        <w:t>adequate airflow</w:t>
      </w:r>
      <w:r>
        <w:rPr>
          <w:lang w:val="en-US"/>
        </w:rPr>
        <w:t xml:space="preserve"> based on the overall heat transfer.</w:t>
      </w:r>
      <w:r w:rsidR="008235AC">
        <w:rPr>
          <w:lang w:val="en-US"/>
        </w:rPr>
        <w:t>"</w:t>
      </w:r>
    </w:p>
    <w:p w14:paraId="5DFB1DE6" w14:textId="3D45DC0B" w:rsidR="008673C4" w:rsidRPr="007D1868" w:rsidRDefault="00F730A6" w:rsidP="00D31C65">
      <w:pPr>
        <w:pStyle w:val="SingleTxtG"/>
      </w:pPr>
      <w:r>
        <w:t>5.</w:t>
      </w:r>
      <w:r>
        <w:tab/>
      </w:r>
      <w:r w:rsidR="008673C4">
        <w:t xml:space="preserve">At the </w:t>
      </w:r>
      <w:r w:rsidR="007D1868">
        <w:t>seventy-sixth</w:t>
      </w:r>
      <w:r w:rsidR="008673C4">
        <w:t xml:space="preserve"> session we presented a simplified proposal at the request of </w:t>
      </w:r>
      <w:r w:rsidR="00595CED" w:rsidRPr="0088743D">
        <w:t xml:space="preserve">IIR sub-commission on refrigerated </w:t>
      </w:r>
      <w:r w:rsidR="00595CED" w:rsidRPr="007D1868">
        <w:t xml:space="preserve">transport </w:t>
      </w:r>
      <w:r w:rsidR="008B6953" w:rsidRPr="007D1868">
        <w:t>(</w:t>
      </w:r>
      <w:r w:rsidR="008673C4" w:rsidRPr="007D1868">
        <w:t>CERTE</w:t>
      </w:r>
      <w:r w:rsidR="008B6953" w:rsidRPr="007D1868">
        <w:t>)</w:t>
      </w:r>
      <w:r w:rsidR="008673C4" w:rsidRPr="007D1868">
        <w:t xml:space="preserve"> which is shown below</w:t>
      </w:r>
      <w:r w:rsidRPr="007D1868">
        <w:t>:</w:t>
      </w:r>
    </w:p>
    <w:p w14:paraId="54216F24" w14:textId="7F75ECC8" w:rsidR="008673C4" w:rsidRPr="007D1868" w:rsidRDefault="00640CE8" w:rsidP="00640CE8">
      <w:pPr>
        <w:pStyle w:val="SingleTxtG"/>
        <w:ind w:left="1701"/>
      </w:pPr>
      <w:r w:rsidRPr="007D1868">
        <w:t>"</w:t>
      </w:r>
      <w:r w:rsidR="008673C4" w:rsidRPr="007D1868">
        <w:t>The required airflow for equipment where 2 m</w:t>
      </w:r>
      <w:r w:rsidR="008673C4" w:rsidRPr="00A6152D">
        <w:rPr>
          <w:vertAlign w:val="superscript"/>
        </w:rPr>
        <w:t>3</w:t>
      </w:r>
      <w:r w:rsidR="008673C4" w:rsidRPr="007D1868">
        <w:t xml:space="preserve"> ≤ V ≤ 100 m</w:t>
      </w:r>
      <w:r w:rsidR="008673C4" w:rsidRPr="007D1868">
        <w:rPr>
          <w:vertAlign w:val="superscript"/>
        </w:rPr>
        <w:t>3</w:t>
      </w:r>
      <w:r w:rsidR="008673C4" w:rsidRPr="007D1868">
        <w:t xml:space="preserve"> is calculated using the following formula: </w:t>
      </w:r>
    </w:p>
    <w:p w14:paraId="33D8DA50" w14:textId="77777777" w:rsidR="008673C4" w:rsidRPr="007D1868" w:rsidRDefault="008673C4" w:rsidP="00640CE8">
      <w:pPr>
        <w:pStyle w:val="SingleTxtG"/>
        <w:ind w:left="1701"/>
      </w:pPr>
      <w:r w:rsidRPr="007D1868">
        <w:t xml:space="preserve">V̇L = N·V  </w:t>
      </w:r>
    </w:p>
    <w:p w14:paraId="147F5680" w14:textId="6BE83390" w:rsidR="008673C4" w:rsidRPr="007D1868" w:rsidRDefault="008673C4" w:rsidP="00640CE8">
      <w:pPr>
        <w:pStyle w:val="SingleTxtG"/>
        <w:ind w:left="1701"/>
      </w:pPr>
      <w:r w:rsidRPr="007D1868">
        <w:t>Where airflow rate V̇L is air changes per hour, N, multiplied by the empty volume,</w:t>
      </w:r>
      <w:r w:rsidR="0040477A" w:rsidRPr="007D1868">
        <w:t> </w:t>
      </w:r>
      <w:r w:rsidRPr="007D1868">
        <w:t>V.</w:t>
      </w:r>
    </w:p>
    <w:p w14:paraId="7973FFA6" w14:textId="77777777" w:rsidR="008673C4" w:rsidRPr="007D1868" w:rsidRDefault="008673C4" w:rsidP="00640CE8">
      <w:pPr>
        <w:pStyle w:val="SingleTxtG"/>
        <w:ind w:left="1701"/>
      </w:pPr>
      <w:r w:rsidRPr="007D1868">
        <w:t>Where N ≥ 55</w:t>
      </w:r>
      <w:r w:rsidRPr="007D1868">
        <w:tab/>
      </w:r>
    </w:p>
    <w:p w14:paraId="5506402A" w14:textId="77777777" w:rsidR="008673C4" w:rsidRPr="007D1868" w:rsidRDefault="008673C4" w:rsidP="00640CE8">
      <w:pPr>
        <w:pStyle w:val="SingleTxtG"/>
        <w:ind w:left="1701"/>
      </w:pPr>
      <w:r w:rsidRPr="007D1868">
        <w:t>For mechanically refrigerated equipment of Class F the airflow may be reduced with N &gt; 40 and where V exceeds 100 m</w:t>
      </w:r>
      <w:r w:rsidRPr="007D1868">
        <w:rPr>
          <w:vertAlign w:val="superscript"/>
        </w:rPr>
        <w:t>3</w:t>
      </w:r>
      <w:r w:rsidRPr="007D1868">
        <w:t xml:space="preserve"> VL may be limited to 5500 m</w:t>
      </w:r>
      <w:r w:rsidRPr="007D1868">
        <w:rPr>
          <w:vertAlign w:val="superscript"/>
        </w:rPr>
        <w:t>3</w:t>
      </w:r>
      <w:r w:rsidRPr="007D1868">
        <w:t xml:space="preserve"> per hour.</w:t>
      </w:r>
    </w:p>
    <w:p w14:paraId="6B0F5AB2" w14:textId="4CDBE362" w:rsidR="008673C4" w:rsidRPr="007D1868" w:rsidRDefault="008673C4" w:rsidP="00640CE8">
      <w:pPr>
        <w:pStyle w:val="SingleTxtG"/>
        <w:ind w:left="1701"/>
      </w:pPr>
      <w:r w:rsidRPr="007D1868">
        <w:t>The air delivery system shall be compensated for any loss of airflow due to internal equipment such as air ducts and the frosting of the evaporator(s) and need not be continuous.</w:t>
      </w:r>
      <w:r w:rsidR="00640CE8" w:rsidRPr="007D1868">
        <w:t>"</w:t>
      </w:r>
    </w:p>
    <w:p w14:paraId="47174D7C" w14:textId="78979618" w:rsidR="008673C4" w:rsidRPr="007D1868" w:rsidRDefault="00640CE8" w:rsidP="00640CE8">
      <w:pPr>
        <w:pStyle w:val="SingleTxtG"/>
      </w:pPr>
      <w:r w:rsidRPr="007D1868">
        <w:t>6.</w:t>
      </w:r>
      <w:r w:rsidRPr="007D1868">
        <w:tab/>
      </w:r>
      <w:r w:rsidR="008673C4" w:rsidRPr="007D1868">
        <w:t xml:space="preserve">At the </w:t>
      </w:r>
      <w:r w:rsidR="000C41FC">
        <w:t>seventy-seventh</w:t>
      </w:r>
      <w:r w:rsidR="008673C4" w:rsidRPr="007D1868">
        <w:t xml:space="preserve"> session we revised the proposal again with a new footnote for a transitional period</w:t>
      </w:r>
      <w:r w:rsidR="00173381" w:rsidRPr="007D1868">
        <w:t>:</w:t>
      </w:r>
      <w:r w:rsidR="008673C4" w:rsidRPr="007D1868">
        <w:t xml:space="preserve"> </w:t>
      </w:r>
    </w:p>
    <w:p w14:paraId="160CD86B" w14:textId="31C2FDA4" w:rsidR="008673C4" w:rsidRPr="00640CE8" w:rsidRDefault="00D64853" w:rsidP="00932FD6">
      <w:pPr>
        <w:pStyle w:val="SingleTxtG"/>
        <w:ind w:left="1701"/>
      </w:pPr>
      <w:r w:rsidRPr="007D1868">
        <w:t>"</w:t>
      </w:r>
      <w:r w:rsidR="008673C4" w:rsidRPr="007D1868">
        <w:t>The required airflow for equipment where 2 m</w:t>
      </w:r>
      <w:r w:rsidR="008673C4" w:rsidRPr="00677D68">
        <w:rPr>
          <w:vertAlign w:val="superscript"/>
        </w:rPr>
        <w:t>3</w:t>
      </w:r>
      <w:r w:rsidR="008673C4" w:rsidRPr="007D1868">
        <w:t xml:space="preserve"> ≤ V ≤ 100 m</w:t>
      </w:r>
      <w:r w:rsidR="008673C4" w:rsidRPr="007D1868">
        <w:rPr>
          <w:vertAlign w:val="superscript"/>
        </w:rPr>
        <w:t>3</w:t>
      </w:r>
      <w:r w:rsidR="008673C4" w:rsidRPr="007D1868">
        <w:t xml:space="preserve"> is calculated using the following formula:</w:t>
      </w:r>
      <w:r w:rsidR="008673C4" w:rsidRPr="00640CE8">
        <w:t xml:space="preserve"> </w:t>
      </w:r>
    </w:p>
    <w:p w14:paraId="2DDD368A" w14:textId="77777777" w:rsidR="008673C4" w:rsidRPr="00640CE8" w:rsidRDefault="008673C4" w:rsidP="00932FD6">
      <w:pPr>
        <w:pStyle w:val="SingleTxtG"/>
        <w:ind w:left="1701"/>
      </w:pPr>
      <w:r w:rsidRPr="00640CE8">
        <w:t xml:space="preserve">V̇L = N·V  </w:t>
      </w:r>
    </w:p>
    <w:p w14:paraId="091DCB00" w14:textId="77777777" w:rsidR="008673C4" w:rsidRPr="00640CE8" w:rsidRDefault="008673C4" w:rsidP="00932FD6">
      <w:pPr>
        <w:pStyle w:val="SingleTxtG"/>
        <w:ind w:left="1701"/>
      </w:pPr>
      <w:r w:rsidRPr="00640CE8">
        <w:t>Where airflow rate V̇L is air changes per hour, N, multiplied by the empty volume, V.</w:t>
      </w:r>
    </w:p>
    <w:p w14:paraId="6FD629DE" w14:textId="77777777" w:rsidR="008673C4" w:rsidRPr="00640CE8" w:rsidRDefault="008673C4" w:rsidP="00932FD6">
      <w:pPr>
        <w:pStyle w:val="SingleTxtG"/>
        <w:ind w:left="1701"/>
      </w:pPr>
      <w:r w:rsidRPr="00640CE8">
        <w:t>Where N ≥ 50</w:t>
      </w:r>
    </w:p>
    <w:p w14:paraId="57691104" w14:textId="77777777" w:rsidR="008673C4" w:rsidRPr="00640CE8" w:rsidRDefault="008673C4" w:rsidP="00932FD6">
      <w:pPr>
        <w:pStyle w:val="SingleTxtG"/>
        <w:ind w:left="1701"/>
      </w:pPr>
      <w:r w:rsidRPr="00640CE8">
        <w:t>The air delivery system shall be compensated for any loss of airflow due to internal equipment such as air ducts and in part load need not be continuous and or may be modulated.</w:t>
      </w:r>
    </w:p>
    <w:p w14:paraId="51A7BCF1" w14:textId="77777777" w:rsidR="008673C4" w:rsidRPr="00640CE8" w:rsidRDefault="008673C4" w:rsidP="00932FD6">
      <w:pPr>
        <w:pStyle w:val="SingleTxtG"/>
        <w:ind w:left="1701"/>
      </w:pPr>
      <w:r w:rsidRPr="00640CE8">
        <w:t xml:space="preserve">For mechanically refrigerated equipment of Class FRC or BRC the airflow may be reduced to N ≥ 40 and need not be continuous. </w:t>
      </w:r>
    </w:p>
    <w:p w14:paraId="7764611E" w14:textId="588EBD6D" w:rsidR="008673C4" w:rsidRPr="00640CE8" w:rsidRDefault="008673C4" w:rsidP="00932FD6">
      <w:pPr>
        <w:pStyle w:val="SingleTxtG"/>
        <w:ind w:left="1701"/>
      </w:pPr>
      <w:r w:rsidRPr="00640CE8">
        <w:t>Where V exceeds 100 m</w:t>
      </w:r>
      <w:r w:rsidRPr="00D559DA">
        <w:rPr>
          <w:vertAlign w:val="superscript"/>
        </w:rPr>
        <w:t xml:space="preserve">3 </w:t>
      </w:r>
      <w:r w:rsidRPr="00640CE8">
        <w:t xml:space="preserve">VL may be limited to </w:t>
      </w:r>
      <w:r w:rsidRPr="00D559DA">
        <w:t>at least 5500 m</w:t>
      </w:r>
      <w:r w:rsidRPr="00D559DA">
        <w:rPr>
          <w:vertAlign w:val="superscript"/>
        </w:rPr>
        <w:t>3</w:t>
      </w:r>
      <w:r w:rsidRPr="00D559DA">
        <w:t xml:space="preserve"> per hour</w:t>
      </w:r>
      <w:r w:rsidRPr="00640CE8">
        <w:t>.</w:t>
      </w:r>
      <w:r w:rsidR="00932FD6">
        <w:t>"</w:t>
      </w:r>
    </w:p>
    <w:p w14:paraId="405A12B6" w14:textId="7938CC29" w:rsidR="008673C4" w:rsidRPr="00640CE8" w:rsidRDefault="00D22EF7" w:rsidP="00640CE8">
      <w:pPr>
        <w:pStyle w:val="SingleTxtG"/>
      </w:pPr>
      <w:r>
        <w:lastRenderedPageBreak/>
        <w:t>7.</w:t>
      </w:r>
      <w:r>
        <w:tab/>
      </w:r>
      <w:r w:rsidR="008673C4" w:rsidRPr="00640CE8">
        <w:t xml:space="preserve">During the </w:t>
      </w:r>
      <w:r w:rsidR="00677D68">
        <w:t>seventy-eighth</w:t>
      </w:r>
      <w:r w:rsidR="008673C4" w:rsidRPr="00640CE8">
        <w:t xml:space="preserve"> </w:t>
      </w:r>
      <w:r w:rsidR="00D559DA">
        <w:t>s</w:t>
      </w:r>
      <w:r w:rsidR="008673C4" w:rsidRPr="00640CE8">
        <w:t xml:space="preserve">ession of </w:t>
      </w:r>
      <w:r w:rsidR="00547ACC">
        <w:t xml:space="preserve">the </w:t>
      </w:r>
      <w:r w:rsidR="00547ACC" w:rsidRPr="00547ACC">
        <w:t>Working Party on the Transport of Perishable Foodstuffs</w:t>
      </w:r>
      <w:r w:rsidR="00547ACC">
        <w:t xml:space="preserve"> (</w:t>
      </w:r>
      <w:r w:rsidR="008673C4" w:rsidRPr="00640CE8">
        <w:t>WP</w:t>
      </w:r>
      <w:r w:rsidR="00547ACC">
        <w:t>.</w:t>
      </w:r>
      <w:r w:rsidR="008673C4" w:rsidRPr="00640CE8">
        <w:t>11</w:t>
      </w:r>
      <w:r w:rsidR="00547ACC">
        <w:t>)</w:t>
      </w:r>
      <w:r w:rsidR="008673C4" w:rsidRPr="00640CE8">
        <w:t xml:space="preserve"> the revised airflow proposal was presented and although there was general agreement in principle this was not adopted.</w:t>
      </w:r>
    </w:p>
    <w:p w14:paraId="61BA09AA" w14:textId="0DFC1921" w:rsidR="008673C4" w:rsidRDefault="00D22EF7" w:rsidP="00640CE8">
      <w:pPr>
        <w:pStyle w:val="SingleTxtG"/>
      </w:pPr>
      <w:r>
        <w:t>8.</w:t>
      </w:r>
      <w:r>
        <w:tab/>
      </w:r>
      <w:r w:rsidR="008673C4" w:rsidRPr="0041382D">
        <w:t xml:space="preserve">The Finnish delegation raised some additional concerns regarding the installation of air ducts and how the temperature of the perishable foodstuff transported and the type of equipment used could affect the number of air changes required. It was clarified that in principle, chilled loads would require more air changes than frozen/deep-frozen loads to keep the required temperature. </w:t>
      </w:r>
    </w:p>
    <w:p w14:paraId="76E0ABAB" w14:textId="67E219C7" w:rsidR="008673C4" w:rsidRDefault="000E33B6" w:rsidP="00640CE8">
      <w:pPr>
        <w:pStyle w:val="SingleTxtG"/>
      </w:pPr>
      <w:r>
        <w:t>9.</w:t>
      </w:r>
      <w:r>
        <w:tab/>
      </w:r>
      <w:r w:rsidR="008673C4" w:rsidRPr="0041382D">
        <w:t xml:space="preserve">After consultation with industry representatives and the Finnish Food Authority, the Finnish delegation stated that they could not accept the proposal as drafted as some concerns remained regarding the size of the lorries and the number of air changes required. </w:t>
      </w:r>
    </w:p>
    <w:p w14:paraId="7C4D5311" w14:textId="4B6EB668" w:rsidR="008673C4" w:rsidRDefault="000E33B6" w:rsidP="00640CE8">
      <w:pPr>
        <w:pStyle w:val="SingleTxtG"/>
      </w:pPr>
      <w:r>
        <w:t>10.</w:t>
      </w:r>
      <w:r>
        <w:tab/>
      </w:r>
      <w:r w:rsidR="008673C4">
        <w:t>The proposal presented at this session is below</w:t>
      </w:r>
      <w:r w:rsidR="0074746E">
        <w:t>:</w:t>
      </w:r>
    </w:p>
    <w:p w14:paraId="5ADF7E0D" w14:textId="01A67184" w:rsidR="008673C4" w:rsidRDefault="005D187C" w:rsidP="005D187C">
      <w:pPr>
        <w:pStyle w:val="SingleTxtG"/>
        <w:ind w:left="1701"/>
      </w:pPr>
      <w:r>
        <w:t>"</w:t>
      </w:r>
      <w:r w:rsidR="008673C4" w:rsidRPr="00584D3D">
        <w:t xml:space="preserve">The </w:t>
      </w:r>
      <w:r w:rsidR="008673C4">
        <w:t xml:space="preserve">minimum </w:t>
      </w:r>
      <w:r w:rsidR="008673C4" w:rsidRPr="00584D3D">
        <w:t>required airflow for equipment where 2 m</w:t>
      </w:r>
      <w:r w:rsidR="008673C4" w:rsidRPr="00584D3D">
        <w:rPr>
          <w:vertAlign w:val="superscript"/>
        </w:rPr>
        <w:t>3</w:t>
      </w:r>
      <w:r w:rsidR="008673C4" w:rsidRPr="00584D3D">
        <w:t xml:space="preserve"> ≤ V ≤ 100 m</w:t>
      </w:r>
      <w:r w:rsidR="008673C4" w:rsidRPr="00584D3D">
        <w:rPr>
          <w:vertAlign w:val="superscript"/>
        </w:rPr>
        <w:t>3</w:t>
      </w:r>
      <w:r w:rsidR="008673C4" w:rsidRPr="00584D3D">
        <w:t xml:space="preserve"> is calculated using the following formula: </w:t>
      </w:r>
    </w:p>
    <w:p w14:paraId="7D6A0E8F" w14:textId="77777777" w:rsidR="008673C4" w:rsidRDefault="008673C4" w:rsidP="005D187C">
      <w:pPr>
        <w:pStyle w:val="SingleTxtG"/>
        <w:ind w:left="1701"/>
      </w:pPr>
      <w:proofErr w:type="spellStart"/>
      <w:r w:rsidRPr="00584D3D">
        <w:t>V̇</w:t>
      </w:r>
      <w:r w:rsidRPr="00584D3D">
        <w:rPr>
          <w:vertAlign w:val="subscript"/>
        </w:rPr>
        <w:t>L</w:t>
      </w:r>
      <w:r>
        <w:rPr>
          <w:vertAlign w:val="subscript"/>
        </w:rPr>
        <w:t>min</w:t>
      </w:r>
      <w:proofErr w:type="spellEnd"/>
      <w:r w:rsidRPr="00584D3D">
        <w:t xml:space="preserve"> = N·V  </w:t>
      </w:r>
    </w:p>
    <w:p w14:paraId="48670AA5" w14:textId="05B11A5D" w:rsidR="008673C4" w:rsidRDefault="008673C4" w:rsidP="005D187C">
      <w:pPr>
        <w:pStyle w:val="SingleTxtG"/>
        <w:ind w:left="1701"/>
      </w:pPr>
      <w:r w:rsidRPr="00584D3D">
        <w:t>Where</w:t>
      </w:r>
      <w:r>
        <w:t xml:space="preserve"> minimum</w:t>
      </w:r>
      <w:r w:rsidRPr="00584D3D">
        <w:t xml:space="preserve"> airflow rate </w:t>
      </w:r>
      <w:proofErr w:type="spellStart"/>
      <w:r w:rsidRPr="00584D3D">
        <w:t>V̇</w:t>
      </w:r>
      <w:r w:rsidRPr="00584D3D">
        <w:rPr>
          <w:vertAlign w:val="subscript"/>
        </w:rPr>
        <w:t>L</w:t>
      </w:r>
      <w:r>
        <w:rPr>
          <w:vertAlign w:val="subscript"/>
        </w:rPr>
        <w:t>min</w:t>
      </w:r>
      <w:proofErr w:type="spellEnd"/>
      <w:r w:rsidRPr="00584D3D">
        <w:t xml:space="preserve"> is air changes per hour N, multiplied by the empty volume</w:t>
      </w:r>
      <w:r w:rsidR="005D187C">
        <w:t> </w:t>
      </w:r>
      <w:r w:rsidRPr="00584D3D">
        <w:t>V.</w:t>
      </w:r>
    </w:p>
    <w:p w14:paraId="6AC14449" w14:textId="77777777" w:rsidR="008673C4" w:rsidRDefault="008673C4" w:rsidP="005D187C">
      <w:pPr>
        <w:pStyle w:val="SingleTxtG"/>
        <w:ind w:left="1701"/>
      </w:pPr>
      <w:r w:rsidRPr="00584D3D">
        <w:t>W</w:t>
      </w:r>
      <w:r>
        <w:t>ith</w:t>
      </w:r>
      <w:r w:rsidRPr="00584D3D">
        <w:t xml:space="preserve"> N </w:t>
      </w:r>
      <w:r>
        <w:t>=</w:t>
      </w:r>
      <w:r w:rsidRPr="00584D3D">
        <w:t xml:space="preserve"> 5</w:t>
      </w:r>
      <w:r>
        <w:t>0</w:t>
      </w:r>
    </w:p>
    <w:p w14:paraId="3BD21160" w14:textId="77777777" w:rsidR="008673C4" w:rsidRDefault="008673C4" w:rsidP="005D187C">
      <w:pPr>
        <w:pStyle w:val="SingleTxtG"/>
        <w:ind w:left="1701"/>
      </w:pPr>
      <w:r w:rsidRPr="00584D3D">
        <w:t xml:space="preserve">The air delivery system shall be compensated for any loss of airflow due to internal equipment such as air ducts and the frosting of the evaporator(s) and </w:t>
      </w:r>
      <w:r>
        <w:t>may be modulated in part load operation to a minimum of N =</w:t>
      </w:r>
      <w:r w:rsidRPr="00584D3D">
        <w:t xml:space="preserve"> </w:t>
      </w:r>
      <w:r>
        <w:t>40.</w:t>
      </w:r>
    </w:p>
    <w:p w14:paraId="38B42E38" w14:textId="77777777" w:rsidR="008673C4" w:rsidRDefault="008673C4" w:rsidP="005D187C">
      <w:pPr>
        <w:pStyle w:val="SingleTxtG"/>
        <w:ind w:left="1701"/>
      </w:pPr>
      <w:r w:rsidRPr="00584D3D">
        <w:t xml:space="preserve">For mechanically refrigerated </w:t>
      </w:r>
      <w:r w:rsidRPr="0053243E">
        <w:t>equipment of Class FRC</w:t>
      </w:r>
      <w:r w:rsidRPr="0053243E">
        <w:rPr>
          <w:bCs/>
        </w:rPr>
        <w:t xml:space="preserve">, BRI, BRJ, BRK or BRL </w:t>
      </w:r>
      <w:r w:rsidRPr="0053243E">
        <w:t xml:space="preserve">the </w:t>
      </w:r>
      <w:r>
        <w:t xml:space="preserve">minimum </w:t>
      </w:r>
      <w:r w:rsidRPr="0053243E">
        <w:t xml:space="preserve">airflow may be reduced to N </w:t>
      </w:r>
      <w:r>
        <w:t>=</w:t>
      </w:r>
      <w:r w:rsidRPr="0053243E">
        <w:t xml:space="preserve"> 40 and need not be continuous.</w:t>
      </w:r>
      <w:r>
        <w:t xml:space="preserve"> </w:t>
      </w:r>
    </w:p>
    <w:p w14:paraId="750BF0A6" w14:textId="43701F55" w:rsidR="008673C4" w:rsidRPr="00584D3D" w:rsidRDefault="008673C4" w:rsidP="005D187C">
      <w:pPr>
        <w:pStyle w:val="SingleTxtG"/>
        <w:ind w:left="1701"/>
      </w:pPr>
      <w:r>
        <w:t>W</w:t>
      </w:r>
      <w:r w:rsidRPr="00584D3D">
        <w:t>here V exceeds 100 m</w:t>
      </w:r>
      <w:r w:rsidRPr="00584D3D">
        <w:rPr>
          <w:vertAlign w:val="superscript"/>
        </w:rPr>
        <w:t>3</w:t>
      </w:r>
      <w:r w:rsidRPr="00584D3D">
        <w:t xml:space="preserve"> </w:t>
      </w:r>
      <w:proofErr w:type="spellStart"/>
      <w:r w:rsidRPr="00584D3D">
        <w:t>V̇</w:t>
      </w:r>
      <w:r w:rsidRPr="00584D3D">
        <w:rPr>
          <w:vertAlign w:val="subscript"/>
        </w:rPr>
        <w:t>L</w:t>
      </w:r>
      <w:r>
        <w:rPr>
          <w:vertAlign w:val="subscript"/>
        </w:rPr>
        <w:t>min</w:t>
      </w:r>
      <w:proofErr w:type="spellEnd"/>
      <w:r w:rsidRPr="00584D3D">
        <w:t xml:space="preserve"> </w:t>
      </w:r>
      <w:r>
        <w:t xml:space="preserve">shall be at least </w:t>
      </w:r>
      <w:r>
        <w:rPr>
          <w:bCs/>
        </w:rPr>
        <w:t>5000</w:t>
      </w:r>
      <w:r w:rsidRPr="0053243E">
        <w:rPr>
          <w:bCs/>
        </w:rPr>
        <w:t xml:space="preserve"> </w:t>
      </w:r>
      <w:r w:rsidRPr="0053243E">
        <w:t>m</w:t>
      </w:r>
      <w:r w:rsidRPr="0053243E">
        <w:rPr>
          <w:vertAlign w:val="superscript"/>
        </w:rPr>
        <w:t>3</w:t>
      </w:r>
      <w:r w:rsidRPr="0053243E">
        <w:t xml:space="preserve"> per hour</w:t>
      </w:r>
      <w:r w:rsidRPr="00584D3D">
        <w:t>.</w:t>
      </w:r>
      <w:r w:rsidR="005D187C">
        <w:t>"</w:t>
      </w:r>
    </w:p>
    <w:p w14:paraId="5EDD0F86" w14:textId="2ACEE116" w:rsidR="008673C4" w:rsidRPr="0041382D" w:rsidRDefault="005D187C" w:rsidP="00640CE8">
      <w:pPr>
        <w:pStyle w:val="SingleTxtG"/>
        <w:rPr>
          <w:szCs w:val="24"/>
        </w:rPr>
      </w:pPr>
      <w:r>
        <w:rPr>
          <w:szCs w:val="24"/>
        </w:rPr>
        <w:t>11.</w:t>
      </w:r>
      <w:r>
        <w:rPr>
          <w:szCs w:val="24"/>
        </w:rPr>
        <w:tab/>
      </w:r>
      <w:r w:rsidR="008673C4" w:rsidRPr="0041382D">
        <w:rPr>
          <w:szCs w:val="24"/>
        </w:rPr>
        <w:t>It was decided to discuss the proposal again at the next CERTE meeting and to try to find a solution that could be acceptable for Finland. The new revised proposal would then be submitted for consideration at the next session.</w:t>
      </w:r>
    </w:p>
    <w:p w14:paraId="3A0C1D1E" w14:textId="74BC1177" w:rsidR="008673C4" w:rsidRDefault="004D44ED" w:rsidP="00640CE8">
      <w:pPr>
        <w:pStyle w:val="SingleTxtG"/>
      </w:pPr>
      <w:r>
        <w:t>12.</w:t>
      </w:r>
      <w:r>
        <w:tab/>
      </w:r>
      <w:r w:rsidR="008673C4">
        <w:t>The same proposal was presented at the CERTE meeting in May 2022 with comments that are more simplified version was recommended and maybe placed into the handbook rather than the ATP agreement, upon further discussions the proposal can’t be placed into the ATP handbook as this isn’t in the ATP at present.</w:t>
      </w:r>
    </w:p>
    <w:p w14:paraId="2BFEBAFF" w14:textId="21F4F7E1" w:rsidR="008673C4" w:rsidRDefault="008C678C" w:rsidP="00640CE8">
      <w:pPr>
        <w:pStyle w:val="SingleTxtG"/>
      </w:pPr>
      <w:r>
        <w:t>13.</w:t>
      </w:r>
      <w:r>
        <w:tab/>
      </w:r>
      <w:r w:rsidR="008673C4">
        <w:t>A simplified proposal is presented for the ATP agreement after comments and feedback from WP</w:t>
      </w:r>
      <w:r w:rsidR="00547ACC">
        <w:t>.</w:t>
      </w:r>
      <w:r w:rsidR="008673C4">
        <w:t>11, CERTE and exchanges with the Finnish and Netherlands delegations.</w:t>
      </w:r>
    </w:p>
    <w:p w14:paraId="6FCB8618" w14:textId="711A1A46" w:rsidR="008673C4" w:rsidRPr="00DB4C7D" w:rsidRDefault="008C678C" w:rsidP="008C678C">
      <w:pPr>
        <w:pStyle w:val="HChG"/>
      </w:pPr>
      <w:r>
        <w:tab/>
      </w:r>
      <w:r w:rsidR="00FF42CA">
        <w:t>I.</w:t>
      </w:r>
      <w:r>
        <w:tab/>
      </w:r>
      <w:r w:rsidR="008673C4" w:rsidRPr="00DB4C7D">
        <w:t>Proposed Amendment</w:t>
      </w:r>
    </w:p>
    <w:p w14:paraId="69A9DBAB" w14:textId="5C5FB245" w:rsidR="008673C4" w:rsidRDefault="008C678C" w:rsidP="00640CE8">
      <w:pPr>
        <w:pStyle w:val="SingleTxtG"/>
      </w:pPr>
      <w:r>
        <w:t>14.</w:t>
      </w:r>
      <w:r>
        <w:tab/>
      </w:r>
      <w:r w:rsidR="008673C4" w:rsidRPr="00584D3D">
        <w:t>We propose to amend the text as follows with a new paragraph which is added to 3.2.6:</w:t>
      </w:r>
    </w:p>
    <w:p w14:paraId="7404AACF" w14:textId="2DD1C58D" w:rsidR="008673C4" w:rsidRDefault="00F70640" w:rsidP="008B1AF4">
      <w:pPr>
        <w:pStyle w:val="SingleTxtG"/>
        <w:ind w:left="1701"/>
      </w:pPr>
      <w:r>
        <w:t>"</w:t>
      </w:r>
      <w:r w:rsidR="008673C4" w:rsidRPr="00584D3D">
        <w:t xml:space="preserve">The </w:t>
      </w:r>
      <w:r w:rsidR="008673C4">
        <w:t xml:space="preserve">minimum </w:t>
      </w:r>
      <w:r w:rsidR="008673C4" w:rsidRPr="00584D3D">
        <w:t xml:space="preserve">required airflow for </w:t>
      </w:r>
      <w:r w:rsidR="008673C4">
        <w:t xml:space="preserve">mechanically refrigerated </w:t>
      </w:r>
      <w:r w:rsidR="008673C4" w:rsidRPr="00584D3D">
        <w:t xml:space="preserve">equipment </w:t>
      </w:r>
      <w:r w:rsidR="008673C4" w:rsidRPr="0053243E">
        <w:t>of Class FRC</w:t>
      </w:r>
      <w:r w:rsidR="008673C4" w:rsidRPr="0053243E">
        <w:rPr>
          <w:bCs/>
        </w:rPr>
        <w:t xml:space="preserve">, BRI, BRJ, BRK or BRL </w:t>
      </w:r>
      <w:r w:rsidR="008673C4" w:rsidRPr="00CC04FE">
        <w:rPr>
          <w:lang w:val="en-US"/>
        </w:rPr>
        <w:t>shall conform to the following</w:t>
      </w:r>
      <w:r w:rsidR="008673C4" w:rsidRPr="00584D3D">
        <w:t xml:space="preserve"> formula</w:t>
      </w:r>
      <w:r w:rsidR="008673C4" w:rsidRPr="00F70640">
        <w:rPr>
          <w:rStyle w:val="FootnoteReference"/>
        </w:rPr>
        <w:footnoteReference w:id="2"/>
      </w:r>
      <w:r w:rsidR="008673C4" w:rsidRPr="00584D3D">
        <w:t xml:space="preserve">: </w:t>
      </w:r>
    </w:p>
    <w:p w14:paraId="5DB3BDD3" w14:textId="77777777" w:rsidR="008673C4" w:rsidRDefault="008673C4" w:rsidP="008B1AF4">
      <w:pPr>
        <w:pStyle w:val="SingleTxtG"/>
        <w:ind w:left="1701"/>
      </w:pPr>
      <w:r w:rsidRPr="00584D3D">
        <w:t>V̇</w:t>
      </w:r>
      <w:r w:rsidRPr="00584D3D">
        <w:rPr>
          <w:vertAlign w:val="subscript"/>
        </w:rPr>
        <w:t>L</w:t>
      </w:r>
      <w:r w:rsidRPr="00584D3D">
        <w:t xml:space="preserve"> = N·V  </w:t>
      </w:r>
    </w:p>
    <w:p w14:paraId="538631AD" w14:textId="5A1AF637" w:rsidR="008673C4" w:rsidRDefault="008673C4" w:rsidP="008B1AF4">
      <w:pPr>
        <w:pStyle w:val="SingleTxtG"/>
        <w:ind w:left="1701"/>
      </w:pPr>
      <w:r w:rsidRPr="00584D3D">
        <w:t>Where</w:t>
      </w:r>
      <w:r>
        <w:t xml:space="preserve"> minimum</w:t>
      </w:r>
      <w:r w:rsidRPr="00584D3D">
        <w:t xml:space="preserve"> airflow rate </w:t>
      </w:r>
      <w:proofErr w:type="spellStart"/>
      <w:r w:rsidRPr="00584D3D">
        <w:t>V̇</w:t>
      </w:r>
      <w:r w:rsidRPr="00584D3D">
        <w:rPr>
          <w:vertAlign w:val="subscript"/>
        </w:rPr>
        <w:t>L</w:t>
      </w:r>
      <w:r>
        <w:rPr>
          <w:vertAlign w:val="subscript"/>
        </w:rPr>
        <w:t>min</w:t>
      </w:r>
      <w:proofErr w:type="spellEnd"/>
      <w:r w:rsidRPr="00584D3D">
        <w:t xml:space="preserve"> is air changes per hour N, multiplied by the empty volume</w:t>
      </w:r>
      <w:r w:rsidR="00F70640">
        <w:t> </w:t>
      </w:r>
      <w:r w:rsidRPr="00584D3D">
        <w:t>V.</w:t>
      </w:r>
    </w:p>
    <w:p w14:paraId="5E2C9482" w14:textId="77777777" w:rsidR="008673C4" w:rsidRDefault="008673C4" w:rsidP="008B1AF4">
      <w:pPr>
        <w:pStyle w:val="SingleTxtG"/>
        <w:ind w:left="1701"/>
      </w:pPr>
      <w:r>
        <w:t>Where N =</w:t>
      </w:r>
      <w:r w:rsidRPr="00584D3D">
        <w:t xml:space="preserve"> 5</w:t>
      </w:r>
      <w:r>
        <w:t>0</w:t>
      </w:r>
    </w:p>
    <w:p w14:paraId="0D33FEDD" w14:textId="77777777" w:rsidR="008673C4" w:rsidRDefault="008673C4" w:rsidP="008B1AF4">
      <w:pPr>
        <w:pStyle w:val="SingleTxtG"/>
        <w:ind w:left="1701"/>
      </w:pPr>
      <w:r>
        <w:t xml:space="preserve">The air volume flow may be modulated in part load operation after reaching the set point temperature and if the temperature of the class is reached, the air flow needs not be continuous. </w:t>
      </w:r>
    </w:p>
    <w:p w14:paraId="090DF273" w14:textId="77777777" w:rsidR="008673C4" w:rsidRDefault="008673C4" w:rsidP="008B1AF4">
      <w:pPr>
        <w:pStyle w:val="SingleTxtG"/>
        <w:ind w:left="1701"/>
      </w:pPr>
      <w:r>
        <w:lastRenderedPageBreak/>
        <w:t>W</w:t>
      </w:r>
      <w:r w:rsidRPr="00584D3D">
        <w:t xml:space="preserve">here V exceeds </w:t>
      </w:r>
      <w:r>
        <w:t>6</w:t>
      </w:r>
      <w:r w:rsidRPr="00584D3D">
        <w:t>0 m</w:t>
      </w:r>
      <w:r w:rsidRPr="00584D3D">
        <w:rPr>
          <w:vertAlign w:val="superscript"/>
        </w:rPr>
        <w:t>3</w:t>
      </w:r>
      <w:r w:rsidRPr="00584D3D">
        <w:t xml:space="preserve"> V</w:t>
      </w:r>
      <w:r w:rsidRPr="0085578E">
        <w:rPr>
          <w:vertAlign w:val="subscript"/>
        </w:rPr>
        <w:t>L</w:t>
      </w:r>
      <w:r w:rsidRPr="00584D3D">
        <w:t xml:space="preserve"> may be limited </w:t>
      </w:r>
      <w:r w:rsidRPr="0053243E">
        <w:t xml:space="preserve">to at least </w:t>
      </w:r>
      <w:r>
        <w:t>3</w:t>
      </w:r>
      <w:r w:rsidRPr="0053243E">
        <w:rPr>
          <w:bCs/>
        </w:rPr>
        <w:t xml:space="preserve">000 </w:t>
      </w:r>
      <w:r w:rsidRPr="0053243E">
        <w:t>m</w:t>
      </w:r>
      <w:r w:rsidRPr="0053243E">
        <w:rPr>
          <w:vertAlign w:val="superscript"/>
        </w:rPr>
        <w:t>3</w:t>
      </w:r>
      <w:r w:rsidRPr="0053243E">
        <w:t xml:space="preserve"> per hour</w:t>
      </w:r>
      <w:r>
        <w:t xml:space="preserve"> for </w:t>
      </w:r>
      <w:r w:rsidRPr="0035151A">
        <w:t>wagons and lorries.</w:t>
      </w:r>
    </w:p>
    <w:p w14:paraId="5A80B621" w14:textId="7BFFF53B" w:rsidR="008673C4" w:rsidRPr="00584D3D" w:rsidRDefault="008673C4" w:rsidP="008B1AF4">
      <w:pPr>
        <w:pStyle w:val="SingleTxtG"/>
        <w:ind w:left="1701"/>
      </w:pPr>
      <w:r>
        <w:t>W</w:t>
      </w:r>
      <w:r w:rsidRPr="00584D3D">
        <w:t>here V exceeds 100 m</w:t>
      </w:r>
      <w:r w:rsidRPr="00584D3D">
        <w:rPr>
          <w:vertAlign w:val="superscript"/>
        </w:rPr>
        <w:t>3</w:t>
      </w:r>
      <w:r>
        <w:t xml:space="preserve"> V</w:t>
      </w:r>
      <w:r w:rsidRPr="0085578E">
        <w:rPr>
          <w:vertAlign w:val="subscript"/>
        </w:rPr>
        <w:t>L</w:t>
      </w:r>
      <w:r w:rsidRPr="00584D3D">
        <w:t xml:space="preserve"> may be limited </w:t>
      </w:r>
      <w:r w:rsidRPr="0053243E">
        <w:t xml:space="preserve">to at least </w:t>
      </w:r>
      <w:r w:rsidRPr="0053243E">
        <w:rPr>
          <w:bCs/>
        </w:rPr>
        <w:t xml:space="preserve">5000 </w:t>
      </w:r>
      <w:r w:rsidRPr="0053243E">
        <w:t>m</w:t>
      </w:r>
      <w:r w:rsidRPr="0053243E">
        <w:rPr>
          <w:vertAlign w:val="superscript"/>
        </w:rPr>
        <w:t>3</w:t>
      </w:r>
      <w:r w:rsidRPr="0053243E">
        <w:t xml:space="preserve"> per hour</w:t>
      </w:r>
      <w:r w:rsidRPr="00584D3D">
        <w:t>.</w:t>
      </w:r>
      <w:r w:rsidR="008B1AF4">
        <w:t>"</w:t>
      </w:r>
    </w:p>
    <w:p w14:paraId="7894BAD7" w14:textId="257B671A" w:rsidR="008673C4" w:rsidRPr="00B13149" w:rsidRDefault="0043326F" w:rsidP="0043326F">
      <w:pPr>
        <w:pStyle w:val="HChG"/>
      </w:pPr>
      <w:r>
        <w:tab/>
      </w:r>
      <w:r w:rsidR="00FF42CA">
        <w:t>II.</w:t>
      </w:r>
      <w:r>
        <w:tab/>
      </w:r>
      <w:r w:rsidR="008673C4" w:rsidRPr="00B13149">
        <w:t>Annex 1</w:t>
      </w:r>
      <w:r>
        <w:t xml:space="preserve">, </w:t>
      </w:r>
      <w:r w:rsidR="008673C4" w:rsidRPr="00B13149">
        <w:t>Appendix 3</w:t>
      </w:r>
    </w:p>
    <w:p w14:paraId="6F8F5A39" w14:textId="46F72BD7" w:rsidR="008673C4" w:rsidRDefault="00FF42CA" w:rsidP="00FF42CA">
      <w:pPr>
        <w:pStyle w:val="SingleTxtG"/>
      </w:pPr>
      <w:r>
        <w:t>15.</w:t>
      </w:r>
      <w:r>
        <w:tab/>
      </w:r>
      <w:r w:rsidR="008673C4" w:rsidRPr="00584D3D">
        <w:t>The ATP certificate will need to be amended with a new section below in Annex 1, Appendix 3.</w:t>
      </w:r>
    </w:p>
    <w:p w14:paraId="3356F83E" w14:textId="5D6A0FE2" w:rsidR="008673C4" w:rsidRDefault="008A158C" w:rsidP="004E040F">
      <w:pPr>
        <w:pStyle w:val="SingleTxtG"/>
      </w:pPr>
      <w:r>
        <w:t>"</w:t>
      </w:r>
      <w:r w:rsidR="008673C4" w:rsidRPr="00584D3D">
        <w:t>7.2.6 XX air changes/hour</w:t>
      </w:r>
      <w:r>
        <w:t>"</w:t>
      </w:r>
    </w:p>
    <w:p w14:paraId="4762F305" w14:textId="630E8DB4" w:rsidR="008673C4" w:rsidRDefault="004E040F" w:rsidP="00FF42CA">
      <w:pPr>
        <w:pStyle w:val="SingleTxtG"/>
      </w:pPr>
      <w:r>
        <w:t>16.</w:t>
      </w:r>
      <w:r>
        <w:tab/>
      </w:r>
      <w:r w:rsidR="008673C4">
        <w:t>New footnote added after footnote 10</w:t>
      </w:r>
      <w:r w:rsidR="008A158C">
        <w:t>:</w:t>
      </w:r>
    </w:p>
    <w:p w14:paraId="58A298B2" w14:textId="2E4F4CBE" w:rsidR="008673C4" w:rsidRPr="00584D3D" w:rsidRDefault="00D17FFD" w:rsidP="000302AF">
      <w:pPr>
        <w:pStyle w:val="FootnoteText"/>
        <w:spacing w:after="240"/>
      </w:pPr>
      <w:r>
        <w:tab/>
      </w:r>
      <w:r>
        <w:tab/>
      </w:r>
      <w:r w:rsidR="008A158C">
        <w:t>"</w:t>
      </w:r>
      <w:r w:rsidR="008673C4" w:rsidRPr="00D17FFD">
        <w:rPr>
          <w:rStyle w:val="FootnoteReference"/>
        </w:rPr>
        <w:t>11</w:t>
      </w:r>
      <w:r w:rsidR="008673C4">
        <w:tab/>
      </w:r>
      <w:r w:rsidR="008673C4" w:rsidRPr="00584D3D">
        <w:t xml:space="preserve">Where XX is the number of air changes per hour calculated by dividing the total airflow of the </w:t>
      </w:r>
      <w:r w:rsidR="008673C4">
        <w:t>circulation</w:t>
      </w:r>
      <w:r w:rsidR="008673C4" w:rsidRPr="00584D3D">
        <w:t xml:space="preserve"> fans by the total internal volume of the equipment.</w:t>
      </w:r>
      <w:r w:rsidR="008673C4">
        <w:t xml:space="preserve"> In the case of multi-compartment equipment with movable bulkheads, the </w:t>
      </w:r>
      <w:r w:rsidR="008673C4" w:rsidRPr="00584D3D">
        <w:t xml:space="preserve">total airflow of </w:t>
      </w:r>
      <w:r w:rsidR="008673C4">
        <w:t>the</w:t>
      </w:r>
      <w:r w:rsidR="008673C4" w:rsidRPr="00584D3D">
        <w:t xml:space="preserve"> </w:t>
      </w:r>
      <w:r w:rsidR="008673C4">
        <w:t>circulation</w:t>
      </w:r>
      <w:r w:rsidR="008673C4" w:rsidRPr="00584D3D">
        <w:t xml:space="preserve"> fans</w:t>
      </w:r>
      <w:r w:rsidR="008673C4">
        <w:t xml:space="preserve"> has to be divided by the maximum internal volume of each compartment.</w:t>
      </w:r>
      <w:r w:rsidR="008A158C">
        <w:t>"</w:t>
      </w:r>
    </w:p>
    <w:p w14:paraId="6396E620" w14:textId="24D1F014" w:rsidR="008673C4" w:rsidRDefault="00D17FFD" w:rsidP="00FF42CA">
      <w:pPr>
        <w:pStyle w:val="SingleTxtG"/>
      </w:pPr>
      <w:r>
        <w:t>17.</w:t>
      </w:r>
      <w:r>
        <w:tab/>
      </w:r>
      <w:r w:rsidR="008673C4" w:rsidRPr="00D2504E">
        <w:t>Original footnotes 11 to 15 to be renamed 12 to 16.</w:t>
      </w:r>
    </w:p>
    <w:p w14:paraId="405E037F" w14:textId="5F075E5D" w:rsidR="008673C4" w:rsidRPr="00B13149" w:rsidRDefault="00443D03" w:rsidP="00443D03">
      <w:pPr>
        <w:pStyle w:val="HChG"/>
      </w:pPr>
      <w:r>
        <w:tab/>
        <w:t>III.</w:t>
      </w:r>
      <w:r>
        <w:tab/>
      </w:r>
      <w:r w:rsidR="008673C4" w:rsidRPr="00B13149">
        <w:t>The following could be added to the ATP handbook for additional explanation:</w:t>
      </w:r>
    </w:p>
    <w:p w14:paraId="60EF3816" w14:textId="28BF631F" w:rsidR="008673C4" w:rsidRPr="00B13149" w:rsidRDefault="007A63EA" w:rsidP="00FF42CA">
      <w:pPr>
        <w:pStyle w:val="SingleTxtG"/>
      </w:pPr>
      <w:r>
        <w:t>"</w:t>
      </w:r>
      <w:r w:rsidR="008673C4" w:rsidRPr="00B13149">
        <w:t xml:space="preserve">Airflow is an essential parameter within temperature-controlled transport. </w:t>
      </w:r>
    </w:p>
    <w:p w14:paraId="54477E21" w14:textId="77777777" w:rsidR="008673C4" w:rsidRDefault="008673C4" w:rsidP="00FF42CA">
      <w:pPr>
        <w:pStyle w:val="SingleTxtG"/>
      </w:pPr>
      <w:r w:rsidRPr="00B13149">
        <w:t>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freezing or chilling damage. Some chilled cargoes are metabolically active and therefore require higher airflow to remove that heat.</w:t>
      </w:r>
    </w:p>
    <w:p w14:paraId="0DE141AE" w14:textId="77777777" w:rsidR="008673C4" w:rsidRDefault="008673C4" w:rsidP="00FF42CA">
      <w:pPr>
        <w:pStyle w:val="SingleTxtG"/>
      </w:pPr>
      <w:r w:rsidRPr="00B13149">
        <w:t>Intermittent fan operation should not be used for sensitive cargo where close temperature distribution is required. Generally, start/stop operation of the unit when the evaporator fans/unit are allowed to cycle sh</w:t>
      </w:r>
      <w:r>
        <w:t xml:space="preserve">all </w:t>
      </w:r>
      <w:r w:rsidRPr="00B13149">
        <w:t>be used only for frozen goods transportation.</w:t>
      </w:r>
    </w:p>
    <w:p w14:paraId="69F61A11" w14:textId="77777777" w:rsidR="008673C4" w:rsidRDefault="008673C4" w:rsidP="009A4F9B">
      <w:pPr>
        <w:pStyle w:val="Heading1"/>
      </w:pPr>
      <w:r w:rsidRPr="00584D3D">
        <w:t>Table 1</w:t>
      </w:r>
    </w:p>
    <w:p w14:paraId="2152EAD3" w14:textId="77777777" w:rsidR="008673C4" w:rsidRDefault="008673C4" w:rsidP="008673C4">
      <w:pPr>
        <w:keepNext/>
        <w:keepLines/>
        <w:spacing w:after="120"/>
        <w:ind w:left="1134" w:right="1133"/>
        <w:jc w:val="both"/>
        <w:rPr>
          <w:rFonts w:asciiTheme="majorBidi" w:hAnsiTheme="majorBidi" w:cstheme="majorBidi"/>
          <w:b/>
          <w:bCs/>
        </w:rPr>
      </w:pPr>
      <w:r w:rsidRPr="000B7CF3">
        <w:rPr>
          <w:rFonts w:asciiTheme="majorBidi" w:hAnsiTheme="majorBidi" w:cstheme="majorBidi"/>
          <w:b/>
          <w:bCs/>
        </w:rPr>
        <w:t>Examples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9A5AC0" w:rsidRPr="008250C8" w14:paraId="1E3EFCA7" w14:textId="77777777" w:rsidTr="00EB6751">
        <w:trPr>
          <w:tblHeader/>
        </w:trPr>
        <w:tc>
          <w:tcPr>
            <w:tcW w:w="2029" w:type="dxa"/>
            <w:gridSpan w:val="2"/>
            <w:tcBorders>
              <w:top w:val="single" w:sz="4" w:space="0" w:color="auto"/>
              <w:bottom w:val="single" w:sz="12" w:space="0" w:color="auto"/>
            </w:tcBorders>
            <w:shd w:val="clear" w:color="auto" w:fill="auto"/>
            <w:vAlign w:val="bottom"/>
            <w:hideMark/>
          </w:tcPr>
          <w:p w14:paraId="6619D17C" w14:textId="77777777" w:rsidR="009A5AC0" w:rsidRPr="008250C8" w:rsidRDefault="009A5AC0" w:rsidP="00EB6751">
            <w:pPr>
              <w:suppressAutoHyphens w:val="0"/>
              <w:autoSpaceDE w:val="0"/>
              <w:autoSpaceDN w:val="0"/>
              <w:adjustRightInd w:val="0"/>
              <w:spacing w:before="80" w:after="80" w:line="200" w:lineRule="exact"/>
              <w:rPr>
                <w:bCs/>
                <w:i/>
                <w:sz w:val="16"/>
                <w:szCs w:val="16"/>
              </w:rPr>
            </w:pPr>
            <w:r w:rsidRPr="008250C8">
              <w:rPr>
                <w:i/>
                <w:sz w:val="16"/>
                <w:szCs w:val="16"/>
              </w:rPr>
              <w:t>Type of goods</w:t>
            </w:r>
          </w:p>
        </w:tc>
        <w:tc>
          <w:tcPr>
            <w:tcW w:w="514" w:type="dxa"/>
            <w:tcBorders>
              <w:top w:val="single" w:sz="4" w:space="0" w:color="auto"/>
              <w:bottom w:val="single" w:sz="12" w:space="0" w:color="auto"/>
            </w:tcBorders>
            <w:shd w:val="clear" w:color="auto" w:fill="auto"/>
            <w:vAlign w:val="bottom"/>
            <w:hideMark/>
          </w:tcPr>
          <w:p w14:paraId="07866EC6"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5E414CB3" wp14:editId="0A284580">
                  <wp:extent cx="18097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4B54448C"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bCs/>
                <w:i/>
                <w:sz w:val="16"/>
                <w:szCs w:val="16"/>
              </w:rPr>
              <w:t>Temperature range</w:t>
            </w:r>
          </w:p>
          <w:p w14:paraId="7AD6858C"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bCs/>
                <w:i/>
                <w:sz w:val="16"/>
                <w:szCs w:val="16"/>
              </w:rPr>
              <w:t>[°C]</w:t>
            </w:r>
          </w:p>
        </w:tc>
        <w:tc>
          <w:tcPr>
            <w:tcW w:w="514" w:type="dxa"/>
            <w:tcBorders>
              <w:top w:val="single" w:sz="4" w:space="0" w:color="auto"/>
              <w:bottom w:val="single" w:sz="12" w:space="0" w:color="auto"/>
            </w:tcBorders>
            <w:shd w:val="clear" w:color="auto" w:fill="auto"/>
            <w:vAlign w:val="bottom"/>
            <w:hideMark/>
          </w:tcPr>
          <w:p w14:paraId="12CE5222"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45FEE424" wp14:editId="5E830C19">
                  <wp:extent cx="1905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1031A903"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bCs/>
                <w:i/>
                <w:sz w:val="16"/>
                <w:szCs w:val="16"/>
              </w:rPr>
              <w:t xml:space="preserve">Sensitivity </w:t>
            </w:r>
            <w:r w:rsidRPr="008250C8">
              <w:rPr>
                <w:bCs/>
                <w:i/>
                <w:sz w:val="16"/>
                <w:szCs w:val="16"/>
              </w:rPr>
              <w:br/>
              <w:t>to humidity</w:t>
            </w:r>
          </w:p>
        </w:tc>
        <w:tc>
          <w:tcPr>
            <w:tcW w:w="760" w:type="dxa"/>
            <w:tcBorders>
              <w:top w:val="single" w:sz="4" w:space="0" w:color="auto"/>
              <w:bottom w:val="single" w:sz="12" w:space="0" w:color="auto"/>
            </w:tcBorders>
            <w:shd w:val="clear" w:color="auto" w:fill="auto"/>
            <w:vAlign w:val="bottom"/>
            <w:hideMark/>
          </w:tcPr>
          <w:p w14:paraId="5C2D9694"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6473FECF" wp14:editId="51034256">
                  <wp:extent cx="2476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5BF69856" w14:textId="77777777" w:rsidR="009A5AC0" w:rsidRPr="008250C8" w:rsidRDefault="009A5AC0" w:rsidP="00EB6751">
            <w:pPr>
              <w:suppressAutoHyphens w:val="0"/>
              <w:autoSpaceDE w:val="0"/>
              <w:autoSpaceDN w:val="0"/>
              <w:adjustRightInd w:val="0"/>
              <w:spacing w:before="80" w:after="80" w:line="200" w:lineRule="exact"/>
              <w:jc w:val="right"/>
              <w:rPr>
                <w:bCs/>
                <w:i/>
                <w:sz w:val="16"/>
                <w:szCs w:val="16"/>
              </w:rPr>
            </w:pPr>
            <w:r w:rsidRPr="008250C8">
              <w:rPr>
                <w:bCs/>
                <w:i/>
                <w:sz w:val="16"/>
                <w:szCs w:val="16"/>
              </w:rPr>
              <w:t>Recommended airflow rate [</w:t>
            </w:r>
            <w:r w:rsidRPr="008250C8">
              <w:rPr>
                <w:bCs/>
                <w:i/>
                <w:sz w:val="16"/>
                <w:szCs w:val="24"/>
              </w:rPr>
              <w:t>times/empty volume of equipment]</w:t>
            </w:r>
          </w:p>
        </w:tc>
      </w:tr>
      <w:tr w:rsidR="009A5AC0" w:rsidRPr="008250C8" w14:paraId="6CCB774D" w14:textId="77777777" w:rsidTr="00EB6751">
        <w:tc>
          <w:tcPr>
            <w:tcW w:w="1736" w:type="dxa"/>
            <w:tcBorders>
              <w:top w:val="single" w:sz="12" w:space="0" w:color="auto"/>
            </w:tcBorders>
            <w:shd w:val="clear" w:color="auto" w:fill="auto"/>
            <w:hideMark/>
          </w:tcPr>
          <w:p w14:paraId="716F4B3C" w14:textId="77777777" w:rsidR="009A5AC0" w:rsidRPr="008250C8" w:rsidRDefault="009A5AC0" w:rsidP="00EB6751">
            <w:pPr>
              <w:suppressAutoHyphens w:val="0"/>
              <w:autoSpaceDE w:val="0"/>
              <w:autoSpaceDN w:val="0"/>
              <w:adjustRightInd w:val="0"/>
              <w:spacing w:before="40" w:after="40" w:line="220" w:lineRule="exact"/>
              <w:rPr>
                <w:b/>
                <w:sz w:val="18"/>
                <w:szCs w:val="16"/>
              </w:rPr>
            </w:pPr>
            <w:r w:rsidRPr="008250C8">
              <w:rPr>
                <w:b/>
                <w:sz w:val="18"/>
                <w:szCs w:val="16"/>
              </w:rPr>
              <w:t>Hanging meat</w:t>
            </w:r>
          </w:p>
        </w:tc>
        <w:tc>
          <w:tcPr>
            <w:tcW w:w="293" w:type="dxa"/>
            <w:tcBorders>
              <w:top w:val="single" w:sz="12" w:space="0" w:color="auto"/>
            </w:tcBorders>
            <w:shd w:val="clear" w:color="auto" w:fill="auto"/>
          </w:tcPr>
          <w:p w14:paraId="55A64251" w14:textId="77777777" w:rsidR="009A5AC0" w:rsidRPr="008250C8" w:rsidRDefault="009A5AC0" w:rsidP="00EB6751">
            <w:pPr>
              <w:suppressAutoHyphens w:val="0"/>
              <w:autoSpaceDE w:val="0"/>
              <w:autoSpaceDN w:val="0"/>
              <w:adjustRightInd w:val="0"/>
              <w:spacing w:before="40" w:after="40" w:line="220" w:lineRule="exact"/>
              <w:rPr>
                <w:b/>
                <w:bCs/>
                <w:sz w:val="18"/>
                <w:szCs w:val="24"/>
                <w:u w:val="single"/>
              </w:rPr>
            </w:pPr>
          </w:p>
        </w:tc>
        <w:tc>
          <w:tcPr>
            <w:tcW w:w="1610" w:type="dxa"/>
            <w:gridSpan w:val="2"/>
            <w:tcBorders>
              <w:top w:val="single" w:sz="12" w:space="0" w:color="auto"/>
            </w:tcBorders>
            <w:shd w:val="clear" w:color="auto" w:fill="auto"/>
            <w:vAlign w:val="bottom"/>
            <w:hideMark/>
          </w:tcPr>
          <w:p w14:paraId="664B11A3"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-1/+1°C</w:t>
            </w:r>
          </w:p>
        </w:tc>
        <w:tc>
          <w:tcPr>
            <w:tcW w:w="1587" w:type="dxa"/>
            <w:gridSpan w:val="2"/>
            <w:tcBorders>
              <w:top w:val="single" w:sz="12" w:space="0" w:color="auto"/>
            </w:tcBorders>
            <w:shd w:val="clear" w:color="auto" w:fill="auto"/>
            <w:vAlign w:val="bottom"/>
            <w:hideMark/>
          </w:tcPr>
          <w:p w14:paraId="68F08FDA"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tcBorders>
              <w:top w:val="single" w:sz="12" w:space="0" w:color="auto"/>
            </w:tcBorders>
            <w:shd w:val="clear" w:color="auto" w:fill="auto"/>
            <w:vAlign w:val="bottom"/>
            <w:hideMark/>
          </w:tcPr>
          <w:p w14:paraId="6FCB7EC6"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–90 </w:t>
            </w:r>
          </w:p>
        </w:tc>
      </w:tr>
      <w:tr w:rsidR="009A5AC0" w:rsidRPr="008250C8" w14:paraId="0BDF233F" w14:textId="77777777" w:rsidTr="00EB6751">
        <w:tc>
          <w:tcPr>
            <w:tcW w:w="1736" w:type="dxa"/>
            <w:shd w:val="clear" w:color="auto" w:fill="auto"/>
            <w:hideMark/>
          </w:tcPr>
          <w:p w14:paraId="54ACAB19" w14:textId="77777777" w:rsidR="009A5AC0" w:rsidRPr="008250C8" w:rsidRDefault="009A5AC0" w:rsidP="00EB6751">
            <w:pPr>
              <w:suppressAutoHyphens w:val="0"/>
              <w:autoSpaceDE w:val="0"/>
              <w:autoSpaceDN w:val="0"/>
              <w:adjustRightInd w:val="0"/>
              <w:spacing w:before="40" w:after="40" w:line="220" w:lineRule="exact"/>
              <w:rPr>
                <w:b/>
                <w:sz w:val="18"/>
                <w:szCs w:val="16"/>
              </w:rPr>
            </w:pPr>
            <w:r w:rsidRPr="008250C8">
              <w:rPr>
                <w:b/>
                <w:sz w:val="18"/>
                <w:szCs w:val="16"/>
              </w:rPr>
              <w:t>Chilled products</w:t>
            </w:r>
          </w:p>
        </w:tc>
        <w:tc>
          <w:tcPr>
            <w:tcW w:w="293" w:type="dxa"/>
            <w:shd w:val="clear" w:color="auto" w:fill="auto"/>
          </w:tcPr>
          <w:p w14:paraId="7F2CCE19" w14:textId="77777777" w:rsidR="009A5AC0" w:rsidRPr="008250C8" w:rsidRDefault="009A5AC0" w:rsidP="00EB6751">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74EB841F"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-1/+6°C</w:t>
            </w:r>
          </w:p>
        </w:tc>
        <w:tc>
          <w:tcPr>
            <w:tcW w:w="1587" w:type="dxa"/>
            <w:gridSpan w:val="2"/>
            <w:shd w:val="clear" w:color="auto" w:fill="auto"/>
            <w:vAlign w:val="bottom"/>
            <w:hideMark/>
          </w:tcPr>
          <w:p w14:paraId="0A38A0F6"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shd w:val="clear" w:color="auto" w:fill="auto"/>
            <w:vAlign w:val="bottom"/>
            <w:hideMark/>
          </w:tcPr>
          <w:p w14:paraId="3983AF0C"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 90 </w:t>
            </w:r>
          </w:p>
        </w:tc>
      </w:tr>
      <w:tr w:rsidR="009A5AC0" w:rsidRPr="008250C8" w14:paraId="1E1E8ADD" w14:textId="77777777" w:rsidTr="00EB6751">
        <w:tc>
          <w:tcPr>
            <w:tcW w:w="1736" w:type="dxa"/>
            <w:shd w:val="clear" w:color="auto" w:fill="auto"/>
          </w:tcPr>
          <w:p w14:paraId="0A57F118" w14:textId="77777777" w:rsidR="009A5AC0" w:rsidRPr="008250C8" w:rsidRDefault="009A5AC0" w:rsidP="00EB6751">
            <w:pPr>
              <w:suppressAutoHyphens w:val="0"/>
              <w:autoSpaceDE w:val="0"/>
              <w:autoSpaceDN w:val="0"/>
              <w:adjustRightInd w:val="0"/>
              <w:spacing w:before="40" w:after="40" w:line="220" w:lineRule="exact"/>
              <w:rPr>
                <w:b/>
                <w:sz w:val="18"/>
                <w:szCs w:val="16"/>
              </w:rPr>
            </w:pPr>
          </w:p>
        </w:tc>
        <w:tc>
          <w:tcPr>
            <w:tcW w:w="293" w:type="dxa"/>
            <w:shd w:val="clear" w:color="auto" w:fill="auto"/>
          </w:tcPr>
          <w:p w14:paraId="6AC8EAF3" w14:textId="77777777" w:rsidR="009A5AC0" w:rsidRPr="008250C8" w:rsidRDefault="009A5AC0" w:rsidP="00EB6751">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tcPr>
          <w:p w14:paraId="38EA6630"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p>
        </w:tc>
        <w:tc>
          <w:tcPr>
            <w:tcW w:w="1587" w:type="dxa"/>
            <w:gridSpan w:val="2"/>
            <w:shd w:val="clear" w:color="auto" w:fill="auto"/>
            <w:vAlign w:val="bottom"/>
          </w:tcPr>
          <w:p w14:paraId="135F074C"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p>
        </w:tc>
        <w:tc>
          <w:tcPr>
            <w:tcW w:w="2144" w:type="dxa"/>
            <w:gridSpan w:val="3"/>
            <w:shd w:val="clear" w:color="auto" w:fill="auto"/>
            <w:vAlign w:val="bottom"/>
          </w:tcPr>
          <w:p w14:paraId="3FA7A981"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p>
        </w:tc>
      </w:tr>
      <w:tr w:rsidR="009A5AC0" w:rsidRPr="008250C8" w14:paraId="4254D640" w14:textId="77777777" w:rsidTr="00EB6751">
        <w:tc>
          <w:tcPr>
            <w:tcW w:w="1736" w:type="dxa"/>
            <w:shd w:val="clear" w:color="auto" w:fill="auto"/>
            <w:hideMark/>
          </w:tcPr>
          <w:p w14:paraId="14C20153" w14:textId="77777777" w:rsidR="009A5AC0" w:rsidRPr="008250C8" w:rsidRDefault="009A5AC0" w:rsidP="00EB6751">
            <w:pPr>
              <w:suppressAutoHyphens w:val="0"/>
              <w:autoSpaceDE w:val="0"/>
              <w:autoSpaceDN w:val="0"/>
              <w:adjustRightInd w:val="0"/>
              <w:spacing w:before="40" w:after="40" w:line="220" w:lineRule="exact"/>
              <w:rPr>
                <w:b/>
                <w:sz w:val="18"/>
                <w:szCs w:val="16"/>
              </w:rPr>
            </w:pPr>
            <w:r w:rsidRPr="008250C8">
              <w:rPr>
                <w:b/>
                <w:sz w:val="18"/>
                <w:szCs w:val="16"/>
              </w:rPr>
              <w:t>Frozen foods</w:t>
            </w:r>
          </w:p>
        </w:tc>
        <w:tc>
          <w:tcPr>
            <w:tcW w:w="293" w:type="dxa"/>
            <w:shd w:val="clear" w:color="auto" w:fill="auto"/>
          </w:tcPr>
          <w:p w14:paraId="71B99A1A" w14:textId="77777777" w:rsidR="009A5AC0" w:rsidRPr="008250C8" w:rsidRDefault="009A5AC0" w:rsidP="00EB6751">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7859C630"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&lt; -18°C</w:t>
            </w:r>
          </w:p>
        </w:tc>
        <w:tc>
          <w:tcPr>
            <w:tcW w:w="1587" w:type="dxa"/>
            <w:gridSpan w:val="2"/>
            <w:shd w:val="clear" w:color="auto" w:fill="auto"/>
            <w:vAlign w:val="bottom"/>
            <w:hideMark/>
          </w:tcPr>
          <w:p w14:paraId="27150B43"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No</w:t>
            </w:r>
          </w:p>
        </w:tc>
        <w:tc>
          <w:tcPr>
            <w:tcW w:w="2144" w:type="dxa"/>
            <w:gridSpan w:val="3"/>
            <w:shd w:val="clear" w:color="auto" w:fill="auto"/>
            <w:vAlign w:val="bottom"/>
            <w:hideMark/>
          </w:tcPr>
          <w:p w14:paraId="6D5DCB80"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40 – 60 </w:t>
            </w:r>
          </w:p>
        </w:tc>
      </w:tr>
      <w:tr w:rsidR="009A5AC0" w:rsidRPr="008250C8" w14:paraId="2A32144B" w14:textId="77777777" w:rsidTr="00EB6751">
        <w:tc>
          <w:tcPr>
            <w:tcW w:w="1736" w:type="dxa"/>
            <w:tcBorders>
              <w:bottom w:val="single" w:sz="12" w:space="0" w:color="auto"/>
            </w:tcBorders>
            <w:shd w:val="clear" w:color="auto" w:fill="auto"/>
            <w:hideMark/>
          </w:tcPr>
          <w:p w14:paraId="4BAC2CB1" w14:textId="77777777" w:rsidR="009A5AC0" w:rsidRPr="008250C8" w:rsidRDefault="009A5AC0" w:rsidP="00EB6751">
            <w:pPr>
              <w:suppressAutoHyphens w:val="0"/>
              <w:autoSpaceDE w:val="0"/>
              <w:autoSpaceDN w:val="0"/>
              <w:adjustRightInd w:val="0"/>
              <w:spacing w:before="40" w:after="40" w:line="220" w:lineRule="exact"/>
              <w:rPr>
                <w:b/>
                <w:sz w:val="18"/>
                <w:szCs w:val="16"/>
              </w:rPr>
            </w:pPr>
            <w:r w:rsidRPr="008250C8">
              <w:rPr>
                <w:b/>
                <w:sz w:val="18"/>
                <w:szCs w:val="16"/>
              </w:rPr>
              <w:t xml:space="preserve">Ice cream </w:t>
            </w:r>
          </w:p>
        </w:tc>
        <w:tc>
          <w:tcPr>
            <w:tcW w:w="293" w:type="dxa"/>
            <w:tcBorders>
              <w:bottom w:val="single" w:sz="12" w:space="0" w:color="auto"/>
            </w:tcBorders>
            <w:shd w:val="clear" w:color="auto" w:fill="auto"/>
          </w:tcPr>
          <w:p w14:paraId="273B5B2B" w14:textId="77777777" w:rsidR="009A5AC0" w:rsidRPr="008250C8" w:rsidRDefault="009A5AC0" w:rsidP="00EB6751">
            <w:pPr>
              <w:suppressAutoHyphens w:val="0"/>
              <w:autoSpaceDE w:val="0"/>
              <w:autoSpaceDN w:val="0"/>
              <w:adjustRightInd w:val="0"/>
              <w:spacing w:before="40" w:after="40" w:line="220" w:lineRule="exact"/>
              <w:rPr>
                <w:b/>
                <w:bCs/>
                <w:sz w:val="18"/>
                <w:szCs w:val="24"/>
                <w:u w:val="single"/>
              </w:rPr>
            </w:pPr>
          </w:p>
        </w:tc>
        <w:tc>
          <w:tcPr>
            <w:tcW w:w="1610" w:type="dxa"/>
            <w:gridSpan w:val="2"/>
            <w:tcBorders>
              <w:bottom w:val="single" w:sz="12" w:space="0" w:color="auto"/>
            </w:tcBorders>
            <w:shd w:val="clear" w:color="auto" w:fill="auto"/>
            <w:vAlign w:val="bottom"/>
            <w:hideMark/>
          </w:tcPr>
          <w:p w14:paraId="2B25446F"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&lt; -20 °C </w:t>
            </w:r>
          </w:p>
        </w:tc>
        <w:tc>
          <w:tcPr>
            <w:tcW w:w="1587" w:type="dxa"/>
            <w:gridSpan w:val="2"/>
            <w:tcBorders>
              <w:bottom w:val="single" w:sz="12" w:space="0" w:color="auto"/>
            </w:tcBorders>
            <w:shd w:val="clear" w:color="auto" w:fill="auto"/>
            <w:vAlign w:val="bottom"/>
            <w:hideMark/>
          </w:tcPr>
          <w:p w14:paraId="4FBF188F"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low</w:t>
            </w:r>
          </w:p>
        </w:tc>
        <w:tc>
          <w:tcPr>
            <w:tcW w:w="2144" w:type="dxa"/>
            <w:gridSpan w:val="3"/>
            <w:tcBorders>
              <w:bottom w:val="single" w:sz="12" w:space="0" w:color="auto"/>
            </w:tcBorders>
            <w:shd w:val="clear" w:color="auto" w:fill="auto"/>
            <w:vAlign w:val="bottom"/>
            <w:hideMark/>
          </w:tcPr>
          <w:p w14:paraId="711E15AA" w14:textId="77777777" w:rsidR="009A5AC0" w:rsidRPr="008250C8" w:rsidRDefault="009A5AC0" w:rsidP="00EB6751">
            <w:pPr>
              <w:suppressAutoHyphens w:val="0"/>
              <w:autoSpaceDE w:val="0"/>
              <w:autoSpaceDN w:val="0"/>
              <w:adjustRightInd w:val="0"/>
              <w:spacing w:before="40" w:after="40" w:line="220" w:lineRule="exact"/>
              <w:jc w:val="right"/>
              <w:rPr>
                <w:bCs/>
                <w:sz w:val="18"/>
                <w:szCs w:val="24"/>
              </w:rPr>
            </w:pPr>
            <w:r w:rsidRPr="008250C8">
              <w:rPr>
                <w:bCs/>
                <w:sz w:val="18"/>
                <w:szCs w:val="24"/>
              </w:rPr>
              <w:t>40 – 60</w:t>
            </w:r>
          </w:p>
        </w:tc>
      </w:tr>
    </w:tbl>
    <w:p w14:paraId="56AFE010" w14:textId="30E971E3" w:rsidR="008673C4" w:rsidRPr="007515A2" w:rsidRDefault="007A63EA" w:rsidP="007A63EA">
      <w:pPr>
        <w:pStyle w:val="HChG"/>
        <w:keepNext w:val="0"/>
        <w:keepLines w:val="0"/>
        <w:ind w:left="0" w:firstLine="0"/>
        <w:rPr>
          <w:rFonts w:asciiTheme="majorBidi" w:eastAsiaTheme="minorEastAsia" w:hAnsiTheme="majorBidi" w:cstheme="majorBidi"/>
          <w:b w:val="0"/>
          <w:sz w:val="20"/>
        </w:rPr>
      </w:pPr>
      <w:r>
        <w:rPr>
          <w:rFonts w:asciiTheme="majorBidi" w:eastAsiaTheme="minorEastAsia" w:hAnsiTheme="majorBidi" w:cstheme="majorBidi"/>
          <w:b w:val="0"/>
          <w:sz w:val="20"/>
        </w:rPr>
        <w:t>"</w:t>
      </w:r>
    </w:p>
    <w:p w14:paraId="3433B681" w14:textId="3555F158" w:rsidR="008673C4" w:rsidRPr="00B13149" w:rsidRDefault="0070400E" w:rsidP="0070400E">
      <w:pPr>
        <w:pStyle w:val="HChG"/>
      </w:pPr>
      <w:r>
        <w:tab/>
        <w:t>I</w:t>
      </w:r>
      <w:r w:rsidR="0056044D">
        <w:t>V</w:t>
      </w:r>
      <w:r>
        <w:t>.</w:t>
      </w:r>
      <w:r>
        <w:tab/>
      </w:r>
      <w:r w:rsidR="008673C4" w:rsidRPr="00B13149">
        <w:t>Impact</w:t>
      </w:r>
    </w:p>
    <w:p w14:paraId="31B85AA6" w14:textId="566AAC05" w:rsidR="008673C4" w:rsidRPr="0070400E" w:rsidRDefault="00FC5992" w:rsidP="0070400E">
      <w:pPr>
        <w:pStyle w:val="SingleTxtG"/>
      </w:pPr>
      <w:r>
        <w:t>18.</w:t>
      </w:r>
      <w:r>
        <w:tab/>
      </w:r>
      <w:r w:rsidR="008673C4" w:rsidRPr="0070400E">
        <w:t>This change would modernise ATP and a positive impact would be that food safety and quality would improve. The financial impact to industry is that there would be an additional cost for an airflow test in cases where it is not carried out already.</w:t>
      </w:r>
    </w:p>
    <w:p w14:paraId="59B66E95" w14:textId="781146F7" w:rsidR="008673C4" w:rsidRPr="0070400E" w:rsidRDefault="00FC5992" w:rsidP="0070400E">
      <w:pPr>
        <w:pStyle w:val="SingleTxtG"/>
      </w:pPr>
      <w:r>
        <w:lastRenderedPageBreak/>
        <w:t>19.</w:t>
      </w:r>
      <w:r>
        <w:tab/>
      </w:r>
      <w:r w:rsidR="008673C4" w:rsidRPr="0070400E">
        <w:t xml:space="preserve">A defined flowrate for the secondary refrigerant would help ensure all products within the cargo space meet the requirements of Annex 2 and 3. </w:t>
      </w:r>
    </w:p>
    <w:p w14:paraId="60113EA9" w14:textId="3E8355E9" w:rsidR="008673C4" w:rsidRPr="0070400E" w:rsidRDefault="00FC5992" w:rsidP="0070400E">
      <w:pPr>
        <w:pStyle w:val="SingleTxtG"/>
      </w:pPr>
      <w:r>
        <w:t>20.</w:t>
      </w:r>
      <w:r>
        <w:tab/>
      </w:r>
      <w:r w:rsidR="008673C4" w:rsidRPr="0070400E">
        <w:t>However, the airflow result is required in the machine test report and therefore there appears an inconsistency.</w:t>
      </w:r>
    </w:p>
    <w:p w14:paraId="6AFED9AF" w14:textId="37456B03" w:rsidR="008673C4" w:rsidRPr="0070400E" w:rsidRDefault="0070400E" w:rsidP="0070400E">
      <w:pPr>
        <w:spacing w:before="240"/>
        <w:jc w:val="center"/>
        <w:rPr>
          <w:u w:val="single"/>
        </w:rPr>
      </w:pPr>
      <w:r>
        <w:rPr>
          <w:u w:val="single"/>
        </w:rPr>
        <w:tab/>
      </w:r>
      <w:r>
        <w:rPr>
          <w:u w:val="single"/>
        </w:rPr>
        <w:tab/>
      </w:r>
      <w:r>
        <w:rPr>
          <w:u w:val="single"/>
        </w:rPr>
        <w:tab/>
      </w:r>
    </w:p>
    <w:sectPr w:rsidR="008673C4" w:rsidRPr="0070400E" w:rsidSect="00B90054">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49B0" w14:textId="77777777" w:rsidR="004430F9" w:rsidRDefault="004430F9"/>
  </w:endnote>
  <w:endnote w:type="continuationSeparator" w:id="0">
    <w:p w14:paraId="38CF6BD5" w14:textId="77777777" w:rsidR="004430F9" w:rsidRDefault="004430F9"/>
  </w:endnote>
  <w:endnote w:type="continuationNotice" w:id="1">
    <w:p w14:paraId="31346CBC" w14:textId="77777777" w:rsidR="004430F9" w:rsidRDefault="0044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CB22" w14:textId="15BD7FF5" w:rsidR="00B90054" w:rsidRPr="00B90054" w:rsidRDefault="00B90054" w:rsidP="00B90054">
    <w:pPr>
      <w:pStyle w:val="Footer"/>
      <w:tabs>
        <w:tab w:val="right" w:pos="9638"/>
      </w:tabs>
      <w:rPr>
        <w:sz w:val="18"/>
      </w:rPr>
    </w:pPr>
    <w:r w:rsidRPr="00B90054">
      <w:rPr>
        <w:b/>
        <w:sz w:val="18"/>
      </w:rPr>
      <w:fldChar w:fldCharType="begin"/>
    </w:r>
    <w:r w:rsidRPr="00B90054">
      <w:rPr>
        <w:b/>
        <w:sz w:val="18"/>
      </w:rPr>
      <w:instrText xml:space="preserve"> PAGE  \* MERGEFORMAT </w:instrText>
    </w:r>
    <w:r w:rsidRPr="00B90054">
      <w:rPr>
        <w:b/>
        <w:sz w:val="18"/>
      </w:rPr>
      <w:fldChar w:fldCharType="separate"/>
    </w:r>
    <w:r w:rsidRPr="00B90054">
      <w:rPr>
        <w:b/>
        <w:noProof/>
        <w:sz w:val="18"/>
      </w:rPr>
      <w:t>2</w:t>
    </w:r>
    <w:r w:rsidRPr="00B900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E7BC" w14:textId="20996C1A" w:rsidR="00B90054" w:rsidRPr="00B90054" w:rsidRDefault="00B90054" w:rsidP="00B90054">
    <w:pPr>
      <w:pStyle w:val="Footer"/>
      <w:tabs>
        <w:tab w:val="right" w:pos="9638"/>
      </w:tabs>
      <w:rPr>
        <w:b/>
        <w:sz w:val="18"/>
      </w:rPr>
    </w:pPr>
    <w:r>
      <w:tab/>
    </w:r>
    <w:r w:rsidRPr="00B90054">
      <w:rPr>
        <w:b/>
        <w:sz w:val="18"/>
      </w:rPr>
      <w:fldChar w:fldCharType="begin"/>
    </w:r>
    <w:r w:rsidRPr="00B90054">
      <w:rPr>
        <w:b/>
        <w:sz w:val="18"/>
      </w:rPr>
      <w:instrText xml:space="preserve"> PAGE  \* MERGEFORMAT </w:instrText>
    </w:r>
    <w:r w:rsidRPr="00B90054">
      <w:rPr>
        <w:b/>
        <w:sz w:val="18"/>
      </w:rPr>
      <w:fldChar w:fldCharType="separate"/>
    </w:r>
    <w:r w:rsidRPr="00B90054">
      <w:rPr>
        <w:b/>
        <w:noProof/>
        <w:sz w:val="18"/>
      </w:rPr>
      <w:t>3</w:t>
    </w:r>
    <w:r w:rsidRPr="00B900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8CE1" w14:textId="658CF4D9" w:rsidR="001A614F" w:rsidRDefault="001A614F" w:rsidP="001A614F">
    <w:pPr>
      <w:pStyle w:val="Footer"/>
    </w:pPr>
    <w:r w:rsidRPr="0027112F">
      <w:rPr>
        <w:noProof/>
        <w:lang w:val="en-US"/>
      </w:rPr>
      <w:drawing>
        <wp:anchor distT="0" distB="0" distL="114300" distR="114300" simplePos="0" relativeHeight="251659264" behindDoc="0" locked="1" layoutInCell="1" allowOverlap="1" wp14:anchorId="295929BA" wp14:editId="5CA29DCF">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9A2330" w14:textId="5771843C" w:rsidR="001A614F" w:rsidRPr="001A614F" w:rsidRDefault="001A614F" w:rsidP="001A614F">
    <w:pPr>
      <w:pStyle w:val="Footer"/>
      <w:ind w:right="1134"/>
      <w:rPr>
        <w:sz w:val="20"/>
      </w:rPr>
    </w:pPr>
    <w:r>
      <w:rPr>
        <w:sz w:val="20"/>
      </w:rPr>
      <w:t>GE.22-12360(E)</w:t>
    </w:r>
    <w:r>
      <w:rPr>
        <w:noProof/>
        <w:sz w:val="20"/>
      </w:rPr>
      <w:drawing>
        <wp:anchor distT="0" distB="0" distL="114300" distR="114300" simplePos="0" relativeHeight="251660288" behindDoc="0" locked="0" layoutInCell="1" allowOverlap="1" wp14:anchorId="5EF228BA" wp14:editId="7F6F1FA0">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516B" w14:textId="77777777" w:rsidR="004430F9" w:rsidRPr="000B175B" w:rsidRDefault="004430F9" w:rsidP="000B175B">
      <w:pPr>
        <w:tabs>
          <w:tab w:val="right" w:pos="2155"/>
        </w:tabs>
        <w:spacing w:after="80"/>
        <w:ind w:left="680"/>
        <w:rPr>
          <w:u w:val="single"/>
        </w:rPr>
      </w:pPr>
      <w:r>
        <w:rPr>
          <w:u w:val="single"/>
        </w:rPr>
        <w:tab/>
      </w:r>
    </w:p>
  </w:footnote>
  <w:footnote w:type="continuationSeparator" w:id="0">
    <w:p w14:paraId="2E5CABD4" w14:textId="77777777" w:rsidR="004430F9" w:rsidRPr="00FC68B7" w:rsidRDefault="004430F9" w:rsidP="00FC68B7">
      <w:pPr>
        <w:tabs>
          <w:tab w:val="left" w:pos="2155"/>
        </w:tabs>
        <w:spacing w:after="80"/>
        <w:ind w:left="680"/>
        <w:rPr>
          <w:u w:val="single"/>
        </w:rPr>
      </w:pPr>
      <w:r>
        <w:rPr>
          <w:u w:val="single"/>
        </w:rPr>
        <w:tab/>
      </w:r>
    </w:p>
  </w:footnote>
  <w:footnote w:type="continuationNotice" w:id="1">
    <w:p w14:paraId="7C577494" w14:textId="77777777" w:rsidR="004430F9" w:rsidRDefault="004430F9"/>
  </w:footnote>
  <w:footnote w:id="2">
    <w:p w14:paraId="630CB501" w14:textId="5294E07C" w:rsidR="008673C4" w:rsidRPr="00B3574B" w:rsidRDefault="00F70640" w:rsidP="008673C4">
      <w:pPr>
        <w:pStyle w:val="FootnoteText"/>
        <w:rPr>
          <w:lang w:val="en-US"/>
        </w:rPr>
      </w:pPr>
      <w:r>
        <w:tab/>
      </w:r>
      <w:r w:rsidR="008673C4">
        <w:rPr>
          <w:rStyle w:val="FootnoteReference"/>
        </w:rPr>
        <w:footnoteRef/>
      </w:r>
      <w:r>
        <w:tab/>
      </w:r>
      <w:r w:rsidR="008673C4">
        <w:rPr>
          <w:lang w:val="en-US"/>
        </w:rPr>
        <w:t>Applies to equipment manufactured after the date of entry into force (DD MM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B09F" w14:textId="7B0C27F4" w:rsidR="00B90054" w:rsidRPr="00B90054" w:rsidRDefault="00B90054">
    <w:pPr>
      <w:pStyle w:val="Header"/>
    </w:pPr>
    <w:r>
      <w:t>ECE/TRANS/WP.11/2022/16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000B" w14:textId="033DBDBE" w:rsidR="00B90054" w:rsidRPr="00B90054" w:rsidRDefault="00B90054" w:rsidP="00B90054">
    <w:pPr>
      <w:pStyle w:val="Header"/>
      <w:jc w:val="right"/>
    </w:pPr>
    <w:r>
      <w:t>ECE/TRANS/WP.11/2022/16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54"/>
    <w:rsid w:val="00002A7D"/>
    <w:rsid w:val="000038A8"/>
    <w:rsid w:val="00006790"/>
    <w:rsid w:val="000211BF"/>
    <w:rsid w:val="00027624"/>
    <w:rsid w:val="000302AF"/>
    <w:rsid w:val="00035129"/>
    <w:rsid w:val="00050F6B"/>
    <w:rsid w:val="000678CD"/>
    <w:rsid w:val="00072C8C"/>
    <w:rsid w:val="00081CE0"/>
    <w:rsid w:val="00084D30"/>
    <w:rsid w:val="00090320"/>
    <w:rsid w:val="000931C0"/>
    <w:rsid w:val="000A2DA7"/>
    <w:rsid w:val="000A2E09"/>
    <w:rsid w:val="000B175B"/>
    <w:rsid w:val="000B3A0F"/>
    <w:rsid w:val="000B5938"/>
    <w:rsid w:val="000C41FC"/>
    <w:rsid w:val="000E0415"/>
    <w:rsid w:val="000E33B6"/>
    <w:rsid w:val="000E499D"/>
    <w:rsid w:val="000F7715"/>
    <w:rsid w:val="001110AE"/>
    <w:rsid w:val="00156B99"/>
    <w:rsid w:val="00166124"/>
    <w:rsid w:val="00173381"/>
    <w:rsid w:val="00184DDA"/>
    <w:rsid w:val="001900CD"/>
    <w:rsid w:val="001A0452"/>
    <w:rsid w:val="001A614F"/>
    <w:rsid w:val="001B4B04"/>
    <w:rsid w:val="001B5875"/>
    <w:rsid w:val="001C4B9C"/>
    <w:rsid w:val="001C6663"/>
    <w:rsid w:val="001C7895"/>
    <w:rsid w:val="001D26DF"/>
    <w:rsid w:val="001F1599"/>
    <w:rsid w:val="001F19C4"/>
    <w:rsid w:val="002043F0"/>
    <w:rsid w:val="00211E0B"/>
    <w:rsid w:val="002267FF"/>
    <w:rsid w:val="00232575"/>
    <w:rsid w:val="00232A6F"/>
    <w:rsid w:val="002372CA"/>
    <w:rsid w:val="00247258"/>
    <w:rsid w:val="00257CAC"/>
    <w:rsid w:val="0027237A"/>
    <w:rsid w:val="00290319"/>
    <w:rsid w:val="002974E9"/>
    <w:rsid w:val="002A7F94"/>
    <w:rsid w:val="002B109A"/>
    <w:rsid w:val="002C6D45"/>
    <w:rsid w:val="002D6E53"/>
    <w:rsid w:val="002F046D"/>
    <w:rsid w:val="002F3023"/>
    <w:rsid w:val="00301764"/>
    <w:rsid w:val="003229D8"/>
    <w:rsid w:val="00336A9E"/>
    <w:rsid w:val="00336C97"/>
    <w:rsid w:val="00337F88"/>
    <w:rsid w:val="00342432"/>
    <w:rsid w:val="0035223F"/>
    <w:rsid w:val="00352D4B"/>
    <w:rsid w:val="0035638C"/>
    <w:rsid w:val="003A3C6A"/>
    <w:rsid w:val="003A46BB"/>
    <w:rsid w:val="003A4EC7"/>
    <w:rsid w:val="003A7295"/>
    <w:rsid w:val="003B1F60"/>
    <w:rsid w:val="003C2CC4"/>
    <w:rsid w:val="003D4B23"/>
    <w:rsid w:val="003E278A"/>
    <w:rsid w:val="0040477A"/>
    <w:rsid w:val="00413520"/>
    <w:rsid w:val="004325CB"/>
    <w:rsid w:val="0043326F"/>
    <w:rsid w:val="00440A07"/>
    <w:rsid w:val="004430F9"/>
    <w:rsid w:val="00443D03"/>
    <w:rsid w:val="004475CF"/>
    <w:rsid w:val="00462880"/>
    <w:rsid w:val="00476F24"/>
    <w:rsid w:val="004C55B0"/>
    <w:rsid w:val="004D44ED"/>
    <w:rsid w:val="004E040F"/>
    <w:rsid w:val="004F6BA0"/>
    <w:rsid w:val="00503BEA"/>
    <w:rsid w:val="005047AE"/>
    <w:rsid w:val="00533616"/>
    <w:rsid w:val="00535ABA"/>
    <w:rsid w:val="0053768B"/>
    <w:rsid w:val="005420F2"/>
    <w:rsid w:val="0054285C"/>
    <w:rsid w:val="00547ACC"/>
    <w:rsid w:val="0056044D"/>
    <w:rsid w:val="0057537C"/>
    <w:rsid w:val="00584173"/>
    <w:rsid w:val="00590663"/>
    <w:rsid w:val="00595520"/>
    <w:rsid w:val="00595CED"/>
    <w:rsid w:val="005A44B9"/>
    <w:rsid w:val="005B1BA0"/>
    <w:rsid w:val="005B3DB3"/>
    <w:rsid w:val="005D15CA"/>
    <w:rsid w:val="005D187C"/>
    <w:rsid w:val="005F08DF"/>
    <w:rsid w:val="005F3066"/>
    <w:rsid w:val="005F3E61"/>
    <w:rsid w:val="005F5C5E"/>
    <w:rsid w:val="00604DDD"/>
    <w:rsid w:val="006115CC"/>
    <w:rsid w:val="00611FC4"/>
    <w:rsid w:val="006176FB"/>
    <w:rsid w:val="006247D0"/>
    <w:rsid w:val="00630FCB"/>
    <w:rsid w:val="00640B26"/>
    <w:rsid w:val="00640CE8"/>
    <w:rsid w:val="006479D9"/>
    <w:rsid w:val="0065766B"/>
    <w:rsid w:val="006770B2"/>
    <w:rsid w:val="00677D68"/>
    <w:rsid w:val="00686A48"/>
    <w:rsid w:val="006901D1"/>
    <w:rsid w:val="006940E1"/>
    <w:rsid w:val="006A34D5"/>
    <w:rsid w:val="006A3C72"/>
    <w:rsid w:val="006A7392"/>
    <w:rsid w:val="006B03A1"/>
    <w:rsid w:val="006B67D9"/>
    <w:rsid w:val="006C5535"/>
    <w:rsid w:val="006D0589"/>
    <w:rsid w:val="006E564B"/>
    <w:rsid w:val="006E7154"/>
    <w:rsid w:val="007003CD"/>
    <w:rsid w:val="0070400E"/>
    <w:rsid w:val="0070701E"/>
    <w:rsid w:val="0072632A"/>
    <w:rsid w:val="007358E8"/>
    <w:rsid w:val="00736ECE"/>
    <w:rsid w:val="0074533B"/>
    <w:rsid w:val="0074746E"/>
    <w:rsid w:val="007478E4"/>
    <w:rsid w:val="007643BC"/>
    <w:rsid w:val="00774DE3"/>
    <w:rsid w:val="00780C68"/>
    <w:rsid w:val="00783308"/>
    <w:rsid w:val="0079586F"/>
    <w:rsid w:val="007959FE"/>
    <w:rsid w:val="007A0CF1"/>
    <w:rsid w:val="007A63EA"/>
    <w:rsid w:val="007A7FA0"/>
    <w:rsid w:val="007B6BA5"/>
    <w:rsid w:val="007C3390"/>
    <w:rsid w:val="007C42D8"/>
    <w:rsid w:val="007C4F4B"/>
    <w:rsid w:val="007D1868"/>
    <w:rsid w:val="007D7362"/>
    <w:rsid w:val="007F5CE2"/>
    <w:rsid w:val="007F6611"/>
    <w:rsid w:val="00810BAC"/>
    <w:rsid w:val="00814468"/>
    <w:rsid w:val="008175E9"/>
    <w:rsid w:val="008222E3"/>
    <w:rsid w:val="008235AC"/>
    <w:rsid w:val="008242D7"/>
    <w:rsid w:val="0082577B"/>
    <w:rsid w:val="00866893"/>
    <w:rsid w:val="00866F02"/>
    <w:rsid w:val="008673C4"/>
    <w:rsid w:val="00867D18"/>
    <w:rsid w:val="00871F9A"/>
    <w:rsid w:val="00871FD5"/>
    <w:rsid w:val="0088172E"/>
    <w:rsid w:val="00881EFA"/>
    <w:rsid w:val="008879CB"/>
    <w:rsid w:val="00891A4B"/>
    <w:rsid w:val="008979B1"/>
    <w:rsid w:val="008A158C"/>
    <w:rsid w:val="008A6B25"/>
    <w:rsid w:val="008A6C4F"/>
    <w:rsid w:val="008A76C4"/>
    <w:rsid w:val="008B1AF4"/>
    <w:rsid w:val="008B389E"/>
    <w:rsid w:val="008B6953"/>
    <w:rsid w:val="008B7774"/>
    <w:rsid w:val="008C4835"/>
    <w:rsid w:val="008C678C"/>
    <w:rsid w:val="008D045E"/>
    <w:rsid w:val="008D3F25"/>
    <w:rsid w:val="008D4D82"/>
    <w:rsid w:val="008E0E46"/>
    <w:rsid w:val="008E7116"/>
    <w:rsid w:val="008F143B"/>
    <w:rsid w:val="008F3882"/>
    <w:rsid w:val="008F4B7C"/>
    <w:rsid w:val="00915010"/>
    <w:rsid w:val="0092370B"/>
    <w:rsid w:val="00924B09"/>
    <w:rsid w:val="00926E47"/>
    <w:rsid w:val="00932FD6"/>
    <w:rsid w:val="00947162"/>
    <w:rsid w:val="009610D0"/>
    <w:rsid w:val="0096375C"/>
    <w:rsid w:val="009662E6"/>
    <w:rsid w:val="0097095E"/>
    <w:rsid w:val="00972D34"/>
    <w:rsid w:val="00974C03"/>
    <w:rsid w:val="0098592B"/>
    <w:rsid w:val="00985FC4"/>
    <w:rsid w:val="00990766"/>
    <w:rsid w:val="00991261"/>
    <w:rsid w:val="009964C4"/>
    <w:rsid w:val="009A0C53"/>
    <w:rsid w:val="009A33A2"/>
    <w:rsid w:val="009A4F9B"/>
    <w:rsid w:val="009A5AC0"/>
    <w:rsid w:val="009A7B81"/>
    <w:rsid w:val="009D01C0"/>
    <w:rsid w:val="009D6A08"/>
    <w:rsid w:val="009E0A16"/>
    <w:rsid w:val="009E6CB7"/>
    <w:rsid w:val="009E7970"/>
    <w:rsid w:val="009F2EAC"/>
    <w:rsid w:val="009F57E3"/>
    <w:rsid w:val="00A10F4F"/>
    <w:rsid w:val="00A11067"/>
    <w:rsid w:val="00A1704A"/>
    <w:rsid w:val="00A425EB"/>
    <w:rsid w:val="00A6152D"/>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67D4F"/>
    <w:rsid w:val="00B70B63"/>
    <w:rsid w:val="00B72A1E"/>
    <w:rsid w:val="00B81E12"/>
    <w:rsid w:val="00B90054"/>
    <w:rsid w:val="00BA339B"/>
    <w:rsid w:val="00BC1E7E"/>
    <w:rsid w:val="00BC74E9"/>
    <w:rsid w:val="00BE36A9"/>
    <w:rsid w:val="00BE618E"/>
    <w:rsid w:val="00BE67BD"/>
    <w:rsid w:val="00BE7BEC"/>
    <w:rsid w:val="00BF0A5A"/>
    <w:rsid w:val="00BF0E63"/>
    <w:rsid w:val="00BF12A3"/>
    <w:rsid w:val="00BF16D7"/>
    <w:rsid w:val="00BF2373"/>
    <w:rsid w:val="00C044E2"/>
    <w:rsid w:val="00C048CB"/>
    <w:rsid w:val="00C066F3"/>
    <w:rsid w:val="00C31337"/>
    <w:rsid w:val="00C463DD"/>
    <w:rsid w:val="00C562C0"/>
    <w:rsid w:val="00C6124E"/>
    <w:rsid w:val="00C66C14"/>
    <w:rsid w:val="00C745C3"/>
    <w:rsid w:val="00C978F5"/>
    <w:rsid w:val="00CA24A4"/>
    <w:rsid w:val="00CB348D"/>
    <w:rsid w:val="00CD46F5"/>
    <w:rsid w:val="00CE4A8F"/>
    <w:rsid w:val="00CF071D"/>
    <w:rsid w:val="00D0123D"/>
    <w:rsid w:val="00D15B04"/>
    <w:rsid w:val="00D17FFD"/>
    <w:rsid w:val="00D2031B"/>
    <w:rsid w:val="00D22EF7"/>
    <w:rsid w:val="00D25FE2"/>
    <w:rsid w:val="00D26348"/>
    <w:rsid w:val="00D31C65"/>
    <w:rsid w:val="00D37DA9"/>
    <w:rsid w:val="00D406A7"/>
    <w:rsid w:val="00D43252"/>
    <w:rsid w:val="00D44D86"/>
    <w:rsid w:val="00D50B7D"/>
    <w:rsid w:val="00D52012"/>
    <w:rsid w:val="00D55493"/>
    <w:rsid w:val="00D559DA"/>
    <w:rsid w:val="00D57D04"/>
    <w:rsid w:val="00D64853"/>
    <w:rsid w:val="00D704E5"/>
    <w:rsid w:val="00D72727"/>
    <w:rsid w:val="00D929BC"/>
    <w:rsid w:val="00D978C6"/>
    <w:rsid w:val="00DA0956"/>
    <w:rsid w:val="00DA357F"/>
    <w:rsid w:val="00DA3E12"/>
    <w:rsid w:val="00DC18AD"/>
    <w:rsid w:val="00DF61DE"/>
    <w:rsid w:val="00DF7CAE"/>
    <w:rsid w:val="00E22D5B"/>
    <w:rsid w:val="00E423C0"/>
    <w:rsid w:val="00E5563C"/>
    <w:rsid w:val="00E6414C"/>
    <w:rsid w:val="00E6755A"/>
    <w:rsid w:val="00E7260F"/>
    <w:rsid w:val="00E8702D"/>
    <w:rsid w:val="00E905F4"/>
    <w:rsid w:val="00E916A9"/>
    <w:rsid w:val="00E916DE"/>
    <w:rsid w:val="00E925AD"/>
    <w:rsid w:val="00E96630"/>
    <w:rsid w:val="00EA3FF8"/>
    <w:rsid w:val="00ED18DC"/>
    <w:rsid w:val="00ED6201"/>
    <w:rsid w:val="00ED7A2A"/>
    <w:rsid w:val="00EE7DE5"/>
    <w:rsid w:val="00EF1D7F"/>
    <w:rsid w:val="00F0137E"/>
    <w:rsid w:val="00F21786"/>
    <w:rsid w:val="00F3742B"/>
    <w:rsid w:val="00F41FDB"/>
    <w:rsid w:val="00F56D63"/>
    <w:rsid w:val="00F609A9"/>
    <w:rsid w:val="00F70640"/>
    <w:rsid w:val="00F730A6"/>
    <w:rsid w:val="00F80C99"/>
    <w:rsid w:val="00F867EC"/>
    <w:rsid w:val="00F91B2B"/>
    <w:rsid w:val="00F9508C"/>
    <w:rsid w:val="00FC03CD"/>
    <w:rsid w:val="00FC0646"/>
    <w:rsid w:val="00FC3021"/>
    <w:rsid w:val="00FC5992"/>
    <w:rsid w:val="00FC68B7"/>
    <w:rsid w:val="00FE6985"/>
    <w:rsid w:val="00FF42CA"/>
    <w:rsid w:val="00FF74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1635FFC"/>
  <w15:docId w15:val="{4A337BF0-0654-4727-A5F1-F6EF0B8D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paragraph" w:customStyle="1" w:styleId="Default">
    <w:name w:val="Default"/>
    <w:rsid w:val="008673C4"/>
    <w:pPr>
      <w:autoSpaceDE w:val="0"/>
      <w:autoSpaceDN w:val="0"/>
      <w:adjustRightInd w:val="0"/>
    </w:pPr>
    <w:rPr>
      <w:rFonts w:eastAsiaTheme="minorHAnsi"/>
      <w:color w:val="000000"/>
      <w:sz w:val="24"/>
      <w:szCs w:val="24"/>
      <w:lang w:val="en-GB" w:eastAsia="en-US"/>
    </w:rPr>
  </w:style>
  <w:style w:type="character" w:customStyle="1" w:styleId="HeaderChar">
    <w:name w:val="Header Char"/>
    <w:aliases w:val="6_G Char"/>
    <w:basedOn w:val="DefaultParagraphFont"/>
    <w:link w:val="Header"/>
    <w:uiPriority w:val="99"/>
    <w:rsid w:val="008673C4"/>
    <w:rPr>
      <w:b/>
      <w:sz w:val="18"/>
      <w:lang w:val="en-GB"/>
    </w:rPr>
  </w:style>
  <w:style w:type="character" w:customStyle="1" w:styleId="FootnoteTextChar">
    <w:name w:val="Footnote Text Char"/>
    <w:aliases w:val="5_G Char"/>
    <w:basedOn w:val="DefaultParagraphFont"/>
    <w:link w:val="FootnoteText"/>
    <w:uiPriority w:val="99"/>
    <w:rsid w:val="008673C4"/>
    <w:rPr>
      <w:sz w:val="18"/>
      <w:lang w:val="en-GB"/>
    </w:rPr>
  </w:style>
  <w:style w:type="character" w:styleId="CommentReference">
    <w:name w:val="annotation reference"/>
    <w:basedOn w:val="DefaultParagraphFont"/>
    <w:semiHidden/>
    <w:unhideWhenUsed/>
    <w:rsid w:val="000A2DA7"/>
    <w:rPr>
      <w:sz w:val="16"/>
      <w:szCs w:val="16"/>
    </w:rPr>
  </w:style>
  <w:style w:type="paragraph" w:styleId="CommentText">
    <w:name w:val="annotation text"/>
    <w:basedOn w:val="Normal"/>
    <w:link w:val="CommentTextChar"/>
    <w:semiHidden/>
    <w:unhideWhenUsed/>
    <w:rsid w:val="000A2DA7"/>
    <w:pPr>
      <w:spacing w:line="240" w:lineRule="auto"/>
    </w:pPr>
  </w:style>
  <w:style w:type="character" w:customStyle="1" w:styleId="CommentTextChar">
    <w:name w:val="Comment Text Char"/>
    <w:basedOn w:val="DefaultParagraphFont"/>
    <w:link w:val="CommentText"/>
    <w:semiHidden/>
    <w:rsid w:val="000A2DA7"/>
    <w:rPr>
      <w:lang w:val="en-GB"/>
    </w:rPr>
  </w:style>
  <w:style w:type="paragraph" w:styleId="CommentSubject">
    <w:name w:val="annotation subject"/>
    <w:basedOn w:val="CommentText"/>
    <w:next w:val="CommentText"/>
    <w:link w:val="CommentSubjectChar"/>
    <w:semiHidden/>
    <w:unhideWhenUsed/>
    <w:rsid w:val="000A2DA7"/>
    <w:rPr>
      <w:b/>
      <w:bCs/>
    </w:rPr>
  </w:style>
  <w:style w:type="character" w:customStyle="1" w:styleId="CommentSubjectChar">
    <w:name w:val="Comment Subject Char"/>
    <w:basedOn w:val="CommentTextChar"/>
    <w:link w:val="CommentSubject"/>
    <w:semiHidden/>
    <w:rsid w:val="000A2DA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B0D7D-042B-4941-84E8-EA1EC68C073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166EABF-B1F7-4EB4-92D8-A3FAE0F0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EC640-9804-4438-ADA0-3EB02075F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7818</Characters>
  <Application>Microsoft Office Word</Application>
  <DocSecurity>0</DocSecurity>
  <Lines>204</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ECE/TRANS/WP.11/2022/16</dc:title>
  <dc:subject>2212360</dc:subject>
  <dc:creator>ND</dc:creator>
  <cp:keywords/>
  <dc:description/>
  <cp:lastModifiedBy>Don Canete Martin</cp:lastModifiedBy>
  <cp:revision>2</cp:revision>
  <cp:lastPrinted>2009-02-18T09:36:00Z</cp:lastPrinted>
  <dcterms:created xsi:type="dcterms:W3CDTF">2022-08-09T08:24:00Z</dcterms:created>
  <dcterms:modified xsi:type="dcterms:W3CDTF">2022-08-09T08:24:00Z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