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1CC630B" w14:textId="77777777" w:rsidTr="00387CD4">
        <w:trPr>
          <w:trHeight w:hRule="exact" w:val="851"/>
        </w:trPr>
        <w:tc>
          <w:tcPr>
            <w:tcW w:w="142" w:type="dxa"/>
            <w:tcBorders>
              <w:bottom w:val="single" w:sz="4" w:space="0" w:color="auto"/>
            </w:tcBorders>
          </w:tcPr>
          <w:p w14:paraId="4BF42A6B" w14:textId="77777777" w:rsidR="002D5AAC" w:rsidRDefault="002D5AAC" w:rsidP="00A347C7">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10C18DE"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8230038" w14:textId="432D13E3" w:rsidR="002D5AAC" w:rsidRDefault="00A347C7" w:rsidP="00A347C7">
            <w:pPr>
              <w:jc w:val="right"/>
            </w:pPr>
            <w:r w:rsidRPr="00A347C7">
              <w:rPr>
                <w:sz w:val="40"/>
              </w:rPr>
              <w:t>ECE</w:t>
            </w:r>
            <w:r>
              <w:t>/TRANS/WP.29/GRE/2022/23</w:t>
            </w:r>
          </w:p>
        </w:tc>
      </w:tr>
      <w:tr w:rsidR="002D5AAC" w14:paraId="29289FB6" w14:textId="77777777" w:rsidTr="00387CD4">
        <w:trPr>
          <w:trHeight w:hRule="exact" w:val="2835"/>
        </w:trPr>
        <w:tc>
          <w:tcPr>
            <w:tcW w:w="1280" w:type="dxa"/>
            <w:gridSpan w:val="2"/>
            <w:tcBorders>
              <w:top w:val="single" w:sz="4" w:space="0" w:color="auto"/>
              <w:bottom w:val="single" w:sz="12" w:space="0" w:color="auto"/>
            </w:tcBorders>
          </w:tcPr>
          <w:p w14:paraId="4900A331" w14:textId="77777777" w:rsidR="002D5AAC" w:rsidRDefault="002E5067" w:rsidP="00387CD4">
            <w:pPr>
              <w:spacing w:before="120"/>
              <w:jc w:val="center"/>
            </w:pPr>
            <w:r>
              <w:rPr>
                <w:noProof/>
                <w:lang w:val="fr-CH" w:eastAsia="fr-CH"/>
              </w:rPr>
              <w:drawing>
                <wp:inline distT="0" distB="0" distL="0" distR="0" wp14:anchorId="5AFD217D" wp14:editId="3BFA999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88174EE"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4A08893" w14:textId="77777777" w:rsidR="002D5AAC" w:rsidRDefault="00A347C7" w:rsidP="00387CD4">
            <w:pPr>
              <w:spacing w:before="240"/>
              <w:rPr>
                <w:lang w:val="en-US"/>
              </w:rPr>
            </w:pPr>
            <w:r>
              <w:rPr>
                <w:lang w:val="en-US"/>
              </w:rPr>
              <w:t>Distr.: General</w:t>
            </w:r>
          </w:p>
          <w:p w14:paraId="3A7BFAFE" w14:textId="77777777" w:rsidR="00A347C7" w:rsidRDefault="00A347C7" w:rsidP="00A347C7">
            <w:pPr>
              <w:spacing w:line="240" w:lineRule="exact"/>
              <w:rPr>
                <w:lang w:val="en-US"/>
              </w:rPr>
            </w:pPr>
            <w:r>
              <w:rPr>
                <w:lang w:val="en-US"/>
              </w:rPr>
              <w:t>27 July 2022</w:t>
            </w:r>
          </w:p>
          <w:p w14:paraId="4ECCFB3A" w14:textId="77777777" w:rsidR="00A347C7" w:rsidRDefault="00A347C7" w:rsidP="00A347C7">
            <w:pPr>
              <w:spacing w:line="240" w:lineRule="exact"/>
              <w:rPr>
                <w:lang w:val="en-US"/>
              </w:rPr>
            </w:pPr>
            <w:r>
              <w:rPr>
                <w:lang w:val="en-US"/>
              </w:rPr>
              <w:t>Russian</w:t>
            </w:r>
          </w:p>
          <w:p w14:paraId="596F980A" w14:textId="1E2C2C68" w:rsidR="00A347C7" w:rsidRPr="008D53B6" w:rsidRDefault="00A347C7" w:rsidP="00A347C7">
            <w:pPr>
              <w:spacing w:line="240" w:lineRule="exact"/>
              <w:rPr>
                <w:lang w:val="en-US"/>
              </w:rPr>
            </w:pPr>
            <w:r>
              <w:rPr>
                <w:lang w:val="en-US"/>
              </w:rPr>
              <w:t>Original: English</w:t>
            </w:r>
          </w:p>
        </w:tc>
      </w:tr>
    </w:tbl>
    <w:p w14:paraId="1683C80F"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37202F9" w14:textId="77777777" w:rsidR="00D252F3" w:rsidRPr="00113AA8" w:rsidRDefault="00D252F3" w:rsidP="00D252F3">
      <w:pPr>
        <w:spacing w:before="120"/>
        <w:rPr>
          <w:sz w:val="28"/>
          <w:szCs w:val="28"/>
        </w:rPr>
      </w:pPr>
      <w:r w:rsidRPr="00113AA8">
        <w:rPr>
          <w:sz w:val="28"/>
          <w:szCs w:val="28"/>
        </w:rPr>
        <w:t>Комитет по внутреннему транспорту</w:t>
      </w:r>
    </w:p>
    <w:p w14:paraId="77E8FE38" w14:textId="77777777" w:rsidR="00D252F3" w:rsidRPr="00113AA8" w:rsidRDefault="00D252F3" w:rsidP="00D252F3">
      <w:pPr>
        <w:spacing w:before="120"/>
        <w:rPr>
          <w:b/>
          <w:sz w:val="24"/>
          <w:szCs w:val="24"/>
        </w:rPr>
      </w:pPr>
      <w:r w:rsidRPr="00113AA8">
        <w:rPr>
          <w:b/>
          <w:bCs/>
          <w:sz w:val="24"/>
          <w:szCs w:val="24"/>
        </w:rPr>
        <w:t xml:space="preserve">Всемирный форум для согласования правил </w:t>
      </w:r>
      <w:r w:rsidRPr="00113AA8">
        <w:rPr>
          <w:b/>
          <w:bCs/>
          <w:sz w:val="24"/>
          <w:szCs w:val="24"/>
        </w:rPr>
        <w:br/>
        <w:t>в области транспортных средств</w:t>
      </w:r>
    </w:p>
    <w:p w14:paraId="406D9C9C" w14:textId="77777777" w:rsidR="00D252F3" w:rsidRPr="00113AA8" w:rsidRDefault="00D252F3" w:rsidP="00D252F3">
      <w:pPr>
        <w:spacing w:before="120" w:after="120"/>
        <w:rPr>
          <w:b/>
          <w:bCs/>
        </w:rPr>
      </w:pPr>
      <w:r w:rsidRPr="00113AA8">
        <w:rPr>
          <w:b/>
          <w:bCs/>
        </w:rPr>
        <w:t xml:space="preserve">Рабочая группа по вопросам освещения </w:t>
      </w:r>
      <w:r w:rsidRPr="00113AA8">
        <w:rPr>
          <w:b/>
          <w:bCs/>
        </w:rPr>
        <w:br/>
        <w:t>и световой сигнализации</w:t>
      </w:r>
    </w:p>
    <w:p w14:paraId="481DE6A9" w14:textId="77777777" w:rsidR="00D252F3" w:rsidRPr="00113AA8" w:rsidRDefault="00D252F3" w:rsidP="00D252F3">
      <w:pPr>
        <w:rPr>
          <w:b/>
        </w:rPr>
      </w:pPr>
      <w:r w:rsidRPr="00113AA8">
        <w:rPr>
          <w:b/>
          <w:bCs/>
        </w:rPr>
        <w:t>Восемьдесят седьмая сессия</w:t>
      </w:r>
    </w:p>
    <w:p w14:paraId="3E26C101" w14:textId="77777777" w:rsidR="00D252F3" w:rsidRPr="00113AA8" w:rsidRDefault="00D252F3" w:rsidP="00D252F3">
      <w:pPr>
        <w:rPr>
          <w:bCs/>
        </w:rPr>
      </w:pPr>
      <w:r w:rsidRPr="00113AA8">
        <w:t xml:space="preserve">Женева, </w:t>
      </w:r>
      <w:r w:rsidRPr="00113AA8">
        <w:rPr>
          <w:bCs/>
        </w:rPr>
        <w:t xml:space="preserve">25–28 </w:t>
      </w:r>
      <w:r w:rsidRPr="00113AA8">
        <w:t>октября 2022 года</w:t>
      </w:r>
    </w:p>
    <w:p w14:paraId="6FC71482" w14:textId="77777777" w:rsidR="00D252F3" w:rsidRPr="00FC0172" w:rsidRDefault="00D252F3" w:rsidP="00D252F3">
      <w:pPr>
        <w:ind w:right="1134"/>
        <w:rPr>
          <w:bCs/>
        </w:rPr>
      </w:pPr>
      <w:r>
        <w:t>Пункт 6 b) предварительной повестки дня</w:t>
      </w:r>
    </w:p>
    <w:p w14:paraId="436AB490" w14:textId="77777777" w:rsidR="00D252F3" w:rsidRPr="00FC0172" w:rsidRDefault="00D252F3" w:rsidP="00D252F3">
      <w:pPr>
        <w:ind w:right="1467"/>
        <w:jc w:val="both"/>
        <w:rPr>
          <w:b/>
          <w:bCs/>
        </w:rPr>
      </w:pPr>
      <w:r>
        <w:rPr>
          <w:b/>
          <w:bCs/>
        </w:rPr>
        <w:t>Правила ООН, касающиеся установки:</w:t>
      </w:r>
    </w:p>
    <w:p w14:paraId="6F9DE388" w14:textId="5C9DA757" w:rsidR="00D252F3" w:rsidRPr="00FC0172" w:rsidRDefault="00D252F3" w:rsidP="00D252F3">
      <w:pPr>
        <w:ind w:right="1467"/>
        <w:rPr>
          <w:b/>
          <w:bCs/>
        </w:rPr>
      </w:pPr>
      <w:r w:rsidRPr="002A7863">
        <w:rPr>
          <w:b/>
          <w:bCs/>
        </w:rPr>
        <w:t xml:space="preserve">Правила № 53 ООН (установка устройств </w:t>
      </w:r>
      <w:r>
        <w:rPr>
          <w:b/>
          <w:bCs/>
        </w:rPr>
        <w:br/>
      </w:r>
      <w:r w:rsidRPr="002A7863">
        <w:rPr>
          <w:b/>
          <w:bCs/>
        </w:rPr>
        <w:t xml:space="preserve">освещения и световой сигнализации </w:t>
      </w:r>
      <w:r>
        <w:rPr>
          <w:b/>
          <w:bCs/>
        </w:rPr>
        <w:br/>
      </w:r>
      <w:r w:rsidRPr="002A7863">
        <w:rPr>
          <w:b/>
          <w:bCs/>
        </w:rPr>
        <w:t>для транспортных средств категории L</w:t>
      </w:r>
      <w:r w:rsidRPr="002A7863">
        <w:rPr>
          <w:b/>
          <w:bCs/>
          <w:vertAlign w:val="subscript"/>
        </w:rPr>
        <w:t>3</w:t>
      </w:r>
      <w:r w:rsidRPr="002A7863">
        <w:rPr>
          <w:b/>
          <w:bCs/>
        </w:rPr>
        <w:t>)</w:t>
      </w:r>
    </w:p>
    <w:p w14:paraId="172ED5D7" w14:textId="221BB553" w:rsidR="00D252F3" w:rsidRPr="00FC0172" w:rsidRDefault="00D252F3" w:rsidP="00D252F3">
      <w:pPr>
        <w:pStyle w:val="HChG"/>
      </w:pPr>
      <w:r>
        <w:tab/>
      </w:r>
      <w:r>
        <w:tab/>
      </w:r>
      <w:r>
        <w:rPr>
          <w:bCs/>
        </w:rPr>
        <w:t xml:space="preserve">Предложение по дополнению к поправкам серий 01, 02 </w:t>
      </w:r>
      <w:r>
        <w:rPr>
          <w:bCs/>
        </w:rPr>
        <w:br/>
      </w:r>
      <w:r>
        <w:rPr>
          <w:bCs/>
        </w:rPr>
        <w:t>и 03 к Правилам № 53 ООН (установка устройств освещения и световой сигнализации для транспортных средств категории L</w:t>
      </w:r>
      <w:r>
        <w:rPr>
          <w:bCs/>
          <w:vertAlign w:val="subscript"/>
        </w:rPr>
        <w:t>3</w:t>
      </w:r>
      <w:r>
        <w:rPr>
          <w:bCs/>
        </w:rPr>
        <w:t>)</w:t>
      </w:r>
    </w:p>
    <w:p w14:paraId="7ACE4F46" w14:textId="24F0772C" w:rsidR="00D252F3" w:rsidRPr="00FC0172" w:rsidRDefault="00D252F3" w:rsidP="00D252F3">
      <w:pPr>
        <w:pStyle w:val="H1G"/>
        <w:rPr>
          <w:szCs w:val="24"/>
        </w:rPr>
      </w:pPr>
      <w:r>
        <w:tab/>
      </w:r>
      <w:r>
        <w:tab/>
      </w:r>
      <w:r>
        <w:rPr>
          <w:bCs/>
        </w:rPr>
        <w:t xml:space="preserve">Представлено экспертами от Международной ассоциации </w:t>
      </w:r>
      <w:r>
        <w:rPr>
          <w:bCs/>
        </w:rPr>
        <w:br/>
      </w:r>
      <w:r>
        <w:rPr>
          <w:bCs/>
        </w:rPr>
        <w:t>заводов — изготовителей мотоциклов</w:t>
      </w:r>
      <w:r w:rsidRPr="00D252F3">
        <w:rPr>
          <w:rStyle w:val="aa"/>
          <w:b w:val="0"/>
          <w:sz w:val="20"/>
          <w:vertAlign w:val="baseline"/>
        </w:rPr>
        <w:footnoteReference w:customMarkFollows="1" w:id="1"/>
        <w:t>*</w:t>
      </w:r>
      <w:r w:rsidRPr="00D252F3">
        <w:rPr>
          <w:b w:val="0"/>
        </w:rPr>
        <w:t xml:space="preserve"> </w:t>
      </w:r>
    </w:p>
    <w:p w14:paraId="57C43D25" w14:textId="38189512" w:rsidR="00D252F3" w:rsidRPr="00FC0172" w:rsidRDefault="00D252F3" w:rsidP="00D252F3">
      <w:pPr>
        <w:pStyle w:val="SingleTxtG"/>
        <w:tabs>
          <w:tab w:val="left" w:pos="8505"/>
        </w:tabs>
        <w:ind w:firstLine="567"/>
      </w:pPr>
      <w:r>
        <w:t>Воспроизведенный ниже текст был подготовлен экспертами от Международной ассоциации заводов — изготовителей мотоциклов (МАЗМ), с тем чтобы разрешить установку сигнала предупреждения о возможности наезда сзади (СПНС) на транспортных средствах категории L</w:t>
      </w:r>
      <w:r>
        <w:rPr>
          <w:vertAlign w:val="subscript"/>
        </w:rPr>
        <w:t>3</w:t>
      </w:r>
      <w:r>
        <w:t xml:space="preserve">. Изменения к существующему тексту </w:t>
      </w:r>
      <w:r>
        <w:br/>
      </w:r>
      <w:r>
        <w:t>Правил № 53 ООН выделены жирным шрифтом в случае новых положений или зачеркиванием в случае исключенных элементов.</w:t>
      </w:r>
    </w:p>
    <w:p w14:paraId="1E6A9314" w14:textId="77777777" w:rsidR="00D252F3" w:rsidRPr="00FC0172" w:rsidRDefault="00D252F3" w:rsidP="00D252F3">
      <w:pPr>
        <w:tabs>
          <w:tab w:val="left" w:pos="8505"/>
        </w:tabs>
        <w:ind w:left="1134" w:right="1134" w:firstLine="567"/>
        <w:jc w:val="both"/>
      </w:pPr>
    </w:p>
    <w:p w14:paraId="7999298C" w14:textId="77777777" w:rsidR="00D252F3" w:rsidRPr="00FC0172" w:rsidRDefault="00D252F3" w:rsidP="00D252F3"/>
    <w:p w14:paraId="03DBE469" w14:textId="5157ACD8" w:rsidR="00D252F3" w:rsidRDefault="00D252F3">
      <w:pPr>
        <w:suppressAutoHyphens w:val="0"/>
        <w:spacing w:line="240" w:lineRule="auto"/>
        <w:rPr>
          <w:b/>
          <w:bCs/>
        </w:rPr>
      </w:pPr>
      <w:r>
        <w:rPr>
          <w:b/>
          <w:bCs/>
        </w:rPr>
        <w:br w:type="page"/>
      </w:r>
    </w:p>
    <w:p w14:paraId="6452F8F8" w14:textId="77777777" w:rsidR="00D252F3" w:rsidRPr="00FC0172" w:rsidRDefault="00D252F3" w:rsidP="00D252F3">
      <w:pPr>
        <w:pStyle w:val="HChG"/>
      </w:pPr>
      <w:r>
        <w:rPr>
          <w:bCs/>
        </w:rPr>
        <w:lastRenderedPageBreak/>
        <w:tab/>
        <w:t>I.</w:t>
      </w:r>
      <w:r>
        <w:tab/>
      </w:r>
      <w:r>
        <w:rPr>
          <w:bCs/>
        </w:rPr>
        <w:t>Предложение</w:t>
      </w:r>
    </w:p>
    <w:p w14:paraId="5E262286" w14:textId="77777777" w:rsidR="00D252F3" w:rsidRPr="00FC0172" w:rsidRDefault="00D252F3" w:rsidP="00D252F3">
      <w:pPr>
        <w:spacing w:after="120"/>
        <w:ind w:left="2268" w:right="1134" w:hanging="1134"/>
        <w:jc w:val="both"/>
        <w:rPr>
          <w:iCs/>
        </w:rPr>
      </w:pPr>
      <w:r>
        <w:rPr>
          <w:i/>
          <w:iCs/>
        </w:rPr>
        <w:t>Включить новый пункт 2.22</w:t>
      </w:r>
      <w:r>
        <w:t xml:space="preserve"> следующего содержания:</w:t>
      </w:r>
    </w:p>
    <w:p w14:paraId="7807661D" w14:textId="58CFFF22" w:rsidR="00D252F3" w:rsidRPr="00FC0172" w:rsidRDefault="00D252F3" w:rsidP="00D252F3">
      <w:pPr>
        <w:spacing w:after="120"/>
        <w:ind w:left="2268" w:right="1134" w:hanging="1134"/>
        <w:jc w:val="both"/>
        <w:rPr>
          <w:bCs/>
          <w:iCs/>
        </w:rPr>
      </w:pPr>
      <w:r w:rsidRPr="00D252F3">
        <w:t>«</w:t>
      </w:r>
      <w:r w:rsidRPr="00C27E40">
        <w:rPr>
          <w:b/>
          <w:bCs/>
        </w:rPr>
        <w:t>2.22</w:t>
      </w:r>
      <w:r>
        <w:t xml:space="preserve">   </w:t>
      </w:r>
      <w:r>
        <w:tab/>
      </w:r>
      <w:r w:rsidR="007464DC" w:rsidRPr="007464DC">
        <w:rPr>
          <w:b/>
          <w:bCs/>
        </w:rPr>
        <w:t>“</w:t>
      </w:r>
      <w:r>
        <w:rPr>
          <w:b/>
          <w:bCs/>
          <w:i/>
          <w:iCs/>
        </w:rPr>
        <w:t>сигнал предупреждения о возможности наезда сзади (СПНС)</w:t>
      </w:r>
      <w:r w:rsidR="007464DC" w:rsidRPr="007464DC">
        <w:rPr>
          <w:b/>
          <w:bCs/>
        </w:rPr>
        <w:t>”</w:t>
      </w:r>
      <w:r>
        <w:rPr>
          <w:b/>
          <w:bCs/>
        </w:rPr>
        <w:t xml:space="preserve"> означает автоматически срабатывающий сигнал, подаваемый идущим впереди транспортным средством следующему за ним транспортному средству.</w:t>
      </w:r>
      <w:r>
        <w:t xml:space="preserve"> </w:t>
      </w:r>
      <w:r w:rsidRPr="00BA203B">
        <w:rPr>
          <w:b/>
          <w:bCs/>
        </w:rPr>
        <w:t>Он предупреждает о том, что следующее сзади транспортное средство должно принять чрезвычайные меры, чтобы избежать столкновения</w:t>
      </w:r>
      <w:r w:rsidRPr="00D252F3">
        <w:t>».</w:t>
      </w:r>
      <w:r>
        <w:t xml:space="preserve"> </w:t>
      </w:r>
    </w:p>
    <w:p w14:paraId="4EE554E7" w14:textId="77777777" w:rsidR="00D252F3" w:rsidRPr="00FC0172" w:rsidRDefault="00D252F3" w:rsidP="00D252F3">
      <w:pPr>
        <w:tabs>
          <w:tab w:val="left" w:pos="2268"/>
        </w:tabs>
        <w:spacing w:after="120"/>
        <w:ind w:left="1134" w:rightChars="567" w:right="1134"/>
        <w:jc w:val="both"/>
        <w:rPr>
          <w:bCs/>
          <w:i/>
        </w:rPr>
      </w:pPr>
      <w:r>
        <w:rPr>
          <w:i/>
          <w:iCs/>
        </w:rPr>
        <w:t xml:space="preserve">Пункт 5.13 </w:t>
      </w:r>
      <w:r>
        <w:t>изменить следующим образом:</w:t>
      </w:r>
    </w:p>
    <w:p w14:paraId="4EF71130" w14:textId="77777777" w:rsidR="00D252F3" w:rsidRPr="00FC0172" w:rsidRDefault="00D252F3" w:rsidP="00D252F3">
      <w:pPr>
        <w:spacing w:after="120"/>
        <w:ind w:left="2268" w:rightChars="567" w:right="1134" w:hanging="1134"/>
        <w:jc w:val="both"/>
        <w:rPr>
          <w:bCs/>
          <w:iCs/>
        </w:rPr>
      </w:pPr>
      <w:r>
        <w:t xml:space="preserve">«5.13   </w:t>
      </w:r>
      <w:r>
        <w:tab/>
        <w:t xml:space="preserve">Цвета огней </w:t>
      </w:r>
    </w:p>
    <w:p w14:paraId="775B2E28" w14:textId="77777777" w:rsidR="00D252F3" w:rsidRPr="00FC0172" w:rsidRDefault="00D252F3" w:rsidP="00D252F3">
      <w:pPr>
        <w:spacing w:after="120"/>
        <w:ind w:left="2268" w:rightChars="567" w:right="1134" w:hanging="1134"/>
        <w:jc w:val="both"/>
        <w:rPr>
          <w:bCs/>
          <w:iCs/>
        </w:rPr>
      </w:pPr>
      <w:r>
        <w:tab/>
        <w:t>...</w:t>
      </w:r>
    </w:p>
    <w:p w14:paraId="0006BEEE" w14:textId="77777777" w:rsidR="00D252F3" w:rsidRPr="00FC0172" w:rsidRDefault="00D252F3" w:rsidP="00D252F3">
      <w:pPr>
        <w:spacing w:after="120"/>
        <w:ind w:left="2268" w:rightChars="567" w:right="1134" w:hanging="1134"/>
        <w:jc w:val="both"/>
        <w:rPr>
          <w:bCs/>
          <w:iCs/>
        </w:rPr>
      </w:pPr>
      <w:r>
        <w:tab/>
      </w:r>
      <w:r w:rsidRPr="006A4243">
        <w:rPr>
          <w:b/>
          <w:bCs/>
        </w:rPr>
        <w:t>сигнал предупреждения о возможности наезда сзади: оранжевый</w:t>
      </w:r>
      <w:r>
        <w:t>».</w:t>
      </w:r>
    </w:p>
    <w:p w14:paraId="1DD75075" w14:textId="77777777" w:rsidR="00D252F3" w:rsidRPr="00FC0172" w:rsidRDefault="00D252F3" w:rsidP="00D252F3">
      <w:pPr>
        <w:spacing w:line="360" w:lineRule="auto"/>
        <w:ind w:left="1134" w:rightChars="567" w:right="1134"/>
      </w:pPr>
      <w:r>
        <w:rPr>
          <w:i/>
          <w:iCs/>
        </w:rPr>
        <w:t>Включить новый пункт 5.15.8</w:t>
      </w:r>
      <w:r>
        <w:t xml:space="preserve"> следующего содержания:</w:t>
      </w:r>
    </w:p>
    <w:p w14:paraId="6836617C" w14:textId="77777777" w:rsidR="00D252F3" w:rsidRPr="00D252F3" w:rsidRDefault="00D252F3" w:rsidP="00D252F3">
      <w:pPr>
        <w:spacing w:line="360" w:lineRule="auto"/>
        <w:ind w:left="2268" w:rightChars="567" w:right="1134" w:hanging="1134"/>
        <w:rPr>
          <w:color w:val="1F497D"/>
        </w:rPr>
      </w:pPr>
      <w:r w:rsidRPr="00D252F3">
        <w:t>«</w:t>
      </w:r>
      <w:r w:rsidRPr="00AF7810">
        <w:rPr>
          <w:b/>
          <w:bCs/>
        </w:rPr>
        <w:t xml:space="preserve">5.15.8 </w:t>
      </w:r>
      <w:r w:rsidRPr="00AF7810">
        <w:rPr>
          <w:b/>
          <w:bCs/>
        </w:rPr>
        <w:tab/>
        <w:t>Сигнал предупреждения о возможности наезда сзади (пункт 6.17)</w:t>
      </w:r>
      <w:r w:rsidRPr="00D252F3">
        <w:t>».</w:t>
      </w:r>
    </w:p>
    <w:p w14:paraId="0946B661" w14:textId="77777777" w:rsidR="00D252F3" w:rsidRPr="00FC0172" w:rsidRDefault="00D252F3" w:rsidP="00D252F3">
      <w:pPr>
        <w:tabs>
          <w:tab w:val="left" w:pos="2268"/>
        </w:tabs>
        <w:spacing w:after="120"/>
        <w:ind w:left="1134" w:rightChars="236" w:right="472"/>
        <w:jc w:val="both"/>
        <w:rPr>
          <w:bCs/>
          <w:i/>
        </w:rPr>
      </w:pPr>
      <w:r>
        <w:rPr>
          <w:i/>
          <w:iCs/>
        </w:rPr>
        <w:t xml:space="preserve">Пункт 6.9.2 </w:t>
      </w:r>
      <w:r>
        <w:t>изменить следующим образом:</w:t>
      </w:r>
    </w:p>
    <w:p w14:paraId="78CF6307" w14:textId="77777777" w:rsidR="00D252F3" w:rsidRPr="00FC0172" w:rsidRDefault="00D252F3" w:rsidP="00D252F3">
      <w:pPr>
        <w:spacing w:after="120"/>
        <w:ind w:left="2268" w:rightChars="567" w:right="1134" w:hanging="1134"/>
        <w:jc w:val="both"/>
        <w:rPr>
          <w:bCs/>
          <w:iCs/>
        </w:rPr>
      </w:pPr>
      <w:r>
        <w:t>«</w:t>
      </w:r>
      <w:proofErr w:type="gramStart"/>
      <w:r>
        <w:t xml:space="preserve">6.9.2  </w:t>
      </w:r>
      <w:r>
        <w:tab/>
      </w:r>
      <w:proofErr w:type="gramEnd"/>
      <w:r>
        <w:t>Схема электрических соединений</w:t>
      </w:r>
    </w:p>
    <w:p w14:paraId="471701CC" w14:textId="77777777" w:rsidR="00D252F3" w:rsidRPr="00FC0172" w:rsidRDefault="00D252F3" w:rsidP="00D252F3">
      <w:pPr>
        <w:tabs>
          <w:tab w:val="left" w:pos="2268"/>
        </w:tabs>
        <w:spacing w:after="120"/>
        <w:ind w:left="2268" w:rightChars="567" w:right="1134" w:hanging="1134"/>
        <w:jc w:val="both"/>
        <w:rPr>
          <w:bCs/>
          <w:iCs/>
        </w:rPr>
      </w:pPr>
      <w:r>
        <w:tab/>
        <w:t>Сигнал должен подаваться при помощи отдельного механизма управления, позволяющего одновременно подать напряжение на все указатели поворота. Кроме того, он может включаться автоматически при столкновении транспортного средства либо после отключения сигнала аварийной остановки, как указано в пункте 6.14 ниже. В таких случаях он может выключаться вручную.</w:t>
      </w:r>
    </w:p>
    <w:p w14:paraId="58ACCB7F" w14:textId="77777777" w:rsidR="00D252F3" w:rsidRPr="00FC0172" w:rsidRDefault="00D252F3" w:rsidP="00D252F3">
      <w:pPr>
        <w:spacing w:after="120"/>
        <w:ind w:left="2268" w:rightChars="567" w:right="1134"/>
        <w:jc w:val="both"/>
        <w:rPr>
          <w:bCs/>
          <w:i/>
        </w:rPr>
      </w:pPr>
      <w:r>
        <w:rPr>
          <w:b/>
          <w:bCs/>
        </w:rPr>
        <w:t>Кроме того, сигнал предупреждения об опасности может включаться автоматически, с тем чтобы указать другим участникам дорожного движения риск непосредственной опасности, как это определено в Правилах;</w:t>
      </w:r>
      <w:r>
        <w:t xml:space="preserve"> </w:t>
      </w:r>
      <w:r w:rsidRPr="0006760C">
        <w:rPr>
          <w:b/>
          <w:bCs/>
        </w:rPr>
        <w:t>в таком случае этот сигнал остается включенным до его выключения вручную или автоматически</w:t>
      </w:r>
      <w:r>
        <w:t>».</w:t>
      </w:r>
    </w:p>
    <w:p w14:paraId="78079F8D" w14:textId="77777777" w:rsidR="00D252F3" w:rsidRPr="00FC0172" w:rsidRDefault="00D252F3" w:rsidP="00D252F3">
      <w:pPr>
        <w:spacing w:after="120"/>
        <w:ind w:left="2268" w:rightChars="567" w:right="1134" w:hanging="1134"/>
        <w:jc w:val="both"/>
        <w:rPr>
          <w:bCs/>
          <w:i/>
        </w:rPr>
      </w:pPr>
      <w:r>
        <w:rPr>
          <w:i/>
          <w:iCs/>
        </w:rPr>
        <w:t xml:space="preserve">Включить новый пункт 6.17 </w:t>
      </w:r>
      <w:r>
        <w:t>следующего содержания:</w:t>
      </w:r>
    </w:p>
    <w:p w14:paraId="5780CAF3" w14:textId="77777777" w:rsidR="00D252F3" w:rsidRPr="00FC0172" w:rsidRDefault="00D252F3" w:rsidP="00D252F3">
      <w:pPr>
        <w:spacing w:after="120"/>
        <w:ind w:left="2268" w:rightChars="567" w:right="1134" w:hanging="1134"/>
        <w:jc w:val="both"/>
        <w:rPr>
          <w:b/>
          <w:iCs/>
        </w:rPr>
      </w:pPr>
      <w:r w:rsidRPr="00D252F3">
        <w:t>«</w:t>
      </w:r>
      <w:r>
        <w:rPr>
          <w:b/>
          <w:bCs/>
        </w:rPr>
        <w:t>6.17</w:t>
      </w:r>
      <w:r>
        <w:t xml:space="preserve">   </w:t>
      </w:r>
      <w:r>
        <w:tab/>
      </w:r>
      <w:r>
        <w:rPr>
          <w:b/>
          <w:bCs/>
        </w:rPr>
        <w:t>Сигнал предупреждения о возможности наезда сзади</w:t>
      </w:r>
      <w:r>
        <w:t xml:space="preserve"> </w:t>
      </w:r>
    </w:p>
    <w:p w14:paraId="02F6A752" w14:textId="77777777" w:rsidR="00D252F3" w:rsidRPr="00FC0172" w:rsidRDefault="00D252F3" w:rsidP="00D252F3">
      <w:pPr>
        <w:spacing w:after="120"/>
        <w:ind w:left="2268" w:rightChars="567" w:right="1134" w:hanging="1134"/>
        <w:jc w:val="both"/>
        <w:rPr>
          <w:b/>
          <w:iCs/>
        </w:rPr>
      </w:pPr>
      <w:r>
        <w:rPr>
          <w:b/>
          <w:bCs/>
        </w:rPr>
        <w:t>6.17.1</w:t>
      </w:r>
      <w:r>
        <w:t xml:space="preserve"> </w:t>
      </w:r>
      <w:r>
        <w:tab/>
      </w:r>
      <w:r>
        <w:rPr>
          <w:b/>
          <w:bCs/>
        </w:rPr>
        <w:t>Установка</w:t>
      </w:r>
    </w:p>
    <w:p w14:paraId="4B7D9C80" w14:textId="77777777" w:rsidR="00D252F3" w:rsidRPr="00FC0172" w:rsidRDefault="00D252F3" w:rsidP="00D252F3">
      <w:pPr>
        <w:spacing w:after="120"/>
        <w:ind w:left="2268" w:rightChars="567" w:right="1134" w:hanging="1134"/>
        <w:jc w:val="both"/>
        <w:rPr>
          <w:b/>
          <w:iCs/>
        </w:rPr>
      </w:pPr>
      <w:r>
        <w:t xml:space="preserve">            </w:t>
      </w:r>
      <w:r>
        <w:tab/>
      </w:r>
      <w:r>
        <w:rPr>
          <w:b/>
          <w:bCs/>
        </w:rPr>
        <w:t>Является факультативной.</w:t>
      </w:r>
    </w:p>
    <w:p w14:paraId="2CE9BEAF" w14:textId="5B8E6DEF" w:rsidR="00D252F3" w:rsidRPr="00FC0172" w:rsidRDefault="00D252F3" w:rsidP="00D252F3">
      <w:pPr>
        <w:spacing w:after="120"/>
        <w:ind w:left="2268" w:rightChars="567" w:right="1134" w:hanging="1134"/>
        <w:jc w:val="both"/>
        <w:rPr>
          <w:b/>
          <w:iCs/>
        </w:rPr>
      </w:pPr>
      <w:r>
        <w:t xml:space="preserve">            </w:t>
      </w:r>
      <w:r>
        <w:tab/>
      </w:r>
      <w:r>
        <w:rPr>
          <w:b/>
          <w:bCs/>
        </w:rPr>
        <w:t xml:space="preserve">Сигнал предупреждения о возможности наезда сзади должен подаваться посредством одновременного приведения в действие всех установленных фонарей указателей </w:t>
      </w:r>
      <w:r>
        <w:rPr>
          <w:b/>
          <w:bCs/>
        </w:rPr>
        <w:t>поворота</w:t>
      </w:r>
      <w:r>
        <w:rPr>
          <w:b/>
          <w:bCs/>
        </w:rPr>
        <w:t xml:space="preserve"> в соответствии с описанием, содержащемся в пункте 6.17.7.</w:t>
      </w:r>
    </w:p>
    <w:p w14:paraId="1E450470" w14:textId="77777777" w:rsidR="00D252F3" w:rsidRPr="00FC0172" w:rsidRDefault="00D252F3" w:rsidP="00D252F3">
      <w:pPr>
        <w:spacing w:after="120"/>
        <w:ind w:left="2268" w:rightChars="567" w:right="1134" w:hanging="1134"/>
        <w:jc w:val="both"/>
        <w:rPr>
          <w:b/>
          <w:iCs/>
        </w:rPr>
      </w:pPr>
      <w:r>
        <w:rPr>
          <w:b/>
          <w:bCs/>
        </w:rPr>
        <w:t>6.17.2</w:t>
      </w:r>
      <w:r>
        <w:t xml:space="preserve"> </w:t>
      </w:r>
      <w:r>
        <w:tab/>
      </w:r>
      <w:r>
        <w:rPr>
          <w:b/>
          <w:bCs/>
        </w:rPr>
        <w:t>Число</w:t>
      </w:r>
    </w:p>
    <w:p w14:paraId="58C7ED64" w14:textId="77777777" w:rsidR="00D252F3" w:rsidRPr="00FC0172" w:rsidRDefault="00D252F3" w:rsidP="00D252F3">
      <w:pPr>
        <w:spacing w:after="120"/>
        <w:ind w:left="2268" w:rightChars="567" w:right="1134" w:hanging="1134"/>
        <w:jc w:val="both"/>
        <w:rPr>
          <w:b/>
          <w:iCs/>
        </w:rPr>
      </w:pPr>
      <w:r>
        <w:t xml:space="preserve">          </w:t>
      </w:r>
      <w:r>
        <w:tab/>
      </w:r>
      <w:r>
        <w:rPr>
          <w:b/>
          <w:bCs/>
        </w:rPr>
        <w:t>Как указано в пункте 6.3.1.</w:t>
      </w:r>
    </w:p>
    <w:p w14:paraId="08EAF1B8" w14:textId="77777777" w:rsidR="00D252F3" w:rsidRPr="00FC0172" w:rsidRDefault="00D252F3" w:rsidP="00D252F3">
      <w:pPr>
        <w:spacing w:after="120"/>
        <w:ind w:left="2268" w:rightChars="567" w:right="1134" w:hanging="1134"/>
        <w:jc w:val="both"/>
        <w:rPr>
          <w:b/>
          <w:iCs/>
        </w:rPr>
      </w:pPr>
      <w:r>
        <w:rPr>
          <w:b/>
          <w:bCs/>
        </w:rPr>
        <w:t>6.17.3</w:t>
      </w:r>
      <w:r>
        <w:t xml:space="preserve"> </w:t>
      </w:r>
      <w:r>
        <w:tab/>
      </w:r>
      <w:r>
        <w:rPr>
          <w:b/>
          <w:bCs/>
        </w:rPr>
        <w:t>Схема монтажа</w:t>
      </w:r>
    </w:p>
    <w:p w14:paraId="3847D1E6" w14:textId="77777777" w:rsidR="00D252F3" w:rsidRPr="00FC0172" w:rsidRDefault="00D252F3" w:rsidP="00D252F3">
      <w:pPr>
        <w:spacing w:after="120"/>
        <w:ind w:left="2268" w:rightChars="567" w:right="1134" w:hanging="1134"/>
        <w:jc w:val="both"/>
        <w:rPr>
          <w:b/>
          <w:iCs/>
        </w:rPr>
      </w:pPr>
      <w:r>
        <w:t xml:space="preserve">            </w:t>
      </w:r>
      <w:r>
        <w:tab/>
      </w:r>
      <w:r>
        <w:rPr>
          <w:b/>
          <w:bCs/>
        </w:rPr>
        <w:t>Как указано в пункте 6.3.2.</w:t>
      </w:r>
    </w:p>
    <w:p w14:paraId="364C24EB" w14:textId="77777777" w:rsidR="00D252F3" w:rsidRPr="00FC0172" w:rsidRDefault="00D252F3" w:rsidP="00D252F3">
      <w:pPr>
        <w:spacing w:after="120"/>
        <w:ind w:left="2268" w:rightChars="567" w:right="1134" w:hanging="1134"/>
        <w:jc w:val="both"/>
        <w:rPr>
          <w:b/>
          <w:iCs/>
        </w:rPr>
      </w:pPr>
      <w:r>
        <w:rPr>
          <w:b/>
          <w:bCs/>
        </w:rPr>
        <w:t>6.17.4</w:t>
      </w:r>
      <w:r>
        <w:tab/>
      </w:r>
      <w:r>
        <w:rPr>
          <w:b/>
          <w:bCs/>
        </w:rPr>
        <w:t>Размещение</w:t>
      </w:r>
    </w:p>
    <w:p w14:paraId="22312656" w14:textId="77777777" w:rsidR="00D252F3" w:rsidRPr="00FC0172" w:rsidRDefault="00D252F3" w:rsidP="00D252F3">
      <w:pPr>
        <w:spacing w:after="120"/>
        <w:ind w:left="2268" w:rightChars="567" w:right="1134" w:hanging="1134"/>
        <w:jc w:val="both"/>
        <w:rPr>
          <w:b/>
          <w:iCs/>
        </w:rPr>
      </w:pPr>
      <w:r>
        <w:t xml:space="preserve">            </w:t>
      </w:r>
      <w:r>
        <w:tab/>
      </w:r>
      <w:r>
        <w:rPr>
          <w:b/>
          <w:bCs/>
        </w:rPr>
        <w:t>Как указано в пункте 6.3.3.</w:t>
      </w:r>
    </w:p>
    <w:p w14:paraId="52987859" w14:textId="77777777" w:rsidR="00D252F3" w:rsidRPr="00FC0172" w:rsidRDefault="00D252F3" w:rsidP="00D252F3">
      <w:pPr>
        <w:spacing w:after="120"/>
        <w:ind w:left="2268" w:rightChars="567" w:right="1134" w:hanging="1134"/>
        <w:jc w:val="both"/>
        <w:rPr>
          <w:b/>
          <w:iCs/>
        </w:rPr>
      </w:pPr>
      <w:proofErr w:type="gramStart"/>
      <w:r>
        <w:rPr>
          <w:b/>
          <w:bCs/>
        </w:rPr>
        <w:t>6.17.5</w:t>
      </w:r>
      <w:r>
        <w:t xml:space="preserve">  </w:t>
      </w:r>
      <w:r>
        <w:tab/>
      </w:r>
      <w:proofErr w:type="gramEnd"/>
      <w:r>
        <w:rPr>
          <w:b/>
          <w:bCs/>
        </w:rPr>
        <w:t>Геометрическая видимость</w:t>
      </w:r>
    </w:p>
    <w:p w14:paraId="3E4DD6A2" w14:textId="77777777" w:rsidR="00D252F3" w:rsidRPr="00FC0172" w:rsidRDefault="00D252F3" w:rsidP="00D252F3">
      <w:pPr>
        <w:spacing w:after="120"/>
        <w:ind w:left="2268" w:rightChars="567" w:right="1134" w:hanging="1134"/>
        <w:jc w:val="both"/>
        <w:rPr>
          <w:b/>
          <w:iCs/>
        </w:rPr>
      </w:pPr>
      <w:r>
        <w:t xml:space="preserve">            </w:t>
      </w:r>
      <w:r>
        <w:tab/>
      </w:r>
      <w:r>
        <w:rPr>
          <w:b/>
          <w:bCs/>
        </w:rPr>
        <w:t>Как указано в пункте 6.3.4.</w:t>
      </w:r>
    </w:p>
    <w:p w14:paraId="4B2FD8B2" w14:textId="77777777" w:rsidR="00D252F3" w:rsidRPr="00FC0172" w:rsidRDefault="00D252F3" w:rsidP="00D252F3">
      <w:pPr>
        <w:spacing w:after="120"/>
        <w:ind w:left="2268" w:rightChars="567" w:right="1134" w:hanging="1134"/>
        <w:jc w:val="both"/>
        <w:rPr>
          <w:b/>
          <w:iCs/>
        </w:rPr>
      </w:pPr>
      <w:r>
        <w:rPr>
          <w:b/>
          <w:bCs/>
        </w:rPr>
        <w:t>6.17.6</w:t>
      </w:r>
      <w:r>
        <w:tab/>
      </w:r>
      <w:r>
        <w:rPr>
          <w:b/>
          <w:bCs/>
        </w:rPr>
        <w:t>Ориентация</w:t>
      </w:r>
    </w:p>
    <w:p w14:paraId="05990853" w14:textId="77777777" w:rsidR="00D252F3" w:rsidRPr="00FC0172" w:rsidRDefault="00D252F3" w:rsidP="00D252F3">
      <w:pPr>
        <w:spacing w:after="120"/>
        <w:ind w:left="2268" w:rightChars="567" w:right="1134" w:hanging="1134"/>
        <w:jc w:val="both"/>
        <w:rPr>
          <w:b/>
          <w:iCs/>
        </w:rPr>
      </w:pPr>
      <w:r>
        <w:tab/>
      </w:r>
      <w:r>
        <w:rPr>
          <w:b/>
          <w:bCs/>
        </w:rPr>
        <w:t>Как указано в пункте 6.3.5.</w:t>
      </w:r>
    </w:p>
    <w:p w14:paraId="5AE0FB98" w14:textId="77777777" w:rsidR="00D252F3" w:rsidRPr="00FC0172" w:rsidRDefault="00D252F3" w:rsidP="00D252F3">
      <w:pPr>
        <w:spacing w:after="120"/>
        <w:ind w:left="2268" w:rightChars="567" w:right="1134" w:hanging="1134"/>
        <w:jc w:val="both"/>
        <w:rPr>
          <w:b/>
          <w:iCs/>
        </w:rPr>
      </w:pPr>
      <w:r>
        <w:rPr>
          <w:b/>
          <w:bCs/>
        </w:rPr>
        <w:lastRenderedPageBreak/>
        <w:t>6.17.7</w:t>
      </w:r>
      <w:r>
        <w:tab/>
      </w:r>
      <w:r>
        <w:rPr>
          <w:b/>
          <w:bCs/>
        </w:rPr>
        <w:t>Схема электрических соединений</w:t>
      </w:r>
    </w:p>
    <w:p w14:paraId="0420CCD7" w14:textId="77777777" w:rsidR="00D252F3" w:rsidRPr="00FC0172" w:rsidRDefault="00D252F3" w:rsidP="00D252F3">
      <w:pPr>
        <w:spacing w:after="120"/>
        <w:ind w:left="2268" w:rightChars="567" w:right="1134" w:hanging="1134"/>
        <w:jc w:val="both"/>
        <w:rPr>
          <w:b/>
          <w:iCs/>
        </w:rPr>
      </w:pPr>
      <w:r>
        <w:tab/>
      </w:r>
      <w:r>
        <w:rPr>
          <w:b/>
          <w:bCs/>
        </w:rPr>
        <w:t>Соблюдение этих требований подтверждается подателем заявки с помощью соответствующего метода моделирования или иного метода проверки, принимаемого технической службой, ответственной за официальное утверждение типа.</w:t>
      </w:r>
    </w:p>
    <w:p w14:paraId="795F06AE" w14:textId="28D1CB0C" w:rsidR="00D252F3" w:rsidRPr="00FC0172" w:rsidRDefault="00D252F3" w:rsidP="00D252F3">
      <w:pPr>
        <w:spacing w:after="120"/>
        <w:ind w:left="2268" w:rightChars="567" w:right="1134" w:hanging="1134"/>
        <w:jc w:val="both"/>
        <w:rPr>
          <w:b/>
          <w:iCs/>
        </w:rPr>
      </w:pPr>
      <w:r>
        <w:rPr>
          <w:b/>
          <w:bCs/>
        </w:rPr>
        <w:t>6.17.7.1</w:t>
      </w:r>
      <w:r>
        <w:tab/>
      </w:r>
      <w:r>
        <w:rPr>
          <w:b/>
          <w:bCs/>
        </w:rPr>
        <w:t xml:space="preserve">Все </w:t>
      </w:r>
      <w:r w:rsidR="002F2ECC">
        <w:rPr>
          <w:b/>
          <w:bCs/>
        </w:rPr>
        <w:t>фонари</w:t>
      </w:r>
      <w:r>
        <w:rPr>
          <w:b/>
          <w:bCs/>
        </w:rPr>
        <w:t xml:space="preserve"> сигнала предупреждения о возможности наезда сзади должны мигать в одной фазе с частотой 4,0 +/</w:t>
      </w:r>
      <w:r w:rsidR="007464DC" w:rsidRPr="007464DC">
        <w:rPr>
          <w:b/>
          <w:bCs/>
        </w:rPr>
        <w:t>–</w:t>
      </w:r>
      <w:r>
        <w:rPr>
          <w:b/>
          <w:bCs/>
        </w:rPr>
        <w:t xml:space="preserve"> 1,0 Гц.</w:t>
      </w:r>
    </w:p>
    <w:p w14:paraId="4D90325A" w14:textId="7FF88ED3" w:rsidR="00D252F3" w:rsidRPr="00FC0172" w:rsidRDefault="00D252F3" w:rsidP="00D252F3">
      <w:pPr>
        <w:spacing w:after="120"/>
        <w:ind w:left="2268" w:rightChars="567" w:right="1134" w:hanging="1134"/>
        <w:jc w:val="both"/>
        <w:rPr>
          <w:b/>
          <w:iCs/>
        </w:rPr>
      </w:pPr>
      <w:r>
        <w:rPr>
          <w:b/>
          <w:bCs/>
        </w:rPr>
        <w:t>6.17.7.1.</w:t>
      </w:r>
      <w:proofErr w:type="gramStart"/>
      <w:r>
        <w:rPr>
          <w:b/>
          <w:bCs/>
        </w:rPr>
        <w:t>1</w:t>
      </w:r>
      <w:r>
        <w:tab/>
      </w:r>
      <w:r>
        <w:rPr>
          <w:b/>
          <w:bCs/>
        </w:rPr>
        <w:t>Однако</w:t>
      </w:r>
      <w:proofErr w:type="gramEnd"/>
      <w:r>
        <w:rPr>
          <w:b/>
          <w:bCs/>
        </w:rPr>
        <w:t xml:space="preserve">, если в любом из </w:t>
      </w:r>
      <w:r>
        <w:rPr>
          <w:b/>
          <w:bCs/>
        </w:rPr>
        <w:t>фонарей</w:t>
      </w:r>
      <w:r>
        <w:rPr>
          <w:b/>
          <w:bCs/>
        </w:rPr>
        <w:t xml:space="preserve"> сигнала предупреждения о возможности наезда сзади транспортного средства используются источники света с нитью накаливания, то частота мигания должна составлять 4,0 +0,0/</w:t>
      </w:r>
      <w:r w:rsidR="007464DC" w:rsidRPr="007464DC">
        <w:rPr>
          <w:b/>
          <w:bCs/>
        </w:rPr>
        <w:t>–</w:t>
      </w:r>
      <w:r>
        <w:rPr>
          <w:b/>
          <w:bCs/>
        </w:rPr>
        <w:t>1,0 Гц.</w:t>
      </w:r>
    </w:p>
    <w:p w14:paraId="2FE88B53" w14:textId="77777777" w:rsidR="00D252F3" w:rsidRPr="00FC0172" w:rsidRDefault="00D252F3" w:rsidP="00D252F3">
      <w:pPr>
        <w:spacing w:after="120"/>
        <w:ind w:left="2268" w:rightChars="567" w:right="1134" w:hanging="1134"/>
        <w:jc w:val="both"/>
        <w:rPr>
          <w:b/>
          <w:iCs/>
        </w:rPr>
      </w:pPr>
      <w:r>
        <w:rPr>
          <w:b/>
          <w:bCs/>
        </w:rPr>
        <w:t>6.17.7.2</w:t>
      </w:r>
      <w:r>
        <w:tab/>
      </w:r>
      <w:r>
        <w:rPr>
          <w:b/>
          <w:bCs/>
        </w:rPr>
        <w:t>Сигнал предупреждения о возможности наезда сзади должен работать независимо от других фонарей.</w:t>
      </w:r>
    </w:p>
    <w:p w14:paraId="0735C6D2" w14:textId="77777777" w:rsidR="00D252F3" w:rsidRPr="00FC0172" w:rsidRDefault="00D252F3" w:rsidP="00D252F3">
      <w:pPr>
        <w:spacing w:after="120"/>
        <w:ind w:left="2268" w:rightChars="567" w:right="1134" w:hanging="1134"/>
        <w:jc w:val="both"/>
        <w:rPr>
          <w:b/>
          <w:iCs/>
        </w:rPr>
      </w:pPr>
      <w:r>
        <w:rPr>
          <w:b/>
          <w:bCs/>
        </w:rPr>
        <w:t>6.17.7.3</w:t>
      </w:r>
      <w:r>
        <w:tab/>
      </w:r>
      <w:r>
        <w:rPr>
          <w:b/>
          <w:bCs/>
        </w:rPr>
        <w:t>Сигнал предупреждения о возможности наезда сзади должен включаться и выключаться автоматически.</w:t>
      </w:r>
    </w:p>
    <w:p w14:paraId="35192DB2" w14:textId="77777777" w:rsidR="00D252F3" w:rsidRPr="00FC0172" w:rsidRDefault="00D252F3" w:rsidP="00D252F3">
      <w:pPr>
        <w:spacing w:after="120"/>
        <w:ind w:left="2268" w:rightChars="567" w:right="1134" w:hanging="1134"/>
        <w:jc w:val="both"/>
        <w:rPr>
          <w:b/>
          <w:iCs/>
        </w:rPr>
      </w:pPr>
      <w:r>
        <w:rPr>
          <w:b/>
          <w:bCs/>
        </w:rPr>
        <w:t>6.17.7.4</w:t>
      </w:r>
      <w:r>
        <w:tab/>
      </w:r>
      <w:r>
        <w:rPr>
          <w:b/>
          <w:bCs/>
        </w:rPr>
        <w:t>Сигнал предупреждения о возможности наезда сзади не должен включаться, если активированы указатели поворота, сигнал предупреждения об опасности или сигнал аварийной остановки.</w:t>
      </w:r>
    </w:p>
    <w:p w14:paraId="21FAE37A" w14:textId="77777777" w:rsidR="00D252F3" w:rsidRPr="00FC0172" w:rsidRDefault="00D252F3" w:rsidP="00D252F3">
      <w:pPr>
        <w:spacing w:after="120"/>
        <w:ind w:left="2268" w:rightChars="567" w:right="1134" w:hanging="1134"/>
        <w:jc w:val="both"/>
        <w:rPr>
          <w:b/>
          <w:iCs/>
        </w:rPr>
      </w:pPr>
      <w:r>
        <w:rPr>
          <w:b/>
          <w:bCs/>
        </w:rPr>
        <w:t>6.17.7.5</w:t>
      </w:r>
      <w:r>
        <w:tab/>
      </w:r>
      <w:r>
        <w:rPr>
          <w:b/>
          <w:bCs/>
        </w:rPr>
        <w:t>Сигнал предупреждения о возможности наезда сзади может включаться только при следующих условиях:</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8"/>
        <w:gridCol w:w="3079"/>
      </w:tblGrid>
      <w:tr w:rsidR="00D252F3" w:rsidRPr="004A61C1" w14:paraId="70CFFBDD" w14:textId="77777777" w:rsidTr="00D26129">
        <w:trPr>
          <w:trHeight w:val="274"/>
        </w:trPr>
        <w:tc>
          <w:tcPr>
            <w:tcW w:w="3158" w:type="dxa"/>
            <w:tcBorders>
              <w:bottom w:val="single" w:sz="12" w:space="0" w:color="auto"/>
            </w:tcBorders>
            <w:vAlign w:val="center"/>
          </w:tcPr>
          <w:p w14:paraId="30F582AF" w14:textId="77777777" w:rsidR="00D252F3" w:rsidRPr="00364F80" w:rsidRDefault="00D252F3" w:rsidP="00D26129">
            <w:pPr>
              <w:keepNext/>
              <w:spacing w:before="60" w:after="60"/>
              <w:ind w:right="1134"/>
              <w:rPr>
                <w:rFonts w:eastAsia="Times New Roman"/>
                <w:b/>
                <w:bCs/>
                <w:i/>
                <w:snapToGrid w:val="0"/>
              </w:rPr>
            </w:pPr>
            <w:proofErr w:type="spellStart"/>
            <w:r>
              <w:rPr>
                <w:b/>
                <w:bCs/>
                <w:i/>
                <w:iCs/>
              </w:rPr>
              <w:t>Vr</w:t>
            </w:r>
            <w:proofErr w:type="spellEnd"/>
          </w:p>
        </w:tc>
        <w:tc>
          <w:tcPr>
            <w:tcW w:w="3079" w:type="dxa"/>
            <w:tcBorders>
              <w:bottom w:val="single" w:sz="12" w:space="0" w:color="auto"/>
            </w:tcBorders>
            <w:vAlign w:val="center"/>
          </w:tcPr>
          <w:p w14:paraId="55A3325D" w14:textId="77777777" w:rsidR="00D252F3" w:rsidRPr="00364F80" w:rsidRDefault="00D252F3" w:rsidP="00D26129">
            <w:pPr>
              <w:keepNext/>
              <w:spacing w:before="60" w:after="60"/>
              <w:ind w:right="1134"/>
              <w:rPr>
                <w:rFonts w:eastAsia="Times New Roman"/>
                <w:b/>
                <w:bCs/>
                <w:i/>
                <w:snapToGrid w:val="0"/>
              </w:rPr>
            </w:pPr>
            <w:r>
              <w:rPr>
                <w:b/>
                <w:bCs/>
                <w:i/>
                <w:iCs/>
              </w:rPr>
              <w:t>Активация</w:t>
            </w:r>
          </w:p>
        </w:tc>
      </w:tr>
      <w:tr w:rsidR="00D252F3" w:rsidRPr="004A61C1" w14:paraId="383C741B" w14:textId="77777777" w:rsidTr="00D26129">
        <w:tc>
          <w:tcPr>
            <w:tcW w:w="3158" w:type="dxa"/>
            <w:tcBorders>
              <w:top w:val="single" w:sz="12" w:space="0" w:color="auto"/>
              <w:bottom w:val="single" w:sz="4" w:space="0" w:color="auto"/>
            </w:tcBorders>
          </w:tcPr>
          <w:p w14:paraId="75FE4491" w14:textId="77777777" w:rsidR="00D252F3" w:rsidRPr="00364F80" w:rsidRDefault="00D252F3" w:rsidP="00D26129">
            <w:pPr>
              <w:keepNext/>
              <w:spacing w:before="60" w:after="60" w:line="240" w:lineRule="exact"/>
              <w:ind w:right="1134"/>
              <w:jc w:val="both"/>
              <w:rPr>
                <w:rFonts w:eastAsia="Times New Roman"/>
                <w:snapToGrid w:val="0"/>
              </w:rPr>
            </w:pPr>
            <w:proofErr w:type="spellStart"/>
            <w:proofErr w:type="gramStart"/>
            <w:r>
              <w:rPr>
                <w:b/>
                <w:bCs/>
              </w:rPr>
              <w:t>Vr</w:t>
            </w:r>
            <w:proofErr w:type="spellEnd"/>
            <w:r>
              <w:rPr>
                <w:b/>
                <w:bCs/>
              </w:rPr>
              <w:t xml:space="preserve"> &gt;</w:t>
            </w:r>
            <w:proofErr w:type="gramEnd"/>
            <w:r>
              <w:rPr>
                <w:b/>
                <w:bCs/>
              </w:rPr>
              <w:t xml:space="preserve"> 30 км/ч</w:t>
            </w:r>
          </w:p>
        </w:tc>
        <w:tc>
          <w:tcPr>
            <w:tcW w:w="3079" w:type="dxa"/>
            <w:tcBorders>
              <w:top w:val="single" w:sz="12" w:space="0" w:color="auto"/>
              <w:bottom w:val="single" w:sz="4" w:space="0" w:color="auto"/>
            </w:tcBorders>
          </w:tcPr>
          <w:p w14:paraId="36997579" w14:textId="77777777" w:rsidR="00D252F3" w:rsidRPr="00364F80" w:rsidRDefault="00D252F3" w:rsidP="00D26129">
            <w:pPr>
              <w:keepNext/>
              <w:spacing w:before="60" w:after="60" w:line="240" w:lineRule="exact"/>
              <w:ind w:right="1134"/>
              <w:jc w:val="both"/>
              <w:rPr>
                <w:rFonts w:eastAsia="Times New Roman"/>
                <w:snapToGrid w:val="0"/>
              </w:rPr>
            </w:pPr>
            <w:r>
              <w:rPr>
                <w:b/>
                <w:bCs/>
              </w:rPr>
              <w:t>TTC ≤ 1,4</w:t>
            </w:r>
          </w:p>
        </w:tc>
      </w:tr>
      <w:tr w:rsidR="00D252F3" w:rsidRPr="004A61C1" w14:paraId="1E6AB411" w14:textId="77777777" w:rsidTr="00D26129">
        <w:tc>
          <w:tcPr>
            <w:tcW w:w="3158" w:type="dxa"/>
            <w:tcBorders>
              <w:bottom w:val="single" w:sz="12" w:space="0" w:color="auto"/>
            </w:tcBorders>
          </w:tcPr>
          <w:p w14:paraId="023EFECA" w14:textId="77777777" w:rsidR="00D252F3" w:rsidRPr="00364F80" w:rsidRDefault="00D252F3" w:rsidP="00D26129">
            <w:pPr>
              <w:keepNext/>
              <w:spacing w:before="60" w:after="60" w:line="240" w:lineRule="exact"/>
              <w:ind w:right="1134"/>
              <w:jc w:val="both"/>
              <w:rPr>
                <w:rFonts w:eastAsia="Times New Roman"/>
                <w:snapToGrid w:val="0"/>
              </w:rPr>
            </w:pPr>
            <w:proofErr w:type="spellStart"/>
            <w:r>
              <w:rPr>
                <w:b/>
                <w:bCs/>
              </w:rPr>
              <w:t>Vr</w:t>
            </w:r>
            <w:proofErr w:type="spellEnd"/>
            <w:r>
              <w:rPr>
                <w:b/>
                <w:bCs/>
              </w:rPr>
              <w:t xml:space="preserve"> </w:t>
            </w:r>
            <w:r w:rsidRPr="00364F80">
              <w:rPr>
                <w:rFonts w:ascii="Symbol" w:hAnsi="Symbol"/>
                <w:b/>
                <w:bCs/>
                <w:snapToGrid w:val="0"/>
                <w:lang w:val="fr-FR"/>
              </w:rPr>
              <w:t></w:t>
            </w:r>
            <w:r>
              <w:rPr>
                <w:b/>
                <w:bCs/>
              </w:rPr>
              <w:t xml:space="preserve"> 30 км/ч</w:t>
            </w:r>
          </w:p>
        </w:tc>
        <w:tc>
          <w:tcPr>
            <w:tcW w:w="3079" w:type="dxa"/>
            <w:tcBorders>
              <w:bottom w:val="single" w:sz="12" w:space="0" w:color="auto"/>
            </w:tcBorders>
          </w:tcPr>
          <w:p w14:paraId="45C129BB" w14:textId="77777777" w:rsidR="00D252F3" w:rsidRPr="00364F80" w:rsidRDefault="00D252F3" w:rsidP="00D26129">
            <w:pPr>
              <w:keepNext/>
              <w:spacing w:before="60" w:after="60" w:line="240" w:lineRule="exact"/>
              <w:ind w:right="1134"/>
              <w:jc w:val="both"/>
              <w:rPr>
                <w:rFonts w:eastAsia="Times New Roman"/>
                <w:snapToGrid w:val="0"/>
              </w:rPr>
            </w:pPr>
            <w:r>
              <w:rPr>
                <w:b/>
                <w:bCs/>
              </w:rPr>
              <w:t xml:space="preserve">TTC ≤ 1,4 / 30 × </w:t>
            </w:r>
            <w:proofErr w:type="spellStart"/>
            <w:r>
              <w:rPr>
                <w:b/>
                <w:bCs/>
              </w:rPr>
              <w:t>Vr</w:t>
            </w:r>
            <w:proofErr w:type="spellEnd"/>
          </w:p>
        </w:tc>
      </w:tr>
    </w:tbl>
    <w:p w14:paraId="2CC57504" w14:textId="77777777" w:rsidR="00D252F3" w:rsidRPr="00FC0172" w:rsidRDefault="00D252F3" w:rsidP="00D252F3">
      <w:pPr>
        <w:spacing w:before="120" w:after="120"/>
        <w:ind w:left="2268" w:rightChars="567" w:right="1134"/>
        <w:jc w:val="both"/>
        <w:rPr>
          <w:b/>
          <w:iCs/>
        </w:rPr>
      </w:pPr>
      <w:r>
        <w:rPr>
          <w:b/>
          <w:bCs/>
        </w:rPr>
        <w:t>“</w:t>
      </w:r>
      <w:proofErr w:type="spellStart"/>
      <w:r>
        <w:rPr>
          <w:b/>
          <w:bCs/>
        </w:rPr>
        <w:t>Vr</w:t>
      </w:r>
      <w:proofErr w:type="spellEnd"/>
      <w:r>
        <w:rPr>
          <w:b/>
          <w:bCs/>
        </w:rPr>
        <w:t xml:space="preserve"> (относительная скорость)”: означает разницу в скорости между транспортным средством с сигналом предупреждения о возможности наезда сзади и следующим за ним по той же полосе транспортным средством.</w:t>
      </w:r>
    </w:p>
    <w:p w14:paraId="2E26E2C3" w14:textId="77777777" w:rsidR="00D252F3" w:rsidRPr="00FC0172" w:rsidRDefault="00D252F3" w:rsidP="00D252F3">
      <w:pPr>
        <w:spacing w:after="120"/>
        <w:ind w:left="2268" w:rightChars="567" w:right="1134"/>
        <w:jc w:val="both"/>
        <w:rPr>
          <w:b/>
          <w:iCs/>
        </w:rPr>
      </w:pPr>
      <w:r>
        <w:rPr>
          <w:b/>
          <w:bCs/>
        </w:rPr>
        <w:t>“TTC (время до столкновения)”: означает расчетное время до столкновения транспортного средства с сигналом предупреждения о возможности наезда сзади и следующего за ним транспортного средства, исходя из того предположения, что относительная скорость на момент расчета остается постоянной.</w:t>
      </w:r>
    </w:p>
    <w:p w14:paraId="24D6112F" w14:textId="77777777" w:rsidR="00D252F3" w:rsidRPr="00FC0172" w:rsidRDefault="00D252F3" w:rsidP="00D252F3">
      <w:pPr>
        <w:spacing w:after="120"/>
        <w:ind w:left="2268" w:rightChars="567" w:right="1134" w:hanging="1134"/>
        <w:jc w:val="both"/>
        <w:rPr>
          <w:b/>
          <w:iCs/>
        </w:rPr>
      </w:pPr>
      <w:r>
        <w:rPr>
          <w:b/>
          <w:bCs/>
        </w:rPr>
        <w:t>6.17.7.6</w:t>
      </w:r>
      <w:r>
        <w:tab/>
      </w:r>
      <w:r>
        <w:rPr>
          <w:b/>
          <w:bCs/>
        </w:rPr>
        <w:t>Время включения сигнала предупреждения о возможности наезда сзади не должно превышать 3 секунд.</w:t>
      </w:r>
    </w:p>
    <w:p w14:paraId="435DF058" w14:textId="77777777" w:rsidR="00D252F3" w:rsidRPr="00FC0172" w:rsidRDefault="00D252F3" w:rsidP="00D252F3">
      <w:pPr>
        <w:spacing w:after="120"/>
        <w:ind w:left="2268" w:rightChars="567" w:right="1134" w:hanging="1134"/>
        <w:jc w:val="both"/>
        <w:rPr>
          <w:b/>
          <w:iCs/>
        </w:rPr>
      </w:pPr>
      <w:r>
        <w:rPr>
          <w:b/>
          <w:bCs/>
        </w:rPr>
        <w:t>6.17.8</w:t>
      </w:r>
      <w:r>
        <w:tab/>
      </w:r>
      <w:r>
        <w:rPr>
          <w:b/>
          <w:bCs/>
        </w:rPr>
        <w:t>Контрольный сигнал</w:t>
      </w:r>
    </w:p>
    <w:p w14:paraId="05DA499F" w14:textId="77777777" w:rsidR="00D252F3" w:rsidRPr="00FC0172" w:rsidRDefault="00D252F3" w:rsidP="00D252F3">
      <w:pPr>
        <w:spacing w:after="120"/>
        <w:ind w:left="2835" w:rightChars="567" w:right="1134" w:hanging="567"/>
        <w:jc w:val="both"/>
        <w:rPr>
          <w:bCs/>
        </w:rPr>
      </w:pPr>
      <w:r>
        <w:rPr>
          <w:b/>
          <w:bCs/>
        </w:rPr>
        <w:t>Является факультативным</w:t>
      </w:r>
      <w:r w:rsidRPr="00D252F3">
        <w:t>».</w:t>
      </w:r>
    </w:p>
    <w:p w14:paraId="22471096" w14:textId="77777777" w:rsidR="00D252F3" w:rsidRPr="00FC0172" w:rsidRDefault="00D252F3" w:rsidP="00D252F3">
      <w:pPr>
        <w:pStyle w:val="HChG"/>
      </w:pPr>
      <w:r>
        <w:rPr>
          <w:bCs/>
        </w:rPr>
        <w:tab/>
        <w:t>II.</w:t>
      </w:r>
      <w:r>
        <w:tab/>
      </w:r>
      <w:r>
        <w:rPr>
          <w:bCs/>
        </w:rPr>
        <w:t>Обоснование</w:t>
      </w:r>
    </w:p>
    <w:p w14:paraId="1B540A55" w14:textId="429487AE" w:rsidR="00D252F3" w:rsidRPr="00FC0172" w:rsidRDefault="00D252F3" w:rsidP="00D252F3">
      <w:pPr>
        <w:pStyle w:val="Bullet1G"/>
        <w:numPr>
          <w:ilvl w:val="0"/>
          <w:numId w:val="0"/>
        </w:numPr>
        <w:ind w:left="1134"/>
        <w:rPr>
          <w:u w:val="single"/>
        </w:rPr>
      </w:pPr>
      <w:r w:rsidRPr="00FC0172">
        <w:t>1.</w:t>
      </w:r>
      <w:r w:rsidRPr="00FC0172">
        <w:tab/>
      </w:r>
      <w:r>
        <w:t xml:space="preserve">Цель данного предложения заключается в том, чтобы разрешить использование на мотоциклах сигнала предупреждения о возможности наезда сзади (СПНС), представляющего собой функцию безопасности, направленную на предупреждение водителя следующего за мотоциклом транспортного средства в целях </w:t>
      </w:r>
      <w:proofErr w:type="spellStart"/>
      <w:r>
        <w:t>избежания</w:t>
      </w:r>
      <w:proofErr w:type="spellEnd"/>
      <w:r>
        <w:t xml:space="preserve"> неминуемого наезда сзади; начиная с 2011 года установка СПНС уже разрешена в </w:t>
      </w:r>
      <w:r>
        <w:t>соответствии</w:t>
      </w:r>
      <w:r>
        <w:t xml:space="preserve"> с Правилами № 48 ООН для транспортных средств категорий M и N.</w:t>
      </w:r>
    </w:p>
    <w:p w14:paraId="021D2F6E" w14:textId="77777777" w:rsidR="00D252F3" w:rsidRPr="00FC0172" w:rsidRDefault="00D252F3" w:rsidP="00D252F3">
      <w:pPr>
        <w:pStyle w:val="Bullet1G"/>
        <w:numPr>
          <w:ilvl w:val="0"/>
          <w:numId w:val="0"/>
        </w:numPr>
        <w:ind w:left="1134"/>
      </w:pPr>
      <w:r w:rsidRPr="00FC0172">
        <w:t>2.</w:t>
      </w:r>
      <w:r w:rsidRPr="00FC0172">
        <w:tab/>
      </w:r>
      <w:r>
        <w:t xml:space="preserve">В тех случаях, когда мотоцикл обнаруживает опасность неминуемого наезда сзади, СПНС подает автоматический сигнал с помощью указателей поворота, чтобы побудить водителя транспортного средства, следующего за мотоциклом, принять </w:t>
      </w:r>
      <w:r>
        <w:lastRenderedPageBreak/>
        <w:t xml:space="preserve">немедленные меры, направленные </w:t>
      </w:r>
      <w:proofErr w:type="gramStart"/>
      <w:r>
        <w:t>в конечном итоге</w:t>
      </w:r>
      <w:proofErr w:type="gramEnd"/>
      <w:r>
        <w:t xml:space="preserve"> на то, чтобы избежать столкновения или по крайней мере смягчить его последствия.</w:t>
      </w:r>
    </w:p>
    <w:p w14:paraId="34B14C8E" w14:textId="64BB72A3" w:rsidR="00D252F3" w:rsidRPr="00FC0172" w:rsidRDefault="00D252F3" w:rsidP="00D252F3">
      <w:pPr>
        <w:pStyle w:val="Bullet1G"/>
        <w:numPr>
          <w:ilvl w:val="0"/>
          <w:numId w:val="0"/>
        </w:numPr>
        <w:ind w:left="1134"/>
        <w:rPr>
          <w:u w:val="single"/>
        </w:rPr>
      </w:pPr>
      <w:r w:rsidRPr="00FC0172">
        <w:t>3.</w:t>
      </w:r>
      <w:r w:rsidRPr="00FC0172">
        <w:tab/>
      </w:r>
      <w:r>
        <w:t xml:space="preserve">Благодаря одинаковым принципам работы выгоды в области повышения безопасности, обеспечиваемые системой СПНС для транспортных средств </w:t>
      </w:r>
      <w:r>
        <w:br/>
      </w:r>
      <w:r>
        <w:t xml:space="preserve">категорий M и N, могут быть получены и в случае мотоциклов, поскольку активация СПНС не зависит от типа транспортного средства, оснащенного такой системой, </w:t>
      </w:r>
      <w:r>
        <w:br/>
      </w:r>
      <w:r>
        <w:t>а в основном определяется характеристиками следующего за ним транспортного средства. Таким образом, предлагаемые поправки к Правилам № 53 ООН эквивалентны существующим положениям Правил № 48 ООН, касающимся СПНС.</w:t>
      </w:r>
    </w:p>
    <w:p w14:paraId="10D2A2E8" w14:textId="77777777" w:rsidR="00D252F3" w:rsidRPr="00FC0172" w:rsidRDefault="00D252F3" w:rsidP="00D252F3">
      <w:pPr>
        <w:pStyle w:val="Bullet1G"/>
        <w:numPr>
          <w:ilvl w:val="0"/>
          <w:numId w:val="0"/>
        </w:numPr>
        <w:spacing w:before="120"/>
        <w:ind w:left="3827"/>
        <w:rPr>
          <w:u w:val="single"/>
        </w:rPr>
      </w:pPr>
      <w:r w:rsidRPr="00FC0172">
        <w:rPr>
          <w:u w:val="single"/>
        </w:rPr>
        <w:tab/>
      </w:r>
      <w:r w:rsidRPr="00FC0172">
        <w:rPr>
          <w:u w:val="single"/>
        </w:rPr>
        <w:tab/>
      </w:r>
      <w:r w:rsidRPr="00FC0172">
        <w:rPr>
          <w:u w:val="single"/>
        </w:rPr>
        <w:tab/>
      </w:r>
      <w:r w:rsidRPr="00FC0172">
        <w:rPr>
          <w:u w:val="single"/>
        </w:rPr>
        <w:tab/>
      </w:r>
    </w:p>
    <w:p w14:paraId="24FA9F74" w14:textId="77777777" w:rsidR="00E12C5F" w:rsidRPr="008D53B6" w:rsidRDefault="00E12C5F" w:rsidP="00D9145B"/>
    <w:sectPr w:rsidR="00E12C5F" w:rsidRPr="008D53B6" w:rsidSect="00A347C7">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20574" w14:textId="77777777" w:rsidR="00A22F3F" w:rsidRPr="00A312BC" w:rsidRDefault="00A22F3F" w:rsidP="00A312BC"/>
  </w:endnote>
  <w:endnote w:type="continuationSeparator" w:id="0">
    <w:p w14:paraId="4DDEA79F" w14:textId="77777777" w:rsidR="00A22F3F" w:rsidRPr="00A312BC" w:rsidRDefault="00A22F3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5FA4" w14:textId="68C48579" w:rsidR="00A347C7" w:rsidRPr="00A347C7" w:rsidRDefault="00A347C7">
    <w:pPr>
      <w:pStyle w:val="a8"/>
    </w:pPr>
    <w:r w:rsidRPr="00A347C7">
      <w:rPr>
        <w:b/>
        <w:sz w:val="18"/>
      </w:rPr>
      <w:fldChar w:fldCharType="begin"/>
    </w:r>
    <w:r w:rsidRPr="00A347C7">
      <w:rPr>
        <w:b/>
        <w:sz w:val="18"/>
      </w:rPr>
      <w:instrText xml:space="preserve"> PAGE  \* MERGEFORMAT </w:instrText>
    </w:r>
    <w:r w:rsidRPr="00A347C7">
      <w:rPr>
        <w:b/>
        <w:sz w:val="18"/>
      </w:rPr>
      <w:fldChar w:fldCharType="separate"/>
    </w:r>
    <w:r w:rsidRPr="00A347C7">
      <w:rPr>
        <w:b/>
        <w:noProof/>
        <w:sz w:val="18"/>
      </w:rPr>
      <w:t>2</w:t>
    </w:r>
    <w:r w:rsidRPr="00A347C7">
      <w:rPr>
        <w:b/>
        <w:sz w:val="18"/>
      </w:rPr>
      <w:fldChar w:fldCharType="end"/>
    </w:r>
    <w:r>
      <w:rPr>
        <w:b/>
        <w:sz w:val="18"/>
      </w:rPr>
      <w:tab/>
    </w:r>
    <w:r>
      <w:t>GE.22-11766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8FB0" w14:textId="277C5E51" w:rsidR="00A347C7" w:rsidRPr="00A347C7" w:rsidRDefault="00A347C7" w:rsidP="00A347C7">
    <w:pPr>
      <w:pStyle w:val="a8"/>
      <w:tabs>
        <w:tab w:val="clear" w:pos="9639"/>
        <w:tab w:val="right" w:pos="9638"/>
      </w:tabs>
      <w:rPr>
        <w:b/>
        <w:sz w:val="18"/>
      </w:rPr>
    </w:pPr>
    <w:r>
      <w:t>GE.22-11766</w:t>
    </w:r>
    <w:r>
      <w:tab/>
    </w:r>
    <w:r w:rsidRPr="00A347C7">
      <w:rPr>
        <w:b/>
        <w:sz w:val="18"/>
      </w:rPr>
      <w:fldChar w:fldCharType="begin"/>
    </w:r>
    <w:r w:rsidRPr="00A347C7">
      <w:rPr>
        <w:b/>
        <w:sz w:val="18"/>
      </w:rPr>
      <w:instrText xml:space="preserve"> PAGE  \* MERGEFORMAT </w:instrText>
    </w:r>
    <w:r w:rsidRPr="00A347C7">
      <w:rPr>
        <w:b/>
        <w:sz w:val="18"/>
      </w:rPr>
      <w:fldChar w:fldCharType="separate"/>
    </w:r>
    <w:r w:rsidRPr="00A347C7">
      <w:rPr>
        <w:b/>
        <w:noProof/>
        <w:sz w:val="18"/>
      </w:rPr>
      <w:t>3</w:t>
    </w:r>
    <w:r w:rsidRPr="00A347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E6993" w14:textId="281FD20E" w:rsidR="00042B72" w:rsidRPr="00A347C7" w:rsidRDefault="00A347C7" w:rsidP="00A347C7">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8CC6A83" wp14:editId="25CFCC0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11766  (</w:t>
    </w:r>
    <w:proofErr w:type="gramEnd"/>
    <w:r>
      <w:t>R)</w:t>
    </w:r>
    <w:r>
      <w:rPr>
        <w:noProof/>
      </w:rPr>
      <w:drawing>
        <wp:anchor distT="0" distB="0" distL="114300" distR="114300" simplePos="0" relativeHeight="251659264" behindDoc="0" locked="0" layoutInCell="1" allowOverlap="1" wp14:anchorId="063BEBA0" wp14:editId="099539B6">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150822  160822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32640" w14:textId="77777777" w:rsidR="00A22F3F" w:rsidRPr="001075E9" w:rsidRDefault="00A22F3F" w:rsidP="001075E9">
      <w:pPr>
        <w:tabs>
          <w:tab w:val="right" w:pos="2155"/>
        </w:tabs>
        <w:spacing w:after="80" w:line="240" w:lineRule="auto"/>
        <w:ind w:left="680"/>
        <w:rPr>
          <w:u w:val="single"/>
        </w:rPr>
      </w:pPr>
      <w:r>
        <w:rPr>
          <w:u w:val="single"/>
        </w:rPr>
        <w:tab/>
      </w:r>
    </w:p>
  </w:footnote>
  <w:footnote w:type="continuationSeparator" w:id="0">
    <w:p w14:paraId="124ACAB9" w14:textId="77777777" w:rsidR="00A22F3F" w:rsidRDefault="00A22F3F" w:rsidP="00407B78">
      <w:pPr>
        <w:tabs>
          <w:tab w:val="right" w:pos="2155"/>
        </w:tabs>
        <w:spacing w:after="80"/>
        <w:ind w:left="680"/>
        <w:rPr>
          <w:u w:val="single"/>
        </w:rPr>
      </w:pPr>
      <w:r>
        <w:rPr>
          <w:u w:val="single"/>
        </w:rPr>
        <w:tab/>
      </w:r>
    </w:p>
  </w:footnote>
  <w:footnote w:id="1">
    <w:p w14:paraId="6D8DED62" w14:textId="3A49312E" w:rsidR="00D252F3" w:rsidRPr="00D252F3" w:rsidRDefault="00D252F3">
      <w:pPr>
        <w:pStyle w:val="ad"/>
        <w:rPr>
          <w:sz w:val="20"/>
          <w:lang w:val="en-US"/>
        </w:rPr>
      </w:pPr>
      <w:r>
        <w:tab/>
      </w:r>
      <w:r w:rsidRPr="00D252F3">
        <w:rPr>
          <w:rStyle w:val="aa"/>
          <w:sz w:val="20"/>
          <w:vertAlign w:val="baseline"/>
        </w:rPr>
        <w:t>*</w:t>
      </w:r>
      <w:r w:rsidRPr="00D252F3">
        <w:rPr>
          <w:rStyle w:val="aa"/>
          <w:vertAlign w:val="baseline"/>
        </w:rPr>
        <w:tab/>
      </w:r>
      <w:r>
        <w:t>В соответствии с программой работы Комитета по внутреннему транспорту на 2022 год, изложенной в предлагаемом бюджете по программам на 2022 год (A/76/6 (разд. 20), п. 20.76),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9116" w14:textId="62175C11" w:rsidR="00A347C7" w:rsidRPr="00A347C7" w:rsidRDefault="00A347C7">
    <w:pPr>
      <w:pStyle w:val="a5"/>
    </w:pPr>
    <w:r>
      <w:fldChar w:fldCharType="begin"/>
    </w:r>
    <w:r>
      <w:instrText xml:space="preserve"> TITLE  \* MERGEFORMAT </w:instrText>
    </w:r>
    <w:r>
      <w:fldChar w:fldCharType="separate"/>
    </w:r>
    <w:r w:rsidR="00492B0E">
      <w:t>ECE/TRANS/WP.29/GRE/2022/23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6E47" w14:textId="2109A9BF" w:rsidR="00A347C7" w:rsidRPr="00A347C7" w:rsidRDefault="00A347C7" w:rsidP="00A347C7">
    <w:pPr>
      <w:pStyle w:val="a5"/>
      <w:jc w:val="right"/>
    </w:pPr>
    <w:r>
      <w:fldChar w:fldCharType="begin"/>
    </w:r>
    <w:r>
      <w:instrText xml:space="preserve"> TITLE  \* MERGEFORMAT </w:instrText>
    </w:r>
    <w:r>
      <w:fldChar w:fldCharType="separate"/>
    </w:r>
    <w:r w:rsidR="00492B0E">
      <w:t>ECE/TRANS/WP.29/GRE/2022/23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TabNum"/>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F3F"/>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2ECC"/>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92B0E"/>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464DC"/>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22F3F"/>
    <w:rsid w:val="00A312BC"/>
    <w:rsid w:val="00A347C7"/>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252F3"/>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57EE06"/>
  <w15:docId w15:val="{465FB5C3-1411-462E-93C7-C2DBA961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D252F3"/>
    <w:rPr>
      <w:lang w:val="ru-RU" w:eastAsia="en-US"/>
    </w:rPr>
  </w:style>
  <w:style w:type="character" w:customStyle="1" w:styleId="HChGChar">
    <w:name w:val="_ H _Ch_G Char"/>
    <w:link w:val="HChG"/>
    <w:rsid w:val="00D252F3"/>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4</TotalTime>
  <Pages>4</Pages>
  <Words>822</Words>
  <Characters>5551</Characters>
  <Application>Microsoft Office Word</Application>
  <DocSecurity>0</DocSecurity>
  <Lines>142</Lines>
  <Paragraphs>70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ECE/TRANS/WP.29/GRE/2022/23</dc:title>
  <dc:subject/>
  <dc:creator>Ekaterina SALYNSKAYA</dc:creator>
  <cp:keywords/>
  <cp:lastModifiedBy>Ekaterina Salynskaya</cp:lastModifiedBy>
  <cp:revision>3</cp:revision>
  <cp:lastPrinted>2022-08-16T11:40:00Z</cp:lastPrinted>
  <dcterms:created xsi:type="dcterms:W3CDTF">2022-08-16T11:40:00Z</dcterms:created>
  <dcterms:modified xsi:type="dcterms:W3CDTF">2022-08-16T11:40:00Z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