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028DF2A" w14:textId="77777777" w:rsidTr="00C97039">
        <w:trPr>
          <w:trHeight w:hRule="exact" w:val="851"/>
        </w:trPr>
        <w:tc>
          <w:tcPr>
            <w:tcW w:w="1276" w:type="dxa"/>
            <w:tcBorders>
              <w:bottom w:val="single" w:sz="4" w:space="0" w:color="auto"/>
            </w:tcBorders>
          </w:tcPr>
          <w:p w14:paraId="6A98F476" w14:textId="77777777" w:rsidR="00F35BAF" w:rsidRPr="00DB58B5" w:rsidRDefault="00F35BAF" w:rsidP="00C97039"/>
        </w:tc>
        <w:tc>
          <w:tcPr>
            <w:tcW w:w="2268" w:type="dxa"/>
            <w:tcBorders>
              <w:bottom w:val="single" w:sz="4" w:space="0" w:color="auto"/>
            </w:tcBorders>
            <w:vAlign w:val="bottom"/>
          </w:tcPr>
          <w:p w14:paraId="08E74B6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457867" w14:textId="0687A51C" w:rsidR="00F35BAF" w:rsidRPr="00DB58B5" w:rsidRDefault="00743628" w:rsidP="00743628">
            <w:pPr>
              <w:jc w:val="right"/>
            </w:pPr>
            <w:r w:rsidRPr="00743628">
              <w:rPr>
                <w:sz w:val="40"/>
              </w:rPr>
              <w:t>ECE</w:t>
            </w:r>
            <w:r>
              <w:t>/TRANS/WP.29/GRE/2022/15</w:t>
            </w:r>
          </w:p>
        </w:tc>
      </w:tr>
      <w:tr w:rsidR="00F35BAF" w:rsidRPr="00DB58B5" w14:paraId="76261C6A" w14:textId="77777777" w:rsidTr="00C97039">
        <w:trPr>
          <w:trHeight w:hRule="exact" w:val="2835"/>
        </w:trPr>
        <w:tc>
          <w:tcPr>
            <w:tcW w:w="1276" w:type="dxa"/>
            <w:tcBorders>
              <w:top w:val="single" w:sz="4" w:space="0" w:color="auto"/>
              <w:bottom w:val="single" w:sz="12" w:space="0" w:color="auto"/>
            </w:tcBorders>
          </w:tcPr>
          <w:p w14:paraId="3B05F645" w14:textId="77777777" w:rsidR="00F35BAF" w:rsidRPr="00DB58B5" w:rsidRDefault="00F35BAF" w:rsidP="00C97039">
            <w:pPr>
              <w:spacing w:before="120"/>
              <w:jc w:val="center"/>
            </w:pPr>
            <w:r>
              <w:rPr>
                <w:noProof/>
                <w:lang w:eastAsia="fr-CH"/>
              </w:rPr>
              <w:drawing>
                <wp:inline distT="0" distB="0" distL="0" distR="0" wp14:anchorId="52D7FE69" wp14:editId="4347E2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C58EC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27DBFA9" w14:textId="77777777" w:rsidR="00F35BAF" w:rsidRDefault="00743628" w:rsidP="00C97039">
            <w:pPr>
              <w:spacing w:before="240"/>
            </w:pPr>
            <w:r>
              <w:t>Distr. générale</w:t>
            </w:r>
          </w:p>
          <w:p w14:paraId="4715146B" w14:textId="1F5415C1" w:rsidR="00743628" w:rsidRDefault="00743628" w:rsidP="00743628">
            <w:pPr>
              <w:spacing w:line="240" w:lineRule="exact"/>
            </w:pPr>
            <w:r>
              <w:t>27 juillet 2022</w:t>
            </w:r>
          </w:p>
          <w:p w14:paraId="4ACDC8D4" w14:textId="77777777" w:rsidR="00743628" w:rsidRDefault="00743628" w:rsidP="00743628">
            <w:pPr>
              <w:spacing w:line="240" w:lineRule="exact"/>
            </w:pPr>
            <w:r>
              <w:t>Français</w:t>
            </w:r>
          </w:p>
          <w:p w14:paraId="2C027A99" w14:textId="02B460BE" w:rsidR="00743628" w:rsidRPr="00DB58B5" w:rsidRDefault="00743628" w:rsidP="00743628">
            <w:pPr>
              <w:spacing w:line="240" w:lineRule="exact"/>
            </w:pPr>
            <w:r>
              <w:t>Original : anglais</w:t>
            </w:r>
          </w:p>
        </w:tc>
      </w:tr>
    </w:tbl>
    <w:p w14:paraId="2F1D10BC" w14:textId="77777777" w:rsidR="007F20FA" w:rsidRPr="000312C0" w:rsidRDefault="007F20FA" w:rsidP="007F20FA">
      <w:pPr>
        <w:spacing w:before="120"/>
        <w:rPr>
          <w:b/>
          <w:sz w:val="28"/>
          <w:szCs w:val="28"/>
        </w:rPr>
      </w:pPr>
      <w:r w:rsidRPr="000312C0">
        <w:rPr>
          <w:b/>
          <w:sz w:val="28"/>
          <w:szCs w:val="28"/>
        </w:rPr>
        <w:t>Commission économique pour l’Europe</w:t>
      </w:r>
    </w:p>
    <w:p w14:paraId="0917CA73" w14:textId="77777777" w:rsidR="007F20FA" w:rsidRDefault="007F20FA" w:rsidP="007F20FA">
      <w:pPr>
        <w:spacing w:before="120"/>
        <w:rPr>
          <w:sz w:val="28"/>
          <w:szCs w:val="28"/>
        </w:rPr>
      </w:pPr>
      <w:r w:rsidRPr="00685843">
        <w:rPr>
          <w:sz w:val="28"/>
          <w:szCs w:val="28"/>
        </w:rPr>
        <w:t>Comité des transports intérieurs</w:t>
      </w:r>
    </w:p>
    <w:p w14:paraId="1991D00E" w14:textId="315C5402" w:rsidR="00743628" w:rsidRDefault="00743628"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9E75FB7" w14:textId="77777777" w:rsidR="00743628" w:rsidRDefault="00743628" w:rsidP="00257168">
      <w:pPr>
        <w:spacing w:before="120" w:after="120" w:line="240" w:lineRule="exact"/>
        <w:rPr>
          <w:b/>
        </w:rPr>
      </w:pPr>
      <w:r>
        <w:rPr>
          <w:b/>
        </w:rPr>
        <w:t>Groupe de travail de l’éclairage et de la signalisation lumineuse</w:t>
      </w:r>
    </w:p>
    <w:p w14:paraId="0C4FA38F" w14:textId="3C5FC01D" w:rsidR="00743628" w:rsidRDefault="00743628" w:rsidP="00257168">
      <w:pPr>
        <w:spacing w:before="120" w:line="240" w:lineRule="exact"/>
        <w:rPr>
          <w:b/>
        </w:rPr>
      </w:pPr>
      <w:r>
        <w:rPr>
          <w:b/>
        </w:rPr>
        <w:t>Quatre-vingt-septième session</w:t>
      </w:r>
    </w:p>
    <w:p w14:paraId="664261A4" w14:textId="65479151" w:rsidR="00743628" w:rsidRDefault="00743628" w:rsidP="00257168">
      <w:pPr>
        <w:spacing w:line="240" w:lineRule="exact"/>
      </w:pPr>
      <w:r>
        <w:t>Genève, 25-28 octobre 2022</w:t>
      </w:r>
    </w:p>
    <w:p w14:paraId="1BA8AF5D" w14:textId="3776BC15" w:rsidR="00743628" w:rsidRDefault="00743628" w:rsidP="00257168">
      <w:pPr>
        <w:spacing w:line="240" w:lineRule="exact"/>
      </w:pPr>
      <w:r>
        <w:t>Point 6 b) de l’ordre du jour provisoire</w:t>
      </w:r>
    </w:p>
    <w:p w14:paraId="4A5F0FF8" w14:textId="536D7BD2" w:rsidR="00743628" w:rsidRPr="00743628" w:rsidRDefault="00743628" w:rsidP="00743628">
      <w:pPr>
        <w:rPr>
          <w:b/>
          <w:bCs/>
          <w:lang w:val="fr-FR"/>
        </w:rPr>
      </w:pPr>
      <w:r w:rsidRPr="00743628">
        <w:rPr>
          <w:b/>
          <w:bCs/>
          <w:lang w:val="fr-FR"/>
        </w:rPr>
        <w:t>Règlements ONU concernant l’installation</w:t>
      </w:r>
      <w:r w:rsidRPr="00743628">
        <w:rPr>
          <w:b/>
          <w:bCs/>
          <w:lang w:val="fr-FR"/>
        </w:rPr>
        <w:t> </w:t>
      </w:r>
      <w:r w:rsidRPr="00743628">
        <w:rPr>
          <w:b/>
          <w:bCs/>
          <w:lang w:val="fr-FR"/>
        </w:rPr>
        <w:t>:</w:t>
      </w:r>
      <w:r w:rsidRPr="00743628">
        <w:rPr>
          <w:b/>
          <w:bCs/>
          <w:lang w:val="fr-FR"/>
        </w:rPr>
        <w:t xml:space="preserve"> </w:t>
      </w:r>
      <w:r w:rsidRPr="00743628">
        <w:rPr>
          <w:b/>
          <w:bCs/>
          <w:lang w:val="fr-FR"/>
        </w:rPr>
        <w:t>Règlement ONU n</w:t>
      </w:r>
      <w:r w:rsidRPr="00743628">
        <w:rPr>
          <w:b/>
          <w:bCs/>
          <w:vertAlign w:val="superscript"/>
          <w:lang w:val="fr-FR"/>
        </w:rPr>
        <w:t>o</w:t>
      </w:r>
      <w:r w:rsidRPr="00743628">
        <w:rPr>
          <w:b/>
          <w:bCs/>
          <w:lang w:val="fr-FR"/>
        </w:rPr>
        <w:t> </w:t>
      </w:r>
      <w:r w:rsidRPr="00743628">
        <w:rPr>
          <w:b/>
          <w:bCs/>
          <w:lang w:val="fr-FR"/>
        </w:rPr>
        <w:t xml:space="preserve">53 </w:t>
      </w:r>
      <w:r w:rsidRPr="00743628">
        <w:rPr>
          <w:b/>
          <w:bCs/>
          <w:lang w:val="fr-FR"/>
        </w:rPr>
        <w:br/>
      </w:r>
      <w:r w:rsidRPr="00743628">
        <w:rPr>
          <w:b/>
          <w:bCs/>
          <w:lang w:val="fr-FR"/>
        </w:rPr>
        <w:t xml:space="preserve">(Installation des dispositifs d’éclairage et de signalisation </w:t>
      </w:r>
      <w:r w:rsidRPr="00743628">
        <w:rPr>
          <w:b/>
          <w:bCs/>
          <w:lang w:val="fr-FR"/>
        </w:rPr>
        <w:br/>
      </w:r>
      <w:r w:rsidRPr="00743628">
        <w:rPr>
          <w:b/>
          <w:bCs/>
          <w:lang w:val="fr-FR"/>
        </w:rPr>
        <w:t>lumineuse des véhicules de la catégorie</w:t>
      </w:r>
      <w:r w:rsidRPr="00743628">
        <w:rPr>
          <w:b/>
          <w:bCs/>
          <w:lang w:val="fr-FR"/>
        </w:rPr>
        <w:t> </w:t>
      </w:r>
      <w:r w:rsidRPr="00743628">
        <w:rPr>
          <w:b/>
          <w:bCs/>
          <w:lang w:val="fr-FR"/>
        </w:rPr>
        <w:t>L</w:t>
      </w:r>
      <w:r w:rsidRPr="00726EEF">
        <w:rPr>
          <w:b/>
          <w:bCs/>
          <w:vertAlign w:val="subscript"/>
          <w:lang w:val="fr-FR"/>
        </w:rPr>
        <w:t>3</w:t>
      </w:r>
      <w:r w:rsidRPr="00743628">
        <w:rPr>
          <w:b/>
          <w:bCs/>
          <w:lang w:val="fr-FR"/>
        </w:rPr>
        <w:t>)</w:t>
      </w:r>
    </w:p>
    <w:p w14:paraId="3BF47523" w14:textId="2637611A" w:rsidR="00743628" w:rsidRPr="00C00C51" w:rsidRDefault="00743628" w:rsidP="00743628">
      <w:pPr>
        <w:pStyle w:val="HChG"/>
        <w:rPr>
          <w:lang w:val="fr-FR"/>
        </w:rPr>
      </w:pPr>
      <w:r w:rsidRPr="00C00C51">
        <w:rPr>
          <w:lang w:val="fr-FR"/>
        </w:rPr>
        <w:tab/>
      </w:r>
      <w:r w:rsidRPr="00C00C51">
        <w:rPr>
          <w:lang w:val="fr-FR"/>
        </w:rPr>
        <w:tab/>
        <w:t>Propositions de nouvelle série</w:t>
      </w:r>
      <w:r>
        <w:rPr>
          <w:lang w:val="fr-FR"/>
        </w:rPr>
        <w:t> </w:t>
      </w:r>
      <w:r w:rsidRPr="00C00C51">
        <w:rPr>
          <w:lang w:val="fr-FR"/>
        </w:rPr>
        <w:t>04 d</w:t>
      </w:r>
      <w:r>
        <w:rPr>
          <w:lang w:val="fr-FR"/>
        </w:rPr>
        <w:t>’</w:t>
      </w:r>
      <w:r w:rsidRPr="00C00C51">
        <w:rPr>
          <w:lang w:val="fr-FR"/>
        </w:rPr>
        <w:t>amendements au</w:t>
      </w:r>
      <w:r>
        <w:rPr>
          <w:lang w:val="fr-FR"/>
        </w:rPr>
        <w:t> </w:t>
      </w:r>
      <w:r w:rsidRPr="00C00C51">
        <w:rPr>
          <w:lang w:val="fr-FR"/>
        </w:rPr>
        <w:t>Règlement ONU n</w:t>
      </w:r>
      <w:r w:rsidRPr="00C00C51">
        <w:rPr>
          <w:vertAlign w:val="superscript"/>
          <w:lang w:val="fr-FR"/>
        </w:rPr>
        <w:t>o</w:t>
      </w:r>
      <w:r>
        <w:rPr>
          <w:lang w:val="fr-FR"/>
        </w:rPr>
        <w:t> </w:t>
      </w:r>
      <w:r w:rsidRPr="00C00C51">
        <w:rPr>
          <w:lang w:val="fr-FR"/>
        </w:rPr>
        <w:t>53</w:t>
      </w:r>
    </w:p>
    <w:p w14:paraId="2C3E839A" w14:textId="6123B14F" w:rsidR="00743628" w:rsidRPr="00C00C51" w:rsidRDefault="00743628" w:rsidP="00743628">
      <w:pPr>
        <w:pStyle w:val="H1G"/>
        <w:rPr>
          <w:szCs w:val="24"/>
          <w:lang w:val="fr-FR"/>
        </w:rPr>
      </w:pPr>
      <w:r>
        <w:rPr>
          <w:lang w:val="fr-FR"/>
        </w:rPr>
        <w:tab/>
      </w:r>
      <w:r>
        <w:rPr>
          <w:lang w:val="fr-FR"/>
        </w:rPr>
        <w:tab/>
      </w:r>
      <w:r w:rsidRPr="00C00C51">
        <w:rPr>
          <w:lang w:val="fr-FR"/>
        </w:rPr>
        <w:t>Communication des experts de l</w:t>
      </w:r>
      <w:r>
        <w:rPr>
          <w:lang w:val="fr-FR"/>
        </w:rPr>
        <w:t>’</w:t>
      </w:r>
      <w:r w:rsidRPr="00C00C51">
        <w:rPr>
          <w:lang w:val="fr-FR"/>
        </w:rPr>
        <w:t>Allemagne et de la Tchéquie</w:t>
      </w:r>
      <w:r w:rsidRPr="00743628">
        <w:rPr>
          <w:rStyle w:val="Appelnotedebasdep"/>
          <w:b w:val="0"/>
          <w:bCs/>
          <w:sz w:val="20"/>
          <w:vertAlign w:val="baseline"/>
        </w:rPr>
        <w:footnoteReference w:customMarkFollows="1" w:id="2"/>
        <w:t>*</w:t>
      </w:r>
    </w:p>
    <w:p w14:paraId="47FEA85D" w14:textId="42B9924A" w:rsidR="00F9573C" w:rsidRDefault="00743628" w:rsidP="00743628">
      <w:pPr>
        <w:pStyle w:val="SingleTxtG"/>
        <w:ind w:firstLine="567"/>
        <w:rPr>
          <w:lang w:val="fr-FR"/>
        </w:rPr>
      </w:pPr>
      <w:r w:rsidRPr="00C00C51">
        <w:rPr>
          <w:lang w:val="fr-FR"/>
        </w:rPr>
        <w:t>Le présent document contient une proposition visant à améliorer la sécurité routière des motocycles en limitant les classes de projecteurs dans le Règlement ONU n</w:t>
      </w:r>
      <w:r w:rsidRPr="00C00C51">
        <w:rPr>
          <w:vertAlign w:val="superscript"/>
          <w:lang w:val="fr-FR"/>
        </w:rPr>
        <w:t>o</w:t>
      </w:r>
      <w:r>
        <w:rPr>
          <w:lang w:val="fr-FR"/>
        </w:rPr>
        <w:t> </w:t>
      </w:r>
      <w:r w:rsidRPr="00C00C51">
        <w:rPr>
          <w:lang w:val="fr-FR"/>
        </w:rPr>
        <w:t>53 et à assurer la compatibilité avec les systèmes à propulsion électrique. La présente proposition est fondée sur le document ECE/TRANS/WP.29/GRE/2022/3 tel que modifié par le document informel GRE-86-15, soumis à la quatre-vingt-sixième session du Groupe de travail de l</w:t>
      </w:r>
      <w:r>
        <w:rPr>
          <w:lang w:val="fr-FR"/>
        </w:rPr>
        <w:t>’</w:t>
      </w:r>
      <w:r w:rsidRPr="00C00C51">
        <w:rPr>
          <w:lang w:val="fr-FR"/>
        </w:rPr>
        <w:t>éclairage et de la signalisation lumineuse (GRE). Les modifications qu</w:t>
      </w:r>
      <w:r>
        <w:rPr>
          <w:lang w:val="fr-FR"/>
        </w:rPr>
        <w:t>’</w:t>
      </w:r>
      <w:r w:rsidRPr="00C00C51">
        <w:rPr>
          <w:lang w:val="fr-FR"/>
        </w:rPr>
        <w:t>il est proposé d</w:t>
      </w:r>
      <w:r>
        <w:rPr>
          <w:lang w:val="fr-FR"/>
        </w:rPr>
        <w:t>’</w:t>
      </w:r>
      <w:r w:rsidRPr="00C00C51">
        <w:rPr>
          <w:lang w:val="fr-FR"/>
        </w:rPr>
        <w:t>apporter au texte actuel du Règlement ONU figurent en caractères gras pour les ajouts et biffés pour les suppressions.</w:t>
      </w:r>
    </w:p>
    <w:p w14:paraId="642E08CE" w14:textId="18C5C093" w:rsidR="00743628" w:rsidRDefault="00743628" w:rsidP="00743628">
      <w:pPr>
        <w:pStyle w:val="SingleTxtG"/>
        <w:ind w:firstLine="567"/>
        <w:rPr>
          <w:lang w:val="fr-FR"/>
        </w:rPr>
      </w:pPr>
      <w:r>
        <w:rPr>
          <w:lang w:val="fr-FR"/>
        </w:rPr>
        <w:br w:type="page"/>
      </w:r>
    </w:p>
    <w:p w14:paraId="13B819D4" w14:textId="77777777" w:rsidR="00743628" w:rsidRPr="00C00C51" w:rsidRDefault="00743628" w:rsidP="00743628">
      <w:pPr>
        <w:pStyle w:val="HChG"/>
        <w:rPr>
          <w:lang w:val="fr-FR"/>
        </w:rPr>
      </w:pPr>
      <w:r w:rsidRPr="00C00C51">
        <w:rPr>
          <w:lang w:val="fr-FR"/>
        </w:rPr>
        <w:lastRenderedPageBreak/>
        <w:tab/>
        <w:t>I.</w:t>
      </w:r>
      <w:r w:rsidRPr="00C00C51">
        <w:rPr>
          <w:lang w:val="fr-FR"/>
        </w:rPr>
        <w:tab/>
        <w:t>Proposition</w:t>
      </w:r>
    </w:p>
    <w:p w14:paraId="18C3A087" w14:textId="77777777" w:rsidR="00743628" w:rsidRPr="00C00C51" w:rsidRDefault="00743628" w:rsidP="00743628">
      <w:pPr>
        <w:pStyle w:val="SingleTxtG"/>
        <w:rPr>
          <w:lang w:val="fr-FR"/>
        </w:rPr>
      </w:pPr>
      <w:r w:rsidRPr="00C00C51">
        <w:rPr>
          <w:i/>
          <w:iCs/>
          <w:lang w:val="fr-FR"/>
        </w:rPr>
        <w:t>Paragraphe 6.1.1</w:t>
      </w:r>
      <w:r w:rsidRPr="00C00C51">
        <w:rPr>
          <w:lang w:val="fr-FR"/>
        </w:rPr>
        <w:t>, lire :</w:t>
      </w:r>
    </w:p>
    <w:p w14:paraId="23F20B99" w14:textId="726785B5" w:rsidR="00743628" w:rsidRPr="00C00C51" w:rsidRDefault="00743628" w:rsidP="00743628">
      <w:pPr>
        <w:pStyle w:val="SingleTxtG"/>
        <w:rPr>
          <w:lang w:val="fr-FR"/>
        </w:rPr>
      </w:pPr>
      <w:r w:rsidRPr="00C00C51">
        <w:rPr>
          <w:lang w:val="fr-FR"/>
        </w:rPr>
        <w:t>« 6.1.1</w:t>
      </w:r>
      <w:r w:rsidRPr="00C00C51">
        <w:rPr>
          <w:lang w:val="fr-FR"/>
        </w:rPr>
        <w:tab/>
      </w:r>
      <w:r>
        <w:rPr>
          <w:lang w:val="fr-FR"/>
        </w:rPr>
        <w:tab/>
      </w:r>
      <w:r w:rsidRPr="00C00C51">
        <w:rPr>
          <w:lang w:val="fr-FR"/>
        </w:rPr>
        <w:t>Nombre</w:t>
      </w:r>
    </w:p>
    <w:p w14:paraId="17B3BB09" w14:textId="52B111D3" w:rsidR="00743628" w:rsidRPr="00C00C51" w:rsidRDefault="00743628" w:rsidP="00743628">
      <w:pPr>
        <w:pStyle w:val="SingleTxtG"/>
        <w:ind w:left="2268" w:hanging="1134"/>
        <w:rPr>
          <w:lang w:val="fr-FR"/>
        </w:rPr>
      </w:pPr>
      <w:r w:rsidRPr="00C00C51">
        <w:rPr>
          <w:lang w:val="fr-FR"/>
        </w:rPr>
        <w:t>6.1.1.1</w:t>
      </w:r>
      <w:r w:rsidRPr="00C00C51">
        <w:rPr>
          <w:lang w:val="fr-FR"/>
        </w:rPr>
        <w:tab/>
      </w:r>
      <w:r>
        <w:rPr>
          <w:lang w:val="fr-FR"/>
        </w:rPr>
        <w:tab/>
      </w:r>
      <w:r w:rsidRPr="00C00C51">
        <w:rPr>
          <w:lang w:val="fr-FR"/>
        </w:rPr>
        <w:t>Pour les motocycles d</w:t>
      </w:r>
      <w:r>
        <w:rPr>
          <w:lang w:val="fr-FR"/>
        </w:rPr>
        <w:t>’</w:t>
      </w:r>
      <w:r w:rsidRPr="00C00C51">
        <w:rPr>
          <w:lang w:val="fr-FR"/>
        </w:rPr>
        <w:t>une cylindrée ≤125</w:t>
      </w:r>
      <w:r>
        <w:rPr>
          <w:lang w:val="fr-FR"/>
        </w:rPr>
        <w:t> </w:t>
      </w:r>
      <w:r w:rsidRPr="00C00C51">
        <w:rPr>
          <w:lang w:val="fr-FR"/>
        </w:rPr>
        <w:t>cm</w:t>
      </w:r>
      <w:r w:rsidRPr="00C00C51">
        <w:rPr>
          <w:vertAlign w:val="superscript"/>
          <w:lang w:val="fr-FR"/>
        </w:rPr>
        <w:t>3</w:t>
      </w:r>
      <w:r w:rsidRPr="00C00C51">
        <w:rPr>
          <w:lang w:val="fr-FR"/>
        </w:rPr>
        <w:t xml:space="preserve"> </w:t>
      </w:r>
      <w:r w:rsidRPr="00C00C51">
        <w:rPr>
          <w:b/>
          <w:lang w:val="fr-FR"/>
        </w:rPr>
        <w:t>et d</w:t>
      </w:r>
      <w:r>
        <w:rPr>
          <w:b/>
          <w:lang w:val="fr-FR"/>
        </w:rPr>
        <w:t>’</w:t>
      </w:r>
      <w:r w:rsidRPr="00C00C51">
        <w:rPr>
          <w:b/>
          <w:lang w:val="fr-FR"/>
        </w:rPr>
        <w:t>une puissance maximale ≤ 11</w:t>
      </w:r>
      <w:r>
        <w:rPr>
          <w:b/>
          <w:lang w:val="fr-FR"/>
        </w:rPr>
        <w:t> </w:t>
      </w:r>
      <w:r w:rsidRPr="00C00C51">
        <w:rPr>
          <w:b/>
          <w:lang w:val="fr-FR"/>
        </w:rPr>
        <w:t>kW</w:t>
      </w:r>
      <w:r w:rsidRPr="000C0F44">
        <w:rPr>
          <w:b/>
          <w:vertAlign w:val="superscript"/>
          <w:lang w:val="fr-FR"/>
        </w:rPr>
        <w:t>(*)</w:t>
      </w:r>
    </w:p>
    <w:p w14:paraId="651B0290" w14:textId="61DBD10B" w:rsidR="00743628" w:rsidRPr="00C00C51" w:rsidRDefault="00743628" w:rsidP="00743628">
      <w:pPr>
        <w:pStyle w:val="SingleTxtG"/>
        <w:ind w:left="2268"/>
        <w:rPr>
          <w:lang w:val="fr-FR" w:eastAsia="zh-CN"/>
        </w:rPr>
      </w:pPr>
      <w:r w:rsidRPr="00C00C51">
        <w:rPr>
          <w:lang w:val="fr-FR" w:eastAsia="zh-CN"/>
        </w:rPr>
        <w:t>Un ou deux du type homologué selon</w:t>
      </w:r>
      <w:r>
        <w:rPr>
          <w:lang w:val="fr-FR" w:eastAsia="zh-CN"/>
        </w:rPr>
        <w:t> </w:t>
      </w:r>
      <w:r w:rsidRPr="00C00C51">
        <w:rPr>
          <w:lang w:val="fr-FR" w:eastAsia="zh-CN"/>
        </w:rPr>
        <w:t>:</w:t>
      </w:r>
    </w:p>
    <w:p w14:paraId="583E344A" w14:textId="00050E57" w:rsidR="00743628" w:rsidRPr="00C00C51" w:rsidRDefault="00743628" w:rsidP="00743628">
      <w:pPr>
        <w:pStyle w:val="SingleTxtG"/>
        <w:ind w:left="2268"/>
        <w:rPr>
          <w:lang w:val="fr-FR"/>
        </w:rPr>
      </w:pPr>
      <w:r w:rsidRPr="00C00C51">
        <w:rPr>
          <w:lang w:val="fr-FR"/>
        </w:rPr>
        <w:t>a)</w:t>
      </w:r>
      <w:r w:rsidRPr="00C00C51">
        <w:rPr>
          <w:lang w:val="fr-FR"/>
        </w:rPr>
        <w:tab/>
        <w:t>La classe</w:t>
      </w:r>
      <w:r>
        <w:rPr>
          <w:lang w:val="fr-FR"/>
        </w:rPr>
        <w:t> </w:t>
      </w:r>
      <w:r w:rsidRPr="00C00C51">
        <w:rPr>
          <w:lang w:val="fr-FR"/>
        </w:rPr>
        <w:t>C, D ou E du Règlement ONU n</w:t>
      </w:r>
      <w:r w:rsidRPr="00C00C51">
        <w:rPr>
          <w:vertAlign w:val="superscript"/>
          <w:lang w:val="fr-FR"/>
        </w:rPr>
        <w:t>o</w:t>
      </w:r>
      <w:r>
        <w:rPr>
          <w:lang w:val="fr-FR"/>
        </w:rPr>
        <w:t> </w:t>
      </w:r>
      <w:r w:rsidRPr="00C00C51">
        <w:rPr>
          <w:lang w:val="fr-FR"/>
        </w:rPr>
        <w:t>113</w:t>
      </w:r>
      <w:r>
        <w:rPr>
          <w:lang w:val="fr-FR"/>
        </w:rPr>
        <w:t> </w:t>
      </w:r>
      <w:r w:rsidRPr="00C00C51">
        <w:rPr>
          <w:lang w:val="fr-FR"/>
        </w:rPr>
        <w:t>;</w:t>
      </w:r>
    </w:p>
    <w:p w14:paraId="6568DCE3" w14:textId="5290FE25" w:rsidR="00743628" w:rsidRPr="00C00C51" w:rsidRDefault="00743628" w:rsidP="00743628">
      <w:pPr>
        <w:pStyle w:val="SingleTxtG"/>
        <w:ind w:left="2268"/>
        <w:rPr>
          <w:lang w:val="fr-FR"/>
        </w:rPr>
      </w:pPr>
      <w:r w:rsidRPr="00C00C51">
        <w:rPr>
          <w:lang w:val="fr-FR"/>
        </w:rPr>
        <w:t>b)</w:t>
      </w:r>
      <w:r w:rsidRPr="00C00C51">
        <w:rPr>
          <w:lang w:val="fr-FR"/>
        </w:rPr>
        <w:tab/>
      </w:r>
      <w:r w:rsidRPr="00C00C51">
        <w:rPr>
          <w:b/>
          <w:lang w:val="fr-FR"/>
        </w:rPr>
        <w:t>La classe B du</w:t>
      </w:r>
      <w:r w:rsidRPr="00C00C51">
        <w:rPr>
          <w:lang w:val="fr-FR"/>
        </w:rPr>
        <w:t xml:space="preserve"> Règlement ONU n</w:t>
      </w:r>
      <w:r w:rsidRPr="00C00C51">
        <w:rPr>
          <w:vertAlign w:val="superscript"/>
          <w:lang w:val="fr-FR"/>
        </w:rPr>
        <w:t>o</w:t>
      </w:r>
      <w:r>
        <w:rPr>
          <w:lang w:val="fr-FR"/>
        </w:rPr>
        <w:t> </w:t>
      </w:r>
      <w:r w:rsidRPr="00C00C51">
        <w:rPr>
          <w:lang w:val="fr-FR"/>
        </w:rPr>
        <w:t>112</w:t>
      </w:r>
      <w:r>
        <w:rPr>
          <w:lang w:val="fr-FR"/>
        </w:rPr>
        <w:t> </w:t>
      </w:r>
      <w:r w:rsidRPr="00C00C51">
        <w:rPr>
          <w:lang w:val="fr-FR"/>
        </w:rPr>
        <w:t>;</w:t>
      </w:r>
    </w:p>
    <w:p w14:paraId="02EEE0C9" w14:textId="5600E98B" w:rsidR="00743628" w:rsidRPr="00C00C51" w:rsidRDefault="00743628" w:rsidP="00743628">
      <w:pPr>
        <w:pStyle w:val="SingleTxtG"/>
        <w:ind w:left="2268"/>
        <w:rPr>
          <w:strike/>
          <w:lang w:val="fr-FR"/>
        </w:rPr>
      </w:pPr>
      <w:r w:rsidRPr="00C00C51">
        <w:rPr>
          <w:strike/>
          <w:lang w:val="fr-FR"/>
        </w:rPr>
        <w:t>c)</w:t>
      </w:r>
      <w:r w:rsidRPr="00C00C51">
        <w:rPr>
          <w:strike/>
          <w:lang w:val="fr-FR"/>
        </w:rPr>
        <w:tab/>
        <w:t>Le Règlement ONU n</w:t>
      </w:r>
      <w:r w:rsidRPr="00C00C51">
        <w:rPr>
          <w:strike/>
          <w:vertAlign w:val="superscript"/>
          <w:lang w:val="fr-FR"/>
        </w:rPr>
        <w:t>o</w:t>
      </w:r>
      <w:r>
        <w:rPr>
          <w:strike/>
          <w:lang w:val="fr-FR"/>
        </w:rPr>
        <w:t> </w:t>
      </w:r>
      <w:r w:rsidRPr="00C00C51">
        <w:rPr>
          <w:strike/>
          <w:lang w:val="fr-FR"/>
        </w:rPr>
        <w:t>1</w:t>
      </w:r>
      <w:r>
        <w:rPr>
          <w:strike/>
          <w:lang w:val="fr-FR"/>
        </w:rPr>
        <w:t> </w:t>
      </w:r>
      <w:r w:rsidRPr="00C00C51">
        <w:rPr>
          <w:strike/>
          <w:lang w:val="fr-FR"/>
        </w:rPr>
        <w:t>;</w:t>
      </w:r>
    </w:p>
    <w:p w14:paraId="21323D36" w14:textId="7C0C4C70" w:rsidR="00743628" w:rsidRPr="00C00C51" w:rsidRDefault="00743628" w:rsidP="00743628">
      <w:pPr>
        <w:pStyle w:val="SingleTxtG"/>
        <w:ind w:left="2268"/>
        <w:rPr>
          <w:lang w:val="fr-FR"/>
        </w:rPr>
      </w:pPr>
      <w:r w:rsidRPr="00C00C51">
        <w:rPr>
          <w:strike/>
          <w:lang w:val="fr-FR"/>
        </w:rPr>
        <w:t>d)</w:t>
      </w:r>
      <w:r w:rsidRPr="00C00C51">
        <w:rPr>
          <w:b/>
          <w:lang w:val="fr-FR"/>
        </w:rPr>
        <w:t>c)</w:t>
      </w:r>
      <w:r w:rsidRPr="00C00C51">
        <w:rPr>
          <w:lang w:val="fr-FR"/>
        </w:rPr>
        <w:tab/>
        <w:t>Le Règlement ONU n</w:t>
      </w:r>
      <w:r w:rsidRPr="00C00C51">
        <w:rPr>
          <w:vertAlign w:val="superscript"/>
          <w:lang w:val="fr-FR"/>
        </w:rPr>
        <w:t>o</w:t>
      </w:r>
      <w:r>
        <w:rPr>
          <w:lang w:val="fr-FR"/>
        </w:rPr>
        <w:t> </w:t>
      </w:r>
      <w:r w:rsidRPr="00C00C51">
        <w:rPr>
          <w:lang w:val="fr-FR"/>
        </w:rPr>
        <w:t>8 ;</w:t>
      </w:r>
    </w:p>
    <w:p w14:paraId="1F631152" w14:textId="6C00F970" w:rsidR="00743628" w:rsidRPr="00C00C51" w:rsidRDefault="00743628" w:rsidP="00743628">
      <w:pPr>
        <w:pStyle w:val="SingleTxtG"/>
        <w:ind w:left="2268"/>
        <w:rPr>
          <w:lang w:val="fr-FR"/>
        </w:rPr>
      </w:pPr>
      <w:r w:rsidRPr="00C00C51">
        <w:rPr>
          <w:strike/>
          <w:lang w:val="fr-FR"/>
        </w:rPr>
        <w:t>e)</w:t>
      </w:r>
      <w:r w:rsidRPr="00C00C51">
        <w:rPr>
          <w:b/>
          <w:lang w:val="fr-FR"/>
        </w:rPr>
        <w:t>d)</w:t>
      </w:r>
      <w:r w:rsidRPr="00C00C51">
        <w:rPr>
          <w:lang w:val="fr-FR"/>
        </w:rPr>
        <w:tab/>
        <w:t>Le Règlement ONU n</w:t>
      </w:r>
      <w:r w:rsidRPr="00C00C51">
        <w:rPr>
          <w:vertAlign w:val="superscript"/>
          <w:lang w:val="fr-FR"/>
        </w:rPr>
        <w:t>o</w:t>
      </w:r>
      <w:r>
        <w:rPr>
          <w:lang w:val="fr-FR"/>
        </w:rPr>
        <w:t> </w:t>
      </w:r>
      <w:r w:rsidRPr="00C00C51">
        <w:rPr>
          <w:lang w:val="fr-FR"/>
        </w:rPr>
        <w:t>20 ;</w:t>
      </w:r>
    </w:p>
    <w:p w14:paraId="369C32F5" w14:textId="4005795F" w:rsidR="00743628" w:rsidRPr="00C00C51" w:rsidRDefault="00743628" w:rsidP="00743628">
      <w:pPr>
        <w:pStyle w:val="SingleTxtG"/>
        <w:ind w:left="2268"/>
        <w:rPr>
          <w:strike/>
          <w:lang w:val="fr-FR"/>
        </w:rPr>
      </w:pPr>
      <w:r w:rsidRPr="00C00C51">
        <w:rPr>
          <w:strike/>
          <w:lang w:val="fr-FR"/>
        </w:rPr>
        <w:t>f)</w:t>
      </w:r>
      <w:r w:rsidRPr="00C00C51">
        <w:rPr>
          <w:strike/>
          <w:lang w:val="fr-FR"/>
        </w:rPr>
        <w:tab/>
        <w:t>Le Règlement ONU n</w:t>
      </w:r>
      <w:r w:rsidRPr="00C00C51">
        <w:rPr>
          <w:strike/>
          <w:vertAlign w:val="superscript"/>
          <w:lang w:val="fr-FR"/>
        </w:rPr>
        <w:t>o</w:t>
      </w:r>
      <w:r>
        <w:rPr>
          <w:strike/>
          <w:lang w:val="fr-FR"/>
        </w:rPr>
        <w:t> </w:t>
      </w:r>
      <w:r w:rsidRPr="00C00C51">
        <w:rPr>
          <w:strike/>
          <w:lang w:val="fr-FR"/>
        </w:rPr>
        <w:t>57</w:t>
      </w:r>
      <w:r>
        <w:rPr>
          <w:strike/>
          <w:lang w:val="fr-FR"/>
        </w:rPr>
        <w:t> </w:t>
      </w:r>
      <w:r w:rsidRPr="00C00C51">
        <w:rPr>
          <w:strike/>
          <w:lang w:val="fr-FR"/>
        </w:rPr>
        <w:t>;</w:t>
      </w:r>
    </w:p>
    <w:p w14:paraId="215BB560" w14:textId="0DA589F7" w:rsidR="00743628" w:rsidRPr="00C00C51" w:rsidRDefault="00743628" w:rsidP="00743628">
      <w:pPr>
        <w:pStyle w:val="SingleTxtG"/>
        <w:ind w:left="2268"/>
        <w:rPr>
          <w:strike/>
          <w:lang w:val="fr-FR"/>
        </w:rPr>
      </w:pPr>
      <w:r w:rsidRPr="00C00C51">
        <w:rPr>
          <w:strike/>
          <w:lang w:val="fr-FR"/>
        </w:rPr>
        <w:t>g)</w:t>
      </w:r>
      <w:r w:rsidRPr="00C00C51">
        <w:rPr>
          <w:strike/>
          <w:lang w:val="fr-FR"/>
        </w:rPr>
        <w:tab/>
        <w:t>Le Règlement ONU n</w:t>
      </w:r>
      <w:r w:rsidRPr="00C00C51">
        <w:rPr>
          <w:strike/>
          <w:vertAlign w:val="superscript"/>
          <w:lang w:val="fr-FR"/>
        </w:rPr>
        <w:t>o</w:t>
      </w:r>
      <w:r>
        <w:rPr>
          <w:strike/>
          <w:lang w:val="fr-FR"/>
        </w:rPr>
        <w:t> </w:t>
      </w:r>
      <w:r w:rsidRPr="00C00C51">
        <w:rPr>
          <w:strike/>
          <w:lang w:val="fr-FR"/>
        </w:rPr>
        <w:t>72</w:t>
      </w:r>
      <w:r>
        <w:rPr>
          <w:strike/>
          <w:lang w:val="fr-FR"/>
        </w:rPr>
        <w:t> </w:t>
      </w:r>
      <w:r w:rsidRPr="00C00C51">
        <w:rPr>
          <w:strike/>
          <w:lang w:val="fr-FR"/>
        </w:rPr>
        <w:t>;</w:t>
      </w:r>
    </w:p>
    <w:p w14:paraId="5649EB95" w14:textId="21D5178E" w:rsidR="00743628" w:rsidRPr="00C00C51" w:rsidRDefault="00743628" w:rsidP="00743628">
      <w:pPr>
        <w:pStyle w:val="SingleTxtG"/>
        <w:ind w:left="2268"/>
        <w:rPr>
          <w:lang w:val="fr-FR"/>
        </w:rPr>
      </w:pPr>
      <w:r w:rsidRPr="00C00C51">
        <w:rPr>
          <w:strike/>
          <w:lang w:val="fr-FR"/>
        </w:rPr>
        <w:t>h)</w:t>
      </w:r>
      <w:r w:rsidRPr="00C00C51">
        <w:rPr>
          <w:b/>
          <w:lang w:val="fr-FR"/>
        </w:rPr>
        <w:t>e)</w:t>
      </w:r>
      <w:r w:rsidRPr="00C00C51">
        <w:rPr>
          <w:lang w:val="fr-FR"/>
        </w:rPr>
        <w:tab/>
        <w:t>Le Règlement ONU n</w:t>
      </w:r>
      <w:r w:rsidRPr="00C00C51">
        <w:rPr>
          <w:vertAlign w:val="superscript"/>
          <w:lang w:val="fr-FR"/>
        </w:rPr>
        <w:t>o</w:t>
      </w:r>
      <w:r>
        <w:rPr>
          <w:lang w:val="fr-FR"/>
        </w:rPr>
        <w:t> </w:t>
      </w:r>
      <w:r w:rsidRPr="00C00C51">
        <w:rPr>
          <w:lang w:val="fr-FR"/>
        </w:rPr>
        <w:t>98</w:t>
      </w:r>
      <w:r>
        <w:rPr>
          <w:lang w:val="fr-FR"/>
        </w:rPr>
        <w:t> ;</w:t>
      </w:r>
    </w:p>
    <w:p w14:paraId="6CDF8672" w14:textId="0D3B6942" w:rsidR="00743628" w:rsidRPr="00C00C51" w:rsidRDefault="00743628" w:rsidP="00743628">
      <w:pPr>
        <w:pStyle w:val="SingleTxtG"/>
        <w:ind w:left="2268"/>
        <w:rPr>
          <w:iCs/>
          <w:lang w:val="fr-FR"/>
        </w:rPr>
      </w:pPr>
      <w:r w:rsidRPr="00C00C51">
        <w:rPr>
          <w:strike/>
          <w:lang w:val="fr-FR"/>
        </w:rPr>
        <w:t>i)</w:t>
      </w:r>
      <w:r w:rsidRPr="00C00C51">
        <w:rPr>
          <w:b/>
          <w:lang w:val="fr-FR"/>
        </w:rPr>
        <w:t>f)</w:t>
      </w:r>
      <w:r w:rsidRPr="00C00C51">
        <w:rPr>
          <w:lang w:val="fr-FR"/>
        </w:rPr>
        <w:tab/>
        <w:t xml:space="preserve">La classe </w:t>
      </w:r>
      <w:r w:rsidRPr="00C00C51">
        <w:rPr>
          <w:strike/>
          <w:lang w:val="fr-FR"/>
        </w:rPr>
        <w:t>A</w:t>
      </w:r>
      <w:r w:rsidRPr="00C00C51">
        <w:rPr>
          <w:lang w:val="fr-FR"/>
        </w:rPr>
        <w:t>, B, D, CS, DS ou ES du Règlement ONU n</w:t>
      </w:r>
      <w:r w:rsidRPr="00C00C51">
        <w:rPr>
          <w:vertAlign w:val="superscript"/>
          <w:lang w:val="fr-FR"/>
        </w:rPr>
        <w:t>o</w:t>
      </w:r>
      <w:r>
        <w:rPr>
          <w:lang w:val="fr-FR"/>
        </w:rPr>
        <w:t> </w:t>
      </w:r>
      <w:r w:rsidRPr="00C00C51">
        <w:rPr>
          <w:lang w:val="fr-FR"/>
        </w:rPr>
        <w:t>149 ;</w:t>
      </w:r>
    </w:p>
    <w:p w14:paraId="5635C304" w14:textId="28097F37" w:rsidR="00743628" w:rsidRPr="00C00C51" w:rsidRDefault="00743628" w:rsidP="00743628">
      <w:pPr>
        <w:pStyle w:val="SingleTxtG"/>
        <w:ind w:left="2835" w:hanging="567"/>
        <w:rPr>
          <w:b/>
          <w:lang w:val="fr-FR"/>
        </w:rPr>
      </w:pPr>
      <w:r w:rsidRPr="00C00C51">
        <w:rPr>
          <w:b/>
          <w:lang w:val="fr-FR"/>
        </w:rPr>
        <w:t>g)</w:t>
      </w:r>
      <w:r w:rsidRPr="00C00C51">
        <w:rPr>
          <w:b/>
          <w:lang w:val="fr-FR"/>
        </w:rPr>
        <w:tab/>
        <w:t>La classe</w:t>
      </w:r>
      <w:r>
        <w:rPr>
          <w:b/>
          <w:lang w:val="fr-FR"/>
        </w:rPr>
        <w:t> </w:t>
      </w:r>
      <w:r w:rsidRPr="00C00C51">
        <w:rPr>
          <w:b/>
          <w:lang w:val="fr-FR"/>
        </w:rPr>
        <w:t>A de la série</w:t>
      </w:r>
      <w:r>
        <w:rPr>
          <w:b/>
          <w:lang w:val="fr-FR"/>
        </w:rPr>
        <w:t> </w:t>
      </w:r>
      <w:r w:rsidRPr="00C00C51">
        <w:rPr>
          <w:b/>
          <w:lang w:val="fr-FR"/>
        </w:rPr>
        <w:t>01 et des séries ultérieures d</w:t>
      </w:r>
      <w:r>
        <w:rPr>
          <w:b/>
          <w:lang w:val="fr-FR"/>
        </w:rPr>
        <w:t>’</w:t>
      </w:r>
      <w:r w:rsidRPr="00C00C51">
        <w:rPr>
          <w:b/>
          <w:lang w:val="fr-FR"/>
        </w:rPr>
        <w:t>amendements au Règlement ONU n</w:t>
      </w:r>
      <w:r w:rsidRPr="00C00C51">
        <w:rPr>
          <w:b/>
          <w:vertAlign w:val="superscript"/>
          <w:lang w:val="fr-FR"/>
        </w:rPr>
        <w:t>o</w:t>
      </w:r>
      <w:r>
        <w:rPr>
          <w:b/>
          <w:lang w:val="fr-FR"/>
        </w:rPr>
        <w:t> </w:t>
      </w:r>
      <w:r w:rsidRPr="00C00C51">
        <w:rPr>
          <w:b/>
          <w:lang w:val="fr-FR"/>
        </w:rPr>
        <w:t>149.</w:t>
      </w:r>
    </w:p>
    <w:p w14:paraId="6787572D" w14:textId="0E544A3F" w:rsidR="00743628" w:rsidRPr="00C00C51" w:rsidRDefault="00743628" w:rsidP="00743628">
      <w:pPr>
        <w:pStyle w:val="SingleTxtG"/>
        <w:ind w:left="2268" w:hanging="1134"/>
        <w:rPr>
          <w:lang w:val="fr-FR"/>
        </w:rPr>
      </w:pPr>
      <w:r w:rsidRPr="00C00C51">
        <w:rPr>
          <w:lang w:val="fr-FR"/>
        </w:rPr>
        <w:t>6.1.1.2</w:t>
      </w:r>
      <w:r w:rsidRPr="00C00C51">
        <w:rPr>
          <w:lang w:val="fr-FR"/>
        </w:rPr>
        <w:tab/>
        <w:t>Pour les motocycles d</w:t>
      </w:r>
      <w:r>
        <w:rPr>
          <w:lang w:val="fr-FR"/>
        </w:rPr>
        <w:t>’</w:t>
      </w:r>
      <w:r w:rsidRPr="00C00C51">
        <w:rPr>
          <w:lang w:val="fr-FR"/>
        </w:rPr>
        <w:t>une cylindrée &gt;125</w:t>
      </w:r>
      <w:r>
        <w:rPr>
          <w:lang w:val="fr-FR"/>
        </w:rPr>
        <w:t> </w:t>
      </w:r>
      <w:r w:rsidRPr="00C00C51">
        <w:rPr>
          <w:lang w:val="fr-FR"/>
        </w:rPr>
        <w:t>cm</w:t>
      </w:r>
      <w:r w:rsidRPr="00C00C51">
        <w:rPr>
          <w:vertAlign w:val="superscript"/>
          <w:lang w:val="fr-FR"/>
        </w:rPr>
        <w:t>3</w:t>
      </w:r>
      <w:r w:rsidRPr="00C00C51">
        <w:rPr>
          <w:lang w:val="fr-FR"/>
        </w:rPr>
        <w:t xml:space="preserve"> </w:t>
      </w:r>
      <w:r w:rsidRPr="00C00C51">
        <w:rPr>
          <w:b/>
          <w:lang w:val="fr-FR"/>
        </w:rPr>
        <w:t>ou d</w:t>
      </w:r>
      <w:r>
        <w:rPr>
          <w:b/>
          <w:lang w:val="fr-FR"/>
        </w:rPr>
        <w:t>’</w:t>
      </w:r>
      <w:r w:rsidRPr="00C00C51">
        <w:rPr>
          <w:b/>
          <w:lang w:val="fr-FR"/>
        </w:rPr>
        <w:t>une puissance maximale</w:t>
      </w:r>
      <w:r w:rsidRPr="00C00C51">
        <w:rPr>
          <w:lang w:val="fr-FR"/>
        </w:rPr>
        <w:t xml:space="preserve"> </w:t>
      </w:r>
      <w:r w:rsidRPr="00C00C51">
        <w:rPr>
          <w:b/>
          <w:lang w:val="fr-FR"/>
        </w:rPr>
        <w:t>&gt; 11</w:t>
      </w:r>
      <w:r>
        <w:rPr>
          <w:b/>
          <w:lang w:val="fr-FR"/>
        </w:rPr>
        <w:t> </w:t>
      </w:r>
      <w:r w:rsidRPr="00C00C51">
        <w:rPr>
          <w:b/>
          <w:lang w:val="fr-FR"/>
        </w:rPr>
        <w:t>kW</w:t>
      </w:r>
      <w:r w:rsidRPr="0007664A">
        <w:rPr>
          <w:b/>
          <w:vertAlign w:val="superscript"/>
          <w:lang w:val="fr-FR"/>
        </w:rPr>
        <w:t>(*)</w:t>
      </w:r>
    </w:p>
    <w:p w14:paraId="4E285AAC" w14:textId="6CFD7E2A" w:rsidR="00743628" w:rsidRPr="00C00C51" w:rsidRDefault="00743628" w:rsidP="00743628">
      <w:pPr>
        <w:pStyle w:val="SingleTxtG"/>
        <w:ind w:left="2268"/>
        <w:rPr>
          <w:lang w:val="fr-FR" w:eastAsia="zh-CN"/>
        </w:rPr>
      </w:pPr>
      <w:r w:rsidRPr="00C00C51">
        <w:rPr>
          <w:lang w:val="fr-FR" w:eastAsia="zh-CN"/>
        </w:rPr>
        <w:t>Un ou deux du type homologué selon</w:t>
      </w:r>
      <w:r>
        <w:rPr>
          <w:lang w:val="fr-FR" w:eastAsia="zh-CN"/>
        </w:rPr>
        <w:t> </w:t>
      </w:r>
      <w:r w:rsidRPr="00C00C51">
        <w:rPr>
          <w:lang w:val="fr-FR" w:eastAsia="zh-CN"/>
        </w:rPr>
        <w:t>:</w:t>
      </w:r>
    </w:p>
    <w:p w14:paraId="7D2B65F4" w14:textId="6D08D108" w:rsidR="00743628" w:rsidRPr="00C00C51" w:rsidRDefault="00743628" w:rsidP="00743628">
      <w:pPr>
        <w:pStyle w:val="SingleTxtG"/>
        <w:ind w:left="2268"/>
        <w:rPr>
          <w:lang w:val="fr-FR"/>
        </w:rPr>
      </w:pPr>
      <w:r w:rsidRPr="00C00C51">
        <w:rPr>
          <w:lang w:val="fr-FR"/>
        </w:rPr>
        <w:t>a)</w:t>
      </w:r>
      <w:r w:rsidRPr="00C00C51">
        <w:rPr>
          <w:lang w:val="fr-FR"/>
        </w:rPr>
        <w:tab/>
        <w:t>La classe</w:t>
      </w:r>
      <w:r>
        <w:rPr>
          <w:lang w:val="fr-FR"/>
        </w:rPr>
        <w:t> </w:t>
      </w:r>
      <w:r w:rsidRPr="00C00C51">
        <w:rPr>
          <w:lang w:val="fr-FR"/>
        </w:rPr>
        <w:t>D ou E du Règlement ONU n</w:t>
      </w:r>
      <w:r w:rsidRPr="00C00C51">
        <w:rPr>
          <w:vertAlign w:val="superscript"/>
          <w:lang w:val="fr-FR"/>
        </w:rPr>
        <w:t>o</w:t>
      </w:r>
      <w:r>
        <w:rPr>
          <w:lang w:val="fr-FR"/>
        </w:rPr>
        <w:t> </w:t>
      </w:r>
      <w:r w:rsidRPr="00C00C51">
        <w:rPr>
          <w:lang w:val="fr-FR"/>
        </w:rPr>
        <w:t>113</w:t>
      </w:r>
      <w:r>
        <w:rPr>
          <w:lang w:val="fr-FR"/>
        </w:rPr>
        <w:t> </w:t>
      </w:r>
      <w:r w:rsidRPr="00C00C51">
        <w:rPr>
          <w:lang w:val="fr-FR"/>
        </w:rPr>
        <w:t>;</w:t>
      </w:r>
    </w:p>
    <w:p w14:paraId="04F329F2" w14:textId="71205A74" w:rsidR="00743628" w:rsidRPr="00C00C51" w:rsidRDefault="00743628" w:rsidP="00743628">
      <w:pPr>
        <w:pStyle w:val="SingleTxtG"/>
        <w:ind w:left="2268"/>
        <w:rPr>
          <w:lang w:val="fr-FR"/>
        </w:rPr>
      </w:pPr>
      <w:r w:rsidRPr="00C00C51">
        <w:rPr>
          <w:lang w:val="fr-FR"/>
        </w:rPr>
        <w:t>b)</w:t>
      </w:r>
      <w:r w:rsidRPr="00C00C51">
        <w:rPr>
          <w:lang w:val="fr-FR"/>
        </w:rPr>
        <w:tab/>
      </w:r>
      <w:r w:rsidRPr="00E80E0D">
        <w:rPr>
          <w:b/>
          <w:lang w:val="fr-FR"/>
        </w:rPr>
        <w:t>La classe B du</w:t>
      </w:r>
      <w:r>
        <w:rPr>
          <w:lang w:val="fr-FR"/>
        </w:rPr>
        <w:t xml:space="preserve"> </w:t>
      </w:r>
      <w:r w:rsidRPr="00C00C51">
        <w:rPr>
          <w:lang w:val="fr-FR"/>
        </w:rPr>
        <w:t>Règlement ONU n</w:t>
      </w:r>
      <w:r w:rsidRPr="00C00C51">
        <w:rPr>
          <w:vertAlign w:val="superscript"/>
          <w:lang w:val="fr-FR"/>
        </w:rPr>
        <w:t>o</w:t>
      </w:r>
      <w:r>
        <w:rPr>
          <w:lang w:val="fr-FR"/>
        </w:rPr>
        <w:t> </w:t>
      </w:r>
      <w:r w:rsidRPr="00C00C51">
        <w:rPr>
          <w:lang w:val="fr-FR"/>
        </w:rPr>
        <w:t>112</w:t>
      </w:r>
      <w:r>
        <w:rPr>
          <w:lang w:val="fr-FR"/>
        </w:rPr>
        <w:t> </w:t>
      </w:r>
      <w:r w:rsidRPr="00C00C51">
        <w:rPr>
          <w:lang w:val="fr-FR"/>
        </w:rPr>
        <w:t>;</w:t>
      </w:r>
    </w:p>
    <w:p w14:paraId="7F9CD664" w14:textId="76F2CB98" w:rsidR="00743628" w:rsidRPr="00C00C51" w:rsidRDefault="00743628" w:rsidP="00743628">
      <w:pPr>
        <w:pStyle w:val="SingleTxtG"/>
        <w:ind w:left="2268"/>
        <w:rPr>
          <w:strike/>
          <w:lang w:val="fr-FR"/>
        </w:rPr>
      </w:pPr>
      <w:r w:rsidRPr="00C00C51">
        <w:rPr>
          <w:strike/>
          <w:lang w:val="fr-FR"/>
        </w:rPr>
        <w:t>c)</w:t>
      </w:r>
      <w:r w:rsidRPr="00C00C51">
        <w:rPr>
          <w:strike/>
          <w:lang w:val="fr-FR"/>
        </w:rPr>
        <w:tab/>
        <w:t>Le Règlement ONU n</w:t>
      </w:r>
      <w:r w:rsidRPr="00C00C51">
        <w:rPr>
          <w:strike/>
          <w:vertAlign w:val="superscript"/>
          <w:lang w:val="fr-FR"/>
        </w:rPr>
        <w:t>o</w:t>
      </w:r>
      <w:r>
        <w:rPr>
          <w:strike/>
          <w:lang w:val="fr-FR"/>
        </w:rPr>
        <w:t> </w:t>
      </w:r>
      <w:r w:rsidRPr="00C00C51">
        <w:rPr>
          <w:strike/>
          <w:lang w:val="fr-FR"/>
        </w:rPr>
        <w:t>1</w:t>
      </w:r>
      <w:r>
        <w:rPr>
          <w:strike/>
          <w:lang w:val="fr-FR"/>
        </w:rPr>
        <w:t> </w:t>
      </w:r>
      <w:r w:rsidRPr="00C00C51">
        <w:rPr>
          <w:strike/>
          <w:lang w:val="fr-FR"/>
        </w:rPr>
        <w:t>;</w:t>
      </w:r>
    </w:p>
    <w:p w14:paraId="3ED9C459" w14:textId="5E4C6465" w:rsidR="00743628" w:rsidRPr="00C00C51" w:rsidRDefault="00743628" w:rsidP="00743628">
      <w:pPr>
        <w:pStyle w:val="SingleTxtG"/>
        <w:ind w:left="2268"/>
        <w:rPr>
          <w:lang w:val="fr-FR"/>
        </w:rPr>
      </w:pPr>
      <w:r w:rsidRPr="00C00C51">
        <w:rPr>
          <w:strike/>
          <w:lang w:val="fr-FR"/>
        </w:rPr>
        <w:t>d)</w:t>
      </w:r>
      <w:r w:rsidRPr="00C00C51">
        <w:rPr>
          <w:b/>
          <w:lang w:val="fr-FR"/>
        </w:rPr>
        <w:t>c)</w:t>
      </w:r>
      <w:r w:rsidRPr="00C00C51">
        <w:rPr>
          <w:lang w:val="fr-FR"/>
        </w:rPr>
        <w:tab/>
        <w:t>Le Règlement ONU n</w:t>
      </w:r>
      <w:r w:rsidRPr="00C00C51">
        <w:rPr>
          <w:vertAlign w:val="superscript"/>
          <w:lang w:val="fr-FR"/>
        </w:rPr>
        <w:t>o</w:t>
      </w:r>
      <w:r>
        <w:rPr>
          <w:lang w:val="fr-FR"/>
        </w:rPr>
        <w:t> </w:t>
      </w:r>
      <w:r w:rsidRPr="00C00C51">
        <w:rPr>
          <w:lang w:val="fr-FR"/>
        </w:rPr>
        <w:t>8 ;</w:t>
      </w:r>
    </w:p>
    <w:p w14:paraId="434E5449" w14:textId="180E5165" w:rsidR="00743628" w:rsidRPr="00C00C51" w:rsidRDefault="00743628" w:rsidP="00743628">
      <w:pPr>
        <w:pStyle w:val="SingleTxtG"/>
        <w:ind w:left="2268"/>
        <w:rPr>
          <w:lang w:val="fr-FR"/>
        </w:rPr>
      </w:pPr>
      <w:r w:rsidRPr="00C00C51">
        <w:rPr>
          <w:strike/>
          <w:lang w:val="fr-FR"/>
        </w:rPr>
        <w:t>e)</w:t>
      </w:r>
      <w:r w:rsidRPr="00C00C51">
        <w:rPr>
          <w:b/>
          <w:lang w:val="fr-FR"/>
        </w:rPr>
        <w:t>d)</w:t>
      </w:r>
      <w:r w:rsidRPr="00C00C51">
        <w:rPr>
          <w:lang w:val="fr-FR"/>
        </w:rPr>
        <w:tab/>
        <w:t>Le Règlement ONU n</w:t>
      </w:r>
      <w:r w:rsidRPr="00C00C51">
        <w:rPr>
          <w:vertAlign w:val="superscript"/>
          <w:lang w:val="fr-FR"/>
        </w:rPr>
        <w:t>o</w:t>
      </w:r>
      <w:r>
        <w:rPr>
          <w:lang w:val="fr-FR"/>
        </w:rPr>
        <w:t> </w:t>
      </w:r>
      <w:r w:rsidRPr="00C00C51">
        <w:rPr>
          <w:lang w:val="fr-FR"/>
        </w:rPr>
        <w:t>20 ;</w:t>
      </w:r>
    </w:p>
    <w:p w14:paraId="2F045913" w14:textId="5DFA6199" w:rsidR="00743628" w:rsidRPr="00C00C51" w:rsidRDefault="00743628" w:rsidP="00743628">
      <w:pPr>
        <w:pStyle w:val="SingleTxtG"/>
        <w:ind w:left="2268"/>
        <w:rPr>
          <w:strike/>
          <w:lang w:val="fr-FR"/>
        </w:rPr>
      </w:pPr>
      <w:r w:rsidRPr="00C00C51">
        <w:rPr>
          <w:strike/>
          <w:lang w:val="fr-FR"/>
        </w:rPr>
        <w:t>f)</w:t>
      </w:r>
      <w:r w:rsidRPr="00C00C51">
        <w:rPr>
          <w:strike/>
          <w:lang w:val="fr-FR"/>
        </w:rPr>
        <w:tab/>
        <w:t>Le Règlement ONU n</w:t>
      </w:r>
      <w:r w:rsidRPr="00C00C51">
        <w:rPr>
          <w:strike/>
          <w:vertAlign w:val="superscript"/>
          <w:lang w:val="fr-FR"/>
        </w:rPr>
        <w:t>o</w:t>
      </w:r>
      <w:r>
        <w:rPr>
          <w:strike/>
          <w:lang w:val="fr-FR"/>
        </w:rPr>
        <w:t> </w:t>
      </w:r>
      <w:r w:rsidRPr="00C00C51">
        <w:rPr>
          <w:strike/>
          <w:lang w:val="fr-FR"/>
        </w:rPr>
        <w:t>72</w:t>
      </w:r>
      <w:r w:rsidR="0018763D">
        <w:rPr>
          <w:strike/>
          <w:lang w:val="fr-FR"/>
        </w:rPr>
        <w:t> </w:t>
      </w:r>
      <w:r w:rsidRPr="00C00C51">
        <w:rPr>
          <w:strike/>
          <w:lang w:val="fr-FR"/>
        </w:rPr>
        <w:t>;</w:t>
      </w:r>
    </w:p>
    <w:p w14:paraId="54D9FE99" w14:textId="38B5163D" w:rsidR="00743628" w:rsidRPr="00C00C51" w:rsidRDefault="00743628" w:rsidP="00743628">
      <w:pPr>
        <w:pStyle w:val="SingleTxtG"/>
        <w:ind w:left="2268"/>
        <w:rPr>
          <w:lang w:val="fr-FR"/>
        </w:rPr>
      </w:pPr>
      <w:r w:rsidRPr="00C00C51">
        <w:rPr>
          <w:strike/>
          <w:lang w:val="fr-FR"/>
        </w:rPr>
        <w:t>g)</w:t>
      </w:r>
      <w:r w:rsidRPr="001B2C37">
        <w:rPr>
          <w:b/>
          <w:lang w:val="fr-FR"/>
        </w:rPr>
        <w:t>e)</w:t>
      </w:r>
      <w:r w:rsidRPr="00C00C51">
        <w:rPr>
          <w:lang w:val="fr-FR"/>
        </w:rPr>
        <w:tab/>
        <w:t>Le Règlement ONU n</w:t>
      </w:r>
      <w:r w:rsidRPr="00C00C51">
        <w:rPr>
          <w:vertAlign w:val="superscript"/>
          <w:lang w:val="fr-FR"/>
        </w:rPr>
        <w:t>o</w:t>
      </w:r>
      <w:r>
        <w:rPr>
          <w:lang w:val="fr-FR"/>
        </w:rPr>
        <w:t> </w:t>
      </w:r>
      <w:r w:rsidRPr="00C00C51">
        <w:rPr>
          <w:lang w:val="fr-FR"/>
        </w:rPr>
        <w:t>98 ;</w:t>
      </w:r>
    </w:p>
    <w:p w14:paraId="4A092579" w14:textId="2EFDCCF7" w:rsidR="00743628" w:rsidRPr="00C00C51" w:rsidRDefault="00743628" w:rsidP="00743628">
      <w:pPr>
        <w:pStyle w:val="SingleTxtG"/>
        <w:ind w:left="2268"/>
        <w:rPr>
          <w:lang w:val="fr-FR"/>
        </w:rPr>
      </w:pPr>
      <w:r w:rsidRPr="00C00C51">
        <w:rPr>
          <w:strike/>
          <w:lang w:val="fr-FR"/>
        </w:rPr>
        <w:t>h)</w:t>
      </w:r>
      <w:r w:rsidRPr="00C00C51">
        <w:rPr>
          <w:b/>
          <w:lang w:val="fr-FR"/>
        </w:rPr>
        <w:t>f)</w:t>
      </w:r>
      <w:r w:rsidRPr="00C00C51">
        <w:rPr>
          <w:lang w:val="fr-FR"/>
        </w:rPr>
        <w:tab/>
        <w:t xml:space="preserve">La classe </w:t>
      </w:r>
      <w:r w:rsidRPr="00C00C51">
        <w:rPr>
          <w:strike/>
          <w:lang w:val="fr-FR"/>
        </w:rPr>
        <w:t xml:space="preserve">A, </w:t>
      </w:r>
      <w:r w:rsidRPr="00C00C51">
        <w:rPr>
          <w:lang w:val="fr-FR"/>
        </w:rPr>
        <w:t>B, D, DS ou ES du Règlement ONU n</w:t>
      </w:r>
      <w:r w:rsidRPr="00C00C51">
        <w:rPr>
          <w:vertAlign w:val="superscript"/>
          <w:lang w:val="fr-FR"/>
        </w:rPr>
        <w:t>o</w:t>
      </w:r>
      <w:r>
        <w:rPr>
          <w:lang w:val="fr-FR"/>
        </w:rPr>
        <w:t> </w:t>
      </w:r>
      <w:r w:rsidRPr="00C00C51">
        <w:rPr>
          <w:lang w:val="fr-FR"/>
        </w:rPr>
        <w:t>149</w:t>
      </w:r>
      <w:r>
        <w:rPr>
          <w:lang w:val="fr-FR"/>
        </w:rPr>
        <w:t> ;</w:t>
      </w:r>
    </w:p>
    <w:p w14:paraId="5BEF7064" w14:textId="6FD0D362" w:rsidR="00743628" w:rsidRPr="00C00C51" w:rsidRDefault="00743628" w:rsidP="0018763D">
      <w:pPr>
        <w:pStyle w:val="SingleTxtG"/>
        <w:ind w:left="2835" w:hanging="567"/>
        <w:rPr>
          <w:b/>
          <w:lang w:val="fr-FR"/>
        </w:rPr>
      </w:pPr>
      <w:r w:rsidRPr="00C00C51">
        <w:rPr>
          <w:b/>
          <w:lang w:val="fr-FR"/>
        </w:rPr>
        <w:t>g)</w:t>
      </w:r>
      <w:r w:rsidRPr="00C00C51">
        <w:rPr>
          <w:b/>
          <w:lang w:val="fr-FR"/>
        </w:rPr>
        <w:tab/>
        <w:t>La classe</w:t>
      </w:r>
      <w:r>
        <w:rPr>
          <w:b/>
          <w:lang w:val="fr-FR"/>
        </w:rPr>
        <w:t> </w:t>
      </w:r>
      <w:r w:rsidRPr="00C00C51">
        <w:rPr>
          <w:b/>
          <w:lang w:val="fr-FR"/>
        </w:rPr>
        <w:t>A de la série</w:t>
      </w:r>
      <w:r>
        <w:rPr>
          <w:b/>
          <w:lang w:val="fr-FR"/>
        </w:rPr>
        <w:t> </w:t>
      </w:r>
      <w:r w:rsidRPr="00C00C51">
        <w:rPr>
          <w:b/>
          <w:lang w:val="fr-FR"/>
        </w:rPr>
        <w:t>01 et des séries ultérieures d</w:t>
      </w:r>
      <w:r>
        <w:rPr>
          <w:b/>
          <w:lang w:val="fr-FR"/>
        </w:rPr>
        <w:t>’</w:t>
      </w:r>
      <w:r w:rsidRPr="00C00C51">
        <w:rPr>
          <w:b/>
          <w:lang w:val="fr-FR"/>
        </w:rPr>
        <w:t>amendements au Règlement ONU n</w:t>
      </w:r>
      <w:r w:rsidRPr="00C00C51">
        <w:rPr>
          <w:b/>
          <w:vertAlign w:val="superscript"/>
          <w:lang w:val="fr-FR"/>
        </w:rPr>
        <w:t>o</w:t>
      </w:r>
      <w:r>
        <w:rPr>
          <w:b/>
          <w:lang w:val="fr-FR"/>
        </w:rPr>
        <w:t> </w:t>
      </w:r>
      <w:r w:rsidRPr="00C00C51">
        <w:rPr>
          <w:b/>
          <w:lang w:val="fr-FR"/>
        </w:rPr>
        <w:t>149.</w:t>
      </w:r>
    </w:p>
    <w:p w14:paraId="0BB79994" w14:textId="32FF786F" w:rsidR="00743628" w:rsidRPr="00C00C51" w:rsidRDefault="00743628" w:rsidP="0018763D">
      <w:pPr>
        <w:pStyle w:val="SingleTxtG"/>
        <w:ind w:left="2268"/>
        <w:rPr>
          <w:lang w:val="fr-FR" w:eastAsia="zh-CN"/>
        </w:rPr>
      </w:pPr>
      <w:r w:rsidRPr="00C00C51">
        <w:rPr>
          <w:lang w:val="fr-FR" w:eastAsia="zh-CN"/>
        </w:rPr>
        <w:t>Deux du type homologué selon</w:t>
      </w:r>
      <w:r w:rsidR="0018763D">
        <w:rPr>
          <w:lang w:val="fr-FR" w:eastAsia="zh-CN"/>
        </w:rPr>
        <w:t> </w:t>
      </w:r>
      <w:r w:rsidRPr="00C00C51">
        <w:rPr>
          <w:lang w:val="fr-FR" w:eastAsia="zh-CN"/>
        </w:rPr>
        <w:t>:</w:t>
      </w:r>
    </w:p>
    <w:p w14:paraId="1D8B6FCD" w14:textId="4C8587AF" w:rsidR="00743628" w:rsidRPr="00C00C51" w:rsidRDefault="00743628" w:rsidP="0018763D">
      <w:pPr>
        <w:pStyle w:val="SingleTxtG"/>
        <w:ind w:left="2268"/>
        <w:rPr>
          <w:lang w:val="fr-FR"/>
        </w:rPr>
      </w:pPr>
      <w:r w:rsidRPr="00C00C51">
        <w:rPr>
          <w:strike/>
          <w:lang w:val="fr-FR"/>
        </w:rPr>
        <w:t>i)</w:t>
      </w:r>
      <w:r w:rsidRPr="00C00C51">
        <w:rPr>
          <w:b/>
          <w:lang w:val="fr-FR"/>
        </w:rPr>
        <w:t>h)</w:t>
      </w:r>
      <w:r w:rsidRPr="00C00C51">
        <w:rPr>
          <w:lang w:val="fr-FR"/>
        </w:rPr>
        <w:tab/>
        <w:t>La classe C du Règlement ONU n</w:t>
      </w:r>
      <w:r w:rsidRPr="00C00C51">
        <w:rPr>
          <w:vertAlign w:val="superscript"/>
          <w:lang w:val="fr-FR"/>
        </w:rPr>
        <w:t>o</w:t>
      </w:r>
      <w:r w:rsidR="0018763D">
        <w:rPr>
          <w:lang w:val="fr-FR"/>
        </w:rPr>
        <w:t> </w:t>
      </w:r>
      <w:r w:rsidRPr="00C00C51">
        <w:rPr>
          <w:lang w:val="fr-FR"/>
        </w:rPr>
        <w:t>113</w:t>
      </w:r>
      <w:r w:rsidR="0018763D">
        <w:rPr>
          <w:lang w:val="fr-FR"/>
        </w:rPr>
        <w:t> </w:t>
      </w:r>
      <w:r w:rsidRPr="00C00C51">
        <w:rPr>
          <w:lang w:val="fr-FR"/>
        </w:rPr>
        <w:t>;</w:t>
      </w:r>
    </w:p>
    <w:p w14:paraId="094CC552" w14:textId="634C7848" w:rsidR="00743628" w:rsidRPr="00C00C51" w:rsidRDefault="00743628" w:rsidP="0018763D">
      <w:pPr>
        <w:pStyle w:val="SingleTxtG"/>
        <w:ind w:left="2268"/>
        <w:rPr>
          <w:sz w:val="28"/>
          <w:lang w:val="fr-FR"/>
        </w:rPr>
      </w:pPr>
      <w:r w:rsidRPr="00C00C51">
        <w:rPr>
          <w:strike/>
          <w:lang w:val="fr-FR"/>
        </w:rPr>
        <w:t>j)</w:t>
      </w:r>
      <w:r w:rsidRPr="00C00C51">
        <w:rPr>
          <w:b/>
          <w:lang w:val="fr-FR"/>
        </w:rPr>
        <w:t>i)</w:t>
      </w:r>
      <w:r w:rsidRPr="00C00C51">
        <w:rPr>
          <w:lang w:val="fr-FR"/>
        </w:rPr>
        <w:tab/>
        <w:t>La classe CS du Règlement ONU n</w:t>
      </w:r>
      <w:r w:rsidRPr="00C00C51">
        <w:rPr>
          <w:vertAlign w:val="superscript"/>
          <w:lang w:val="fr-FR"/>
        </w:rPr>
        <w:t>o</w:t>
      </w:r>
      <w:r w:rsidR="0018763D">
        <w:rPr>
          <w:lang w:val="fr-FR"/>
        </w:rPr>
        <w:t> </w:t>
      </w:r>
      <w:r w:rsidRPr="00C00C51">
        <w:rPr>
          <w:lang w:val="fr-FR"/>
        </w:rPr>
        <w:t>149. ».</w:t>
      </w:r>
    </w:p>
    <w:p w14:paraId="613A96F4" w14:textId="6A1046A0" w:rsidR="00743628" w:rsidRPr="00C00C51" w:rsidRDefault="00743628" w:rsidP="00743628">
      <w:pPr>
        <w:pStyle w:val="SingleTxtG"/>
        <w:rPr>
          <w:u w:val="single"/>
          <w:lang w:val="fr-FR"/>
        </w:rPr>
      </w:pPr>
      <w:r w:rsidRPr="00C00C51">
        <w:rPr>
          <w:u w:val="single"/>
          <w:lang w:val="fr-FR"/>
        </w:rPr>
        <w:tab/>
      </w:r>
      <w:r w:rsidRPr="00C00C51">
        <w:rPr>
          <w:u w:val="single"/>
          <w:lang w:val="fr-FR"/>
        </w:rPr>
        <w:tab/>
      </w:r>
      <w:r w:rsidR="0018763D">
        <w:rPr>
          <w:u w:val="single"/>
          <w:lang w:val="fr-FR"/>
        </w:rPr>
        <w:tab/>
      </w:r>
      <w:r w:rsidR="0018763D">
        <w:rPr>
          <w:u w:val="single"/>
          <w:lang w:val="fr-FR"/>
        </w:rPr>
        <w:tab/>
      </w:r>
      <w:r w:rsidRPr="00C00C51">
        <w:rPr>
          <w:u w:val="single"/>
          <w:lang w:val="fr-FR"/>
        </w:rPr>
        <w:tab/>
      </w:r>
    </w:p>
    <w:p w14:paraId="1FBE0960" w14:textId="6A0EAAC3" w:rsidR="00743628" w:rsidRDefault="00743628" w:rsidP="00743628">
      <w:pPr>
        <w:pStyle w:val="SingleTxtG"/>
        <w:rPr>
          <w:lang w:val="fr-FR"/>
        </w:rPr>
      </w:pPr>
      <w:r w:rsidRPr="00C00C51">
        <w:rPr>
          <w:lang w:val="fr-FR"/>
        </w:rPr>
        <w:tab/>
        <w:t>*</w:t>
      </w:r>
      <w:r w:rsidR="0018763D">
        <w:rPr>
          <w:lang w:val="fr-FR"/>
        </w:rPr>
        <w:t xml:space="preserve">  </w:t>
      </w:r>
      <w:r w:rsidRPr="00C00C51">
        <w:rPr>
          <w:b/>
          <w:lang w:val="fr-FR"/>
        </w:rPr>
        <w:t>Les limites de puissance reposent sur la puissance nominale continue maximale pour les véhicules à propulsion électrique et sur la puissance maximale nette pour les véhicules à propulsion par moteur à combustion.</w:t>
      </w:r>
    </w:p>
    <w:p w14:paraId="587A6F95" w14:textId="2A6E02DD" w:rsidR="0018763D" w:rsidRDefault="0018763D" w:rsidP="00743628">
      <w:pPr>
        <w:pStyle w:val="SingleTxtG"/>
        <w:rPr>
          <w:i/>
          <w:iCs/>
          <w:lang w:val="fr-FR"/>
        </w:rPr>
      </w:pPr>
      <w:r>
        <w:rPr>
          <w:i/>
          <w:iCs/>
          <w:lang w:val="fr-FR"/>
        </w:rPr>
        <w:br w:type="page"/>
      </w:r>
    </w:p>
    <w:p w14:paraId="6C177A72" w14:textId="45DC9895" w:rsidR="00743628" w:rsidRPr="00C00C51" w:rsidRDefault="00743628" w:rsidP="0018763D">
      <w:pPr>
        <w:pStyle w:val="SingleTxtG"/>
        <w:rPr>
          <w:lang w:val="fr-FR"/>
        </w:rPr>
      </w:pPr>
      <w:r w:rsidRPr="0018763D">
        <w:rPr>
          <w:i/>
          <w:iCs/>
          <w:lang w:val="fr-FR"/>
        </w:rPr>
        <w:lastRenderedPageBreak/>
        <w:t>Paragraphe 6.2.1</w:t>
      </w:r>
      <w:r w:rsidRPr="00C00C51">
        <w:rPr>
          <w:lang w:val="fr-FR"/>
        </w:rPr>
        <w:t>, lire</w:t>
      </w:r>
      <w:r w:rsidR="0018763D">
        <w:rPr>
          <w:lang w:val="fr-FR"/>
        </w:rPr>
        <w:t> </w:t>
      </w:r>
      <w:r w:rsidRPr="00C00C51">
        <w:rPr>
          <w:lang w:val="fr-FR"/>
        </w:rPr>
        <w:t>:</w:t>
      </w:r>
    </w:p>
    <w:p w14:paraId="5BC16704" w14:textId="029E157D" w:rsidR="00743628" w:rsidRPr="00C00C51" w:rsidRDefault="00743628" w:rsidP="0018763D">
      <w:pPr>
        <w:pStyle w:val="SingleTxtG"/>
        <w:ind w:left="2268" w:hanging="1134"/>
        <w:rPr>
          <w:lang w:val="fr-FR" w:eastAsia="zh-CN"/>
        </w:rPr>
      </w:pPr>
      <w:r w:rsidRPr="00C00C51">
        <w:rPr>
          <w:lang w:val="fr-FR"/>
        </w:rPr>
        <w:t>« </w:t>
      </w:r>
      <w:r w:rsidRPr="00C00C51">
        <w:rPr>
          <w:lang w:val="fr-FR" w:eastAsia="zh-CN"/>
        </w:rPr>
        <w:t>6.2.1</w:t>
      </w:r>
      <w:r w:rsidRPr="00C00C51">
        <w:rPr>
          <w:lang w:val="fr-FR" w:eastAsia="zh-CN"/>
        </w:rPr>
        <w:tab/>
      </w:r>
      <w:r w:rsidR="0018763D">
        <w:rPr>
          <w:lang w:val="fr-FR" w:eastAsia="zh-CN"/>
        </w:rPr>
        <w:tab/>
      </w:r>
      <w:r w:rsidRPr="00C00C51">
        <w:rPr>
          <w:lang w:val="fr-FR" w:eastAsia="zh-CN"/>
        </w:rPr>
        <w:t>Nombre</w:t>
      </w:r>
      <w:r w:rsidR="0063154F">
        <w:rPr>
          <w:lang w:val="fr-FR" w:eastAsia="zh-CN"/>
        </w:rPr>
        <w:t> </w:t>
      </w:r>
      <w:r w:rsidRPr="00C00C51">
        <w:rPr>
          <w:lang w:val="fr-FR" w:eastAsia="zh-CN"/>
        </w:rPr>
        <w:t>:</w:t>
      </w:r>
    </w:p>
    <w:p w14:paraId="2599EB2F" w14:textId="35624C4D" w:rsidR="00743628" w:rsidRPr="00C00C51" w:rsidRDefault="00743628" w:rsidP="0018763D">
      <w:pPr>
        <w:pStyle w:val="SingleTxtG"/>
        <w:ind w:left="2268" w:hanging="1134"/>
        <w:rPr>
          <w:lang w:val="fr-FR"/>
        </w:rPr>
      </w:pPr>
      <w:r w:rsidRPr="00C00C51">
        <w:rPr>
          <w:lang w:val="fr-FR"/>
        </w:rPr>
        <w:t>6.2.1.1</w:t>
      </w:r>
      <w:r w:rsidRPr="00C00C51">
        <w:rPr>
          <w:lang w:val="fr-FR"/>
        </w:rPr>
        <w:tab/>
        <w:t>Pour les motocycles d</w:t>
      </w:r>
      <w:r>
        <w:rPr>
          <w:lang w:val="fr-FR"/>
        </w:rPr>
        <w:t>’</w:t>
      </w:r>
      <w:r w:rsidRPr="00C00C51">
        <w:rPr>
          <w:lang w:val="fr-FR"/>
        </w:rPr>
        <w:t>une cylindrée ≤ 125</w:t>
      </w:r>
      <w:r w:rsidR="0063154F">
        <w:rPr>
          <w:lang w:val="fr-FR"/>
        </w:rPr>
        <w:t> </w:t>
      </w:r>
      <w:r w:rsidRPr="00C00C51">
        <w:rPr>
          <w:lang w:val="fr-FR"/>
        </w:rPr>
        <w:t>cm</w:t>
      </w:r>
      <w:r w:rsidRPr="0063154F">
        <w:rPr>
          <w:vertAlign w:val="superscript"/>
          <w:lang w:val="fr-FR"/>
        </w:rPr>
        <w:t>3</w:t>
      </w:r>
      <w:r w:rsidRPr="00C00C51">
        <w:rPr>
          <w:lang w:val="fr-FR"/>
        </w:rPr>
        <w:t xml:space="preserve"> </w:t>
      </w:r>
      <w:r w:rsidRPr="00C00C51">
        <w:rPr>
          <w:b/>
          <w:lang w:val="fr-FR"/>
        </w:rPr>
        <w:t>et d</w:t>
      </w:r>
      <w:r>
        <w:rPr>
          <w:b/>
          <w:lang w:val="fr-FR"/>
        </w:rPr>
        <w:t>’</w:t>
      </w:r>
      <w:r w:rsidRPr="00C00C51">
        <w:rPr>
          <w:b/>
          <w:lang w:val="fr-FR"/>
        </w:rPr>
        <w:t>une puissance maximale ≤ 11</w:t>
      </w:r>
      <w:r w:rsidR="0063154F">
        <w:rPr>
          <w:b/>
          <w:lang w:val="fr-FR"/>
        </w:rPr>
        <w:t> </w:t>
      </w:r>
      <w:r w:rsidRPr="00C00C51">
        <w:rPr>
          <w:b/>
          <w:lang w:val="fr-FR"/>
        </w:rPr>
        <w:t>kW</w:t>
      </w:r>
      <w:r w:rsidRPr="005965E3">
        <w:rPr>
          <w:b/>
          <w:vertAlign w:val="superscript"/>
          <w:lang w:val="fr-FR"/>
        </w:rPr>
        <w:t>(*)</w:t>
      </w:r>
    </w:p>
    <w:p w14:paraId="1CE01EAD" w14:textId="425F9C19" w:rsidR="00743628" w:rsidRPr="00C00C51" w:rsidRDefault="00743628" w:rsidP="0063154F">
      <w:pPr>
        <w:pStyle w:val="SingleTxtG"/>
        <w:ind w:left="2268"/>
        <w:rPr>
          <w:lang w:val="fr-FR" w:eastAsia="zh-CN"/>
        </w:rPr>
      </w:pPr>
      <w:r w:rsidRPr="00C00C51">
        <w:rPr>
          <w:lang w:val="fr-FR" w:eastAsia="zh-CN"/>
        </w:rPr>
        <w:t>Un ou deux du type homologué selon</w:t>
      </w:r>
      <w:r w:rsidR="0063154F">
        <w:rPr>
          <w:lang w:val="fr-FR" w:eastAsia="zh-CN"/>
        </w:rPr>
        <w:t> </w:t>
      </w:r>
      <w:r w:rsidRPr="00C00C51">
        <w:rPr>
          <w:lang w:val="fr-FR" w:eastAsia="zh-CN"/>
        </w:rPr>
        <w:t>:</w:t>
      </w:r>
    </w:p>
    <w:p w14:paraId="5D0599F4" w14:textId="383B633F" w:rsidR="00743628" w:rsidRPr="00C00C51" w:rsidRDefault="00743628" w:rsidP="0063154F">
      <w:pPr>
        <w:pStyle w:val="SingleTxtG"/>
        <w:ind w:left="2268"/>
        <w:rPr>
          <w:lang w:val="fr-FR"/>
        </w:rPr>
      </w:pPr>
      <w:r w:rsidRPr="00C00C51">
        <w:rPr>
          <w:lang w:val="fr-FR"/>
        </w:rPr>
        <w:t>a)</w:t>
      </w:r>
      <w:r w:rsidRPr="00C00C51">
        <w:rPr>
          <w:lang w:val="fr-FR"/>
        </w:rPr>
        <w:tab/>
        <w:t>La classe C, D ou E du Règlement ONU n</w:t>
      </w:r>
      <w:r w:rsidRPr="00C00C51">
        <w:rPr>
          <w:vertAlign w:val="superscript"/>
          <w:lang w:val="fr-FR"/>
        </w:rPr>
        <w:t>o</w:t>
      </w:r>
      <w:r w:rsidR="0063154F">
        <w:rPr>
          <w:lang w:val="fr-FR"/>
        </w:rPr>
        <w:t> </w:t>
      </w:r>
      <w:r w:rsidRPr="00C00C51">
        <w:rPr>
          <w:lang w:val="fr-FR"/>
        </w:rPr>
        <w:t>113</w:t>
      </w:r>
      <w:r w:rsidR="0063154F">
        <w:rPr>
          <w:lang w:val="fr-FR"/>
        </w:rPr>
        <w:t> </w:t>
      </w:r>
      <w:r w:rsidRPr="00C00C51">
        <w:rPr>
          <w:lang w:val="fr-FR"/>
        </w:rPr>
        <w:t>;</w:t>
      </w:r>
    </w:p>
    <w:p w14:paraId="3AF00DF1" w14:textId="0A0AA128" w:rsidR="00743628" w:rsidRPr="00C00C51" w:rsidRDefault="00743628" w:rsidP="0063154F">
      <w:pPr>
        <w:pStyle w:val="SingleTxtG"/>
        <w:ind w:left="2268"/>
        <w:rPr>
          <w:lang w:val="fr-FR"/>
        </w:rPr>
      </w:pPr>
      <w:r w:rsidRPr="00C00C51">
        <w:rPr>
          <w:lang w:val="fr-FR"/>
        </w:rPr>
        <w:t>b)</w:t>
      </w:r>
      <w:r w:rsidRPr="00C00C51">
        <w:rPr>
          <w:lang w:val="fr-FR"/>
        </w:rPr>
        <w:tab/>
      </w:r>
      <w:r w:rsidRPr="00C00C51">
        <w:rPr>
          <w:b/>
          <w:lang w:val="fr-FR"/>
        </w:rPr>
        <w:t>La classe B du</w:t>
      </w:r>
      <w:r w:rsidRPr="00C00C51">
        <w:rPr>
          <w:lang w:val="fr-FR"/>
        </w:rPr>
        <w:t xml:space="preserve"> Règlement ONU n</w:t>
      </w:r>
      <w:r w:rsidRPr="00C00C51">
        <w:rPr>
          <w:vertAlign w:val="superscript"/>
          <w:lang w:val="fr-FR"/>
        </w:rPr>
        <w:t>o</w:t>
      </w:r>
      <w:r w:rsidR="0063154F">
        <w:rPr>
          <w:lang w:val="fr-FR"/>
        </w:rPr>
        <w:t> </w:t>
      </w:r>
      <w:r w:rsidRPr="00C00C51">
        <w:rPr>
          <w:lang w:val="fr-FR"/>
        </w:rPr>
        <w:t>112</w:t>
      </w:r>
      <w:r w:rsidR="0063154F">
        <w:rPr>
          <w:lang w:val="fr-FR"/>
        </w:rPr>
        <w:t> </w:t>
      </w:r>
      <w:r w:rsidRPr="00C00C51">
        <w:rPr>
          <w:lang w:val="fr-FR"/>
        </w:rPr>
        <w:t>;</w:t>
      </w:r>
    </w:p>
    <w:p w14:paraId="2653AA66" w14:textId="451D1BF7" w:rsidR="00743628" w:rsidRPr="00C00C51" w:rsidRDefault="00743628" w:rsidP="0063154F">
      <w:pPr>
        <w:pStyle w:val="SingleTxtG"/>
        <w:ind w:left="2268"/>
        <w:rPr>
          <w:strike/>
          <w:lang w:val="fr-FR"/>
        </w:rPr>
      </w:pPr>
      <w:r w:rsidRPr="00C00C51">
        <w:rPr>
          <w:strike/>
          <w:lang w:val="fr-FR"/>
        </w:rPr>
        <w:t>c)</w:t>
      </w:r>
      <w:r w:rsidRPr="00C00C51">
        <w:rPr>
          <w:strike/>
          <w:lang w:val="fr-FR"/>
        </w:rPr>
        <w:tab/>
        <w:t>Le Règlement ONU n</w:t>
      </w:r>
      <w:r w:rsidRPr="00C00C51">
        <w:rPr>
          <w:strike/>
          <w:vertAlign w:val="superscript"/>
          <w:lang w:val="fr-FR"/>
        </w:rPr>
        <w:t>o</w:t>
      </w:r>
      <w:r w:rsidR="0063154F">
        <w:rPr>
          <w:strike/>
          <w:lang w:val="fr-FR"/>
        </w:rPr>
        <w:t> </w:t>
      </w:r>
      <w:r w:rsidRPr="00C00C51">
        <w:rPr>
          <w:strike/>
          <w:lang w:val="fr-FR"/>
        </w:rPr>
        <w:t>1</w:t>
      </w:r>
      <w:r w:rsidR="0063154F">
        <w:rPr>
          <w:strike/>
          <w:lang w:val="fr-FR"/>
        </w:rPr>
        <w:t> </w:t>
      </w:r>
      <w:r w:rsidRPr="00C00C51">
        <w:rPr>
          <w:strike/>
          <w:lang w:val="fr-FR"/>
        </w:rPr>
        <w:t>;</w:t>
      </w:r>
    </w:p>
    <w:p w14:paraId="72BCC858" w14:textId="4BA8AE40" w:rsidR="00743628" w:rsidRPr="00C00C51" w:rsidRDefault="00743628" w:rsidP="0063154F">
      <w:pPr>
        <w:pStyle w:val="SingleTxtG"/>
        <w:ind w:left="2268"/>
        <w:rPr>
          <w:lang w:val="fr-FR"/>
        </w:rPr>
      </w:pPr>
      <w:r w:rsidRPr="00C00C51">
        <w:rPr>
          <w:strike/>
          <w:lang w:val="fr-FR"/>
        </w:rPr>
        <w:t>d)</w:t>
      </w:r>
      <w:r w:rsidRPr="00C00C51">
        <w:rPr>
          <w:b/>
          <w:lang w:val="fr-FR"/>
        </w:rPr>
        <w:t>c)</w:t>
      </w:r>
      <w:r w:rsidRPr="00C00C51">
        <w:rPr>
          <w:lang w:val="fr-FR"/>
        </w:rPr>
        <w:tab/>
        <w:t>Le Règlement ONU n</w:t>
      </w:r>
      <w:r w:rsidRPr="00C00C51">
        <w:rPr>
          <w:vertAlign w:val="superscript"/>
          <w:lang w:val="fr-FR"/>
        </w:rPr>
        <w:t>o</w:t>
      </w:r>
      <w:r w:rsidR="0063154F">
        <w:rPr>
          <w:lang w:val="fr-FR"/>
        </w:rPr>
        <w:t> </w:t>
      </w:r>
      <w:r w:rsidRPr="00C00C51">
        <w:rPr>
          <w:lang w:val="fr-FR"/>
        </w:rPr>
        <w:t>8 ;</w:t>
      </w:r>
    </w:p>
    <w:p w14:paraId="4F5EC823" w14:textId="09094D5A" w:rsidR="00743628" w:rsidRPr="00C00C51" w:rsidRDefault="00743628" w:rsidP="0063154F">
      <w:pPr>
        <w:pStyle w:val="SingleTxtG"/>
        <w:ind w:left="2268"/>
        <w:rPr>
          <w:lang w:val="fr-FR"/>
        </w:rPr>
      </w:pPr>
      <w:r w:rsidRPr="00C00C51">
        <w:rPr>
          <w:strike/>
          <w:lang w:val="fr-FR"/>
        </w:rPr>
        <w:t>e)</w:t>
      </w:r>
      <w:r w:rsidRPr="00C00C51">
        <w:rPr>
          <w:b/>
          <w:lang w:val="fr-FR"/>
        </w:rPr>
        <w:t>d)</w:t>
      </w:r>
      <w:r w:rsidRPr="00C00C51">
        <w:rPr>
          <w:lang w:val="fr-FR"/>
        </w:rPr>
        <w:tab/>
        <w:t>Le Règlement ONU n</w:t>
      </w:r>
      <w:r w:rsidRPr="00C00C51">
        <w:rPr>
          <w:vertAlign w:val="superscript"/>
          <w:lang w:val="fr-FR"/>
        </w:rPr>
        <w:t>o</w:t>
      </w:r>
      <w:r w:rsidR="0063154F">
        <w:rPr>
          <w:lang w:val="fr-FR"/>
        </w:rPr>
        <w:t> </w:t>
      </w:r>
      <w:r w:rsidRPr="00C00C51">
        <w:rPr>
          <w:lang w:val="fr-FR"/>
        </w:rPr>
        <w:t>20 ;</w:t>
      </w:r>
    </w:p>
    <w:p w14:paraId="0230BD69" w14:textId="24DBEF15" w:rsidR="00743628" w:rsidRPr="00C00C51" w:rsidRDefault="00743628" w:rsidP="0063154F">
      <w:pPr>
        <w:pStyle w:val="SingleTxtG"/>
        <w:ind w:left="2268"/>
        <w:rPr>
          <w:strike/>
          <w:lang w:val="fr-FR"/>
        </w:rPr>
      </w:pPr>
      <w:r w:rsidRPr="00C00C51">
        <w:rPr>
          <w:strike/>
          <w:lang w:val="fr-FR"/>
        </w:rPr>
        <w:t>f)</w:t>
      </w:r>
      <w:r w:rsidRPr="00C00C51">
        <w:rPr>
          <w:strike/>
          <w:lang w:val="fr-FR"/>
        </w:rPr>
        <w:tab/>
        <w:t>Le Règlement ONU n</w:t>
      </w:r>
      <w:r w:rsidRPr="00C00C51">
        <w:rPr>
          <w:strike/>
          <w:vertAlign w:val="superscript"/>
          <w:lang w:val="fr-FR"/>
        </w:rPr>
        <w:t>o</w:t>
      </w:r>
      <w:r w:rsidR="0063154F">
        <w:rPr>
          <w:strike/>
          <w:lang w:val="fr-FR"/>
        </w:rPr>
        <w:t> </w:t>
      </w:r>
      <w:r w:rsidRPr="00C00C51">
        <w:rPr>
          <w:strike/>
          <w:lang w:val="fr-FR"/>
        </w:rPr>
        <w:t>57</w:t>
      </w:r>
      <w:r w:rsidR="0063154F">
        <w:rPr>
          <w:strike/>
          <w:lang w:val="fr-FR"/>
        </w:rPr>
        <w:t> </w:t>
      </w:r>
      <w:r w:rsidRPr="00C00C51">
        <w:rPr>
          <w:strike/>
          <w:lang w:val="fr-FR"/>
        </w:rPr>
        <w:t>;</w:t>
      </w:r>
    </w:p>
    <w:p w14:paraId="22DF1EB1" w14:textId="4EF8F516" w:rsidR="00743628" w:rsidRPr="00C00C51" w:rsidRDefault="00743628" w:rsidP="0063154F">
      <w:pPr>
        <w:pStyle w:val="SingleTxtG"/>
        <w:ind w:left="2268"/>
        <w:rPr>
          <w:strike/>
          <w:lang w:val="fr-FR"/>
        </w:rPr>
      </w:pPr>
      <w:r w:rsidRPr="00C00C51">
        <w:rPr>
          <w:strike/>
          <w:lang w:val="fr-FR"/>
        </w:rPr>
        <w:t>g)</w:t>
      </w:r>
      <w:r w:rsidRPr="00C00C51">
        <w:rPr>
          <w:strike/>
          <w:lang w:val="fr-FR"/>
        </w:rPr>
        <w:tab/>
        <w:t>Le Règlement ONU n</w:t>
      </w:r>
      <w:r w:rsidRPr="00C00C51">
        <w:rPr>
          <w:strike/>
          <w:vertAlign w:val="superscript"/>
          <w:lang w:val="fr-FR"/>
        </w:rPr>
        <w:t>o</w:t>
      </w:r>
      <w:r w:rsidR="0063154F">
        <w:rPr>
          <w:strike/>
          <w:lang w:val="fr-FR"/>
        </w:rPr>
        <w:t> </w:t>
      </w:r>
      <w:r w:rsidRPr="00C00C51">
        <w:rPr>
          <w:strike/>
          <w:lang w:val="fr-FR"/>
        </w:rPr>
        <w:t>72</w:t>
      </w:r>
      <w:r w:rsidR="0063154F">
        <w:rPr>
          <w:strike/>
          <w:lang w:val="fr-FR"/>
        </w:rPr>
        <w:t> </w:t>
      </w:r>
      <w:r w:rsidRPr="00C00C51">
        <w:rPr>
          <w:strike/>
          <w:lang w:val="fr-FR"/>
        </w:rPr>
        <w:t>;</w:t>
      </w:r>
    </w:p>
    <w:p w14:paraId="64A932F5" w14:textId="6FDB9FCC" w:rsidR="00743628" w:rsidRPr="00C00C51" w:rsidRDefault="00743628" w:rsidP="0063154F">
      <w:pPr>
        <w:pStyle w:val="SingleTxtG"/>
        <w:ind w:left="2268"/>
        <w:rPr>
          <w:lang w:val="fr-FR"/>
        </w:rPr>
      </w:pPr>
      <w:r w:rsidRPr="00C00C51">
        <w:rPr>
          <w:strike/>
          <w:lang w:val="fr-FR"/>
        </w:rPr>
        <w:t>h)</w:t>
      </w:r>
      <w:r w:rsidRPr="00C00C51">
        <w:rPr>
          <w:b/>
          <w:lang w:val="fr-FR"/>
        </w:rPr>
        <w:t>e)</w:t>
      </w:r>
      <w:r w:rsidRPr="00C00C51">
        <w:rPr>
          <w:lang w:val="fr-FR"/>
        </w:rPr>
        <w:tab/>
        <w:t>Le Règlement ONU n</w:t>
      </w:r>
      <w:r w:rsidRPr="00C00C51">
        <w:rPr>
          <w:vertAlign w:val="superscript"/>
          <w:lang w:val="fr-FR"/>
        </w:rPr>
        <w:t>o</w:t>
      </w:r>
      <w:r w:rsidR="0063154F">
        <w:rPr>
          <w:lang w:val="fr-FR"/>
        </w:rPr>
        <w:t> </w:t>
      </w:r>
      <w:r w:rsidRPr="00C00C51">
        <w:rPr>
          <w:lang w:val="fr-FR"/>
        </w:rPr>
        <w:t>98 ;</w:t>
      </w:r>
    </w:p>
    <w:p w14:paraId="4A14DCDC" w14:textId="73FE110E" w:rsidR="00743628" w:rsidRPr="00C00C51" w:rsidRDefault="00743628" w:rsidP="0063154F">
      <w:pPr>
        <w:pStyle w:val="SingleTxtG"/>
        <w:ind w:left="2268"/>
        <w:rPr>
          <w:lang w:val="fr-FR"/>
        </w:rPr>
      </w:pPr>
      <w:r w:rsidRPr="00C00C51">
        <w:rPr>
          <w:strike/>
          <w:lang w:val="fr-FR"/>
        </w:rPr>
        <w:t>i)</w:t>
      </w:r>
      <w:r w:rsidRPr="00C00C51">
        <w:rPr>
          <w:b/>
          <w:lang w:val="fr-FR"/>
        </w:rPr>
        <w:t>f)</w:t>
      </w:r>
      <w:r w:rsidRPr="00C00C51">
        <w:rPr>
          <w:lang w:val="fr-FR"/>
        </w:rPr>
        <w:tab/>
        <w:t xml:space="preserve">La classe </w:t>
      </w:r>
      <w:r w:rsidRPr="00C00C51">
        <w:rPr>
          <w:strike/>
          <w:lang w:val="fr-FR"/>
        </w:rPr>
        <w:t>A,</w:t>
      </w:r>
      <w:r w:rsidRPr="00C00C51">
        <w:rPr>
          <w:lang w:val="fr-FR"/>
        </w:rPr>
        <w:t xml:space="preserve"> B, D, CS, DS ou ES du Règlement ONU n</w:t>
      </w:r>
      <w:r w:rsidRPr="00C00C51">
        <w:rPr>
          <w:vertAlign w:val="superscript"/>
          <w:lang w:val="fr-FR"/>
        </w:rPr>
        <w:t>o</w:t>
      </w:r>
      <w:r w:rsidR="0063154F">
        <w:rPr>
          <w:lang w:val="fr-FR"/>
        </w:rPr>
        <w:t> </w:t>
      </w:r>
      <w:r w:rsidRPr="00C00C51">
        <w:rPr>
          <w:lang w:val="fr-FR"/>
        </w:rPr>
        <w:t>149</w:t>
      </w:r>
      <w:r w:rsidR="0063154F">
        <w:rPr>
          <w:lang w:val="fr-FR"/>
        </w:rPr>
        <w:t> </w:t>
      </w:r>
      <w:r w:rsidRPr="00C00C51">
        <w:rPr>
          <w:lang w:val="fr-FR"/>
        </w:rPr>
        <w:t>;</w:t>
      </w:r>
    </w:p>
    <w:p w14:paraId="1D69C76E" w14:textId="44BF1FFC" w:rsidR="00743628" w:rsidRPr="00C00C51" w:rsidRDefault="00743628" w:rsidP="0063154F">
      <w:pPr>
        <w:pStyle w:val="SingleTxtG"/>
        <w:ind w:left="2835" w:hanging="567"/>
        <w:rPr>
          <w:lang w:val="fr-FR"/>
        </w:rPr>
      </w:pPr>
      <w:r w:rsidRPr="00C00C51">
        <w:rPr>
          <w:strike/>
          <w:lang w:val="fr-FR"/>
        </w:rPr>
        <w:t>j)</w:t>
      </w:r>
      <w:r w:rsidRPr="00C00C51">
        <w:rPr>
          <w:b/>
          <w:lang w:val="fr-FR"/>
        </w:rPr>
        <w:t>g)</w:t>
      </w:r>
      <w:r w:rsidRPr="00C00C51">
        <w:rPr>
          <w:lang w:val="fr-FR"/>
        </w:rPr>
        <w:tab/>
        <w:t>La classe C ou V de la série</w:t>
      </w:r>
      <w:r w:rsidR="0063154F">
        <w:rPr>
          <w:lang w:val="fr-FR"/>
        </w:rPr>
        <w:t> </w:t>
      </w:r>
      <w:r w:rsidRPr="00C00C51">
        <w:rPr>
          <w:lang w:val="fr-FR"/>
        </w:rPr>
        <w:t>01 et des séries ultérieures d</w:t>
      </w:r>
      <w:r>
        <w:rPr>
          <w:lang w:val="fr-FR"/>
        </w:rPr>
        <w:t>’</w:t>
      </w:r>
      <w:r w:rsidRPr="00C00C51">
        <w:rPr>
          <w:lang w:val="fr-FR"/>
        </w:rPr>
        <w:t>amendements au Règlement ONU n</w:t>
      </w:r>
      <w:r w:rsidRPr="00C00C51">
        <w:rPr>
          <w:vertAlign w:val="superscript"/>
          <w:lang w:val="fr-FR"/>
        </w:rPr>
        <w:t>o</w:t>
      </w:r>
      <w:r w:rsidR="0063154F">
        <w:rPr>
          <w:lang w:val="fr-FR"/>
        </w:rPr>
        <w:t> </w:t>
      </w:r>
      <w:r w:rsidRPr="00C00C51">
        <w:rPr>
          <w:lang w:val="fr-FR"/>
        </w:rPr>
        <w:t>149.</w:t>
      </w:r>
    </w:p>
    <w:p w14:paraId="7E1482D3" w14:textId="2AFE2A24" w:rsidR="00743628" w:rsidRPr="00C00C51" w:rsidRDefault="00743628" w:rsidP="0018763D">
      <w:pPr>
        <w:pStyle w:val="SingleTxtG"/>
        <w:ind w:left="2268" w:hanging="1134"/>
        <w:rPr>
          <w:color w:val="000000"/>
          <w:lang w:val="fr-FR"/>
        </w:rPr>
      </w:pPr>
      <w:r w:rsidRPr="00C00C51">
        <w:rPr>
          <w:lang w:val="fr-FR"/>
        </w:rPr>
        <w:t>6.2.1.2</w:t>
      </w:r>
      <w:r w:rsidRPr="00C00C51">
        <w:rPr>
          <w:lang w:val="fr-FR"/>
        </w:rPr>
        <w:tab/>
        <w:t>Pour les motocycles d</w:t>
      </w:r>
      <w:r>
        <w:rPr>
          <w:lang w:val="fr-FR"/>
        </w:rPr>
        <w:t>’</w:t>
      </w:r>
      <w:r w:rsidRPr="00C00C51">
        <w:rPr>
          <w:lang w:val="fr-FR"/>
        </w:rPr>
        <w:t>une cylindrée &gt;125 cm</w:t>
      </w:r>
      <w:r w:rsidRPr="00C00C51">
        <w:rPr>
          <w:vertAlign w:val="superscript"/>
          <w:lang w:val="fr-FR"/>
        </w:rPr>
        <w:t>3</w:t>
      </w:r>
      <w:r w:rsidRPr="00C00C51">
        <w:rPr>
          <w:lang w:val="fr-FR"/>
        </w:rPr>
        <w:t xml:space="preserve"> </w:t>
      </w:r>
      <w:r w:rsidRPr="00C00C51">
        <w:rPr>
          <w:b/>
          <w:lang w:val="fr-FR"/>
        </w:rPr>
        <w:t>ou d</w:t>
      </w:r>
      <w:r>
        <w:rPr>
          <w:b/>
          <w:lang w:val="fr-FR"/>
        </w:rPr>
        <w:t>’</w:t>
      </w:r>
      <w:r w:rsidRPr="00C00C51">
        <w:rPr>
          <w:b/>
          <w:lang w:val="fr-FR"/>
        </w:rPr>
        <w:t>une puissance maximale &gt; 11</w:t>
      </w:r>
      <w:r w:rsidR="0063154F">
        <w:rPr>
          <w:b/>
          <w:lang w:val="fr-FR"/>
        </w:rPr>
        <w:t> </w:t>
      </w:r>
      <w:r w:rsidRPr="00C00C51">
        <w:rPr>
          <w:b/>
          <w:lang w:val="fr-FR"/>
        </w:rPr>
        <w:t>kW</w:t>
      </w:r>
      <w:r w:rsidRPr="005965E3">
        <w:rPr>
          <w:b/>
          <w:vertAlign w:val="superscript"/>
          <w:lang w:val="fr-FR"/>
        </w:rPr>
        <w:t>(*)</w:t>
      </w:r>
    </w:p>
    <w:p w14:paraId="73EBDDDF" w14:textId="051C6F49" w:rsidR="00743628" w:rsidRPr="00C00C51" w:rsidRDefault="00743628" w:rsidP="0063154F">
      <w:pPr>
        <w:pStyle w:val="SingleTxtG"/>
        <w:ind w:left="2268"/>
        <w:rPr>
          <w:color w:val="000000"/>
          <w:lang w:val="fr-FR" w:eastAsia="zh-CN"/>
        </w:rPr>
      </w:pPr>
      <w:r w:rsidRPr="00C00C51">
        <w:rPr>
          <w:color w:val="000000"/>
          <w:lang w:val="fr-FR" w:eastAsia="zh-CN"/>
        </w:rPr>
        <w:t xml:space="preserve">Un ou </w:t>
      </w:r>
      <w:r w:rsidRPr="0063154F">
        <w:rPr>
          <w:lang w:val="fr-FR" w:eastAsia="zh-CN"/>
        </w:rPr>
        <w:t>deux</w:t>
      </w:r>
      <w:r w:rsidRPr="00C00C51">
        <w:rPr>
          <w:color w:val="000000"/>
          <w:lang w:val="fr-FR" w:eastAsia="zh-CN"/>
        </w:rPr>
        <w:t xml:space="preserve"> du type homologué selon</w:t>
      </w:r>
      <w:r w:rsidR="0063154F">
        <w:rPr>
          <w:color w:val="000000"/>
          <w:lang w:val="fr-FR" w:eastAsia="zh-CN"/>
        </w:rPr>
        <w:t> </w:t>
      </w:r>
      <w:r w:rsidRPr="00C00C51">
        <w:rPr>
          <w:color w:val="000000"/>
          <w:lang w:val="fr-FR" w:eastAsia="zh-CN"/>
        </w:rPr>
        <w:t>:</w:t>
      </w:r>
    </w:p>
    <w:p w14:paraId="3AABB2B7" w14:textId="1A5E959E" w:rsidR="00743628" w:rsidRPr="00C00C51" w:rsidRDefault="00743628" w:rsidP="0063154F">
      <w:pPr>
        <w:pStyle w:val="SingleTxtG"/>
        <w:ind w:left="2268"/>
        <w:rPr>
          <w:lang w:val="fr-FR"/>
        </w:rPr>
      </w:pPr>
      <w:r w:rsidRPr="00C00C51">
        <w:rPr>
          <w:lang w:val="fr-FR"/>
        </w:rPr>
        <w:t>a)</w:t>
      </w:r>
      <w:r w:rsidRPr="00C00C51">
        <w:rPr>
          <w:lang w:val="fr-FR"/>
        </w:rPr>
        <w:tab/>
        <w:t>La classe D ou E du Règlement ONU n</w:t>
      </w:r>
      <w:r w:rsidRPr="00C00C51">
        <w:rPr>
          <w:vertAlign w:val="superscript"/>
          <w:lang w:val="fr-FR"/>
        </w:rPr>
        <w:t>o</w:t>
      </w:r>
      <w:r w:rsidR="0063154F">
        <w:rPr>
          <w:lang w:val="fr-FR"/>
        </w:rPr>
        <w:t> </w:t>
      </w:r>
      <w:r w:rsidRPr="00C00C51">
        <w:rPr>
          <w:lang w:val="fr-FR"/>
        </w:rPr>
        <w:t>113</w:t>
      </w:r>
      <w:r w:rsidR="0063154F">
        <w:rPr>
          <w:lang w:val="fr-FR"/>
        </w:rPr>
        <w:t> </w:t>
      </w:r>
      <w:r w:rsidRPr="00C00C51">
        <w:rPr>
          <w:lang w:val="fr-FR"/>
        </w:rPr>
        <w:t>;</w:t>
      </w:r>
    </w:p>
    <w:p w14:paraId="67F3F650" w14:textId="53693C1C" w:rsidR="00743628" w:rsidRPr="00C00C51" w:rsidRDefault="00743628" w:rsidP="0063154F">
      <w:pPr>
        <w:pStyle w:val="SingleTxtG"/>
        <w:ind w:left="2268"/>
        <w:rPr>
          <w:lang w:val="fr-FR"/>
        </w:rPr>
      </w:pPr>
      <w:r w:rsidRPr="00C00C51">
        <w:rPr>
          <w:lang w:val="fr-FR"/>
        </w:rPr>
        <w:t>b)</w:t>
      </w:r>
      <w:r w:rsidRPr="00C00C51">
        <w:rPr>
          <w:lang w:val="fr-FR"/>
        </w:rPr>
        <w:tab/>
      </w:r>
      <w:r w:rsidRPr="00E80E0D">
        <w:rPr>
          <w:b/>
          <w:lang w:val="fr-FR"/>
        </w:rPr>
        <w:t>La classe B du</w:t>
      </w:r>
      <w:bookmarkStart w:id="0" w:name="_Hlk111032188"/>
      <w:r>
        <w:rPr>
          <w:lang w:val="fr-FR"/>
        </w:rPr>
        <w:t xml:space="preserve"> </w:t>
      </w:r>
      <w:r w:rsidRPr="00C00C51">
        <w:rPr>
          <w:lang w:val="fr-FR"/>
        </w:rPr>
        <w:t>Règlement ONU n</w:t>
      </w:r>
      <w:r w:rsidRPr="00C00C51">
        <w:rPr>
          <w:vertAlign w:val="superscript"/>
          <w:lang w:val="fr-FR"/>
        </w:rPr>
        <w:t>o</w:t>
      </w:r>
      <w:bookmarkEnd w:id="0"/>
      <w:r w:rsidR="0063154F">
        <w:rPr>
          <w:lang w:val="fr-FR"/>
        </w:rPr>
        <w:t> </w:t>
      </w:r>
      <w:r w:rsidRPr="00C00C51">
        <w:rPr>
          <w:lang w:val="fr-FR"/>
        </w:rPr>
        <w:t>112</w:t>
      </w:r>
      <w:r w:rsidR="0063154F">
        <w:rPr>
          <w:lang w:val="fr-FR"/>
        </w:rPr>
        <w:t> </w:t>
      </w:r>
      <w:r w:rsidRPr="00C00C51">
        <w:rPr>
          <w:lang w:val="fr-FR"/>
        </w:rPr>
        <w:t>;</w:t>
      </w:r>
    </w:p>
    <w:p w14:paraId="153D411E" w14:textId="27E4897F" w:rsidR="00743628" w:rsidRPr="00C00C51" w:rsidRDefault="00743628" w:rsidP="0063154F">
      <w:pPr>
        <w:pStyle w:val="SingleTxtG"/>
        <w:ind w:left="2268"/>
        <w:rPr>
          <w:strike/>
          <w:lang w:val="fr-FR"/>
        </w:rPr>
      </w:pPr>
      <w:r w:rsidRPr="00C00C51">
        <w:rPr>
          <w:strike/>
          <w:lang w:val="fr-FR"/>
        </w:rPr>
        <w:t>c)</w:t>
      </w:r>
      <w:r w:rsidRPr="00C00C51">
        <w:rPr>
          <w:strike/>
          <w:lang w:val="fr-FR"/>
        </w:rPr>
        <w:tab/>
        <w:t>Règlement ONU n</w:t>
      </w:r>
      <w:r w:rsidRPr="00C00C51">
        <w:rPr>
          <w:strike/>
          <w:vertAlign w:val="superscript"/>
          <w:lang w:val="fr-FR"/>
        </w:rPr>
        <w:t>o</w:t>
      </w:r>
      <w:r w:rsidR="0063154F">
        <w:rPr>
          <w:strike/>
          <w:lang w:val="fr-FR"/>
        </w:rPr>
        <w:t> </w:t>
      </w:r>
      <w:r w:rsidRPr="00C00C51">
        <w:rPr>
          <w:strike/>
          <w:lang w:val="fr-FR"/>
        </w:rPr>
        <w:t>1</w:t>
      </w:r>
      <w:r w:rsidR="0063154F">
        <w:rPr>
          <w:strike/>
          <w:lang w:val="fr-FR"/>
        </w:rPr>
        <w:t> </w:t>
      </w:r>
      <w:r w:rsidRPr="00C00C51">
        <w:rPr>
          <w:strike/>
          <w:lang w:val="fr-FR"/>
        </w:rPr>
        <w:t>;</w:t>
      </w:r>
    </w:p>
    <w:p w14:paraId="69F7DE82" w14:textId="713AD396" w:rsidR="00743628" w:rsidRPr="00C00C51" w:rsidRDefault="00743628" w:rsidP="0063154F">
      <w:pPr>
        <w:pStyle w:val="SingleTxtG"/>
        <w:ind w:left="2268"/>
        <w:rPr>
          <w:lang w:val="fr-FR"/>
        </w:rPr>
      </w:pPr>
      <w:r w:rsidRPr="00C00C51">
        <w:rPr>
          <w:strike/>
          <w:lang w:val="fr-FR"/>
        </w:rPr>
        <w:t>d)</w:t>
      </w:r>
      <w:r w:rsidRPr="00C00C51">
        <w:rPr>
          <w:b/>
          <w:lang w:val="fr-FR"/>
        </w:rPr>
        <w:t>c)</w:t>
      </w:r>
      <w:r w:rsidRPr="00C00C51">
        <w:rPr>
          <w:lang w:val="fr-FR"/>
        </w:rPr>
        <w:tab/>
        <w:t>Règlement ONU n</w:t>
      </w:r>
      <w:r w:rsidRPr="00C00C51">
        <w:rPr>
          <w:vertAlign w:val="superscript"/>
          <w:lang w:val="fr-FR"/>
        </w:rPr>
        <w:t>o</w:t>
      </w:r>
      <w:r w:rsidR="0063154F">
        <w:rPr>
          <w:lang w:val="fr-FR"/>
        </w:rPr>
        <w:t> </w:t>
      </w:r>
      <w:r w:rsidRPr="00C00C51">
        <w:rPr>
          <w:lang w:val="fr-FR"/>
        </w:rPr>
        <w:t>8 ;</w:t>
      </w:r>
    </w:p>
    <w:p w14:paraId="65200D6C" w14:textId="5358ECD9" w:rsidR="00743628" w:rsidRPr="00C00C51" w:rsidRDefault="00743628" w:rsidP="0063154F">
      <w:pPr>
        <w:pStyle w:val="SingleTxtG"/>
        <w:ind w:left="2268"/>
        <w:rPr>
          <w:lang w:val="fr-FR"/>
        </w:rPr>
      </w:pPr>
      <w:r w:rsidRPr="00C00C51">
        <w:rPr>
          <w:strike/>
          <w:lang w:val="fr-FR"/>
        </w:rPr>
        <w:t>e)</w:t>
      </w:r>
      <w:r w:rsidRPr="00C00C51">
        <w:rPr>
          <w:b/>
          <w:lang w:val="fr-FR"/>
        </w:rPr>
        <w:t>d)</w:t>
      </w:r>
      <w:r w:rsidRPr="00C00C51">
        <w:rPr>
          <w:lang w:val="fr-FR"/>
        </w:rPr>
        <w:tab/>
        <w:t>Règlement ONU n</w:t>
      </w:r>
      <w:r w:rsidRPr="00C00C51">
        <w:rPr>
          <w:vertAlign w:val="superscript"/>
          <w:lang w:val="fr-FR"/>
        </w:rPr>
        <w:t>o</w:t>
      </w:r>
      <w:r w:rsidR="0063154F">
        <w:rPr>
          <w:lang w:val="fr-FR"/>
        </w:rPr>
        <w:t> </w:t>
      </w:r>
      <w:r w:rsidRPr="00C00C51">
        <w:rPr>
          <w:lang w:val="fr-FR"/>
        </w:rPr>
        <w:t>20 ;</w:t>
      </w:r>
    </w:p>
    <w:p w14:paraId="19AFCD2A" w14:textId="23B9B00E" w:rsidR="00743628" w:rsidRPr="00C00C51" w:rsidRDefault="00743628" w:rsidP="0063154F">
      <w:pPr>
        <w:pStyle w:val="SingleTxtG"/>
        <w:ind w:left="2268"/>
        <w:rPr>
          <w:strike/>
          <w:lang w:val="fr-FR"/>
        </w:rPr>
      </w:pPr>
      <w:r w:rsidRPr="00C00C51">
        <w:rPr>
          <w:strike/>
          <w:lang w:val="fr-FR"/>
        </w:rPr>
        <w:t>f)</w:t>
      </w:r>
      <w:r w:rsidRPr="00C00C51">
        <w:rPr>
          <w:strike/>
          <w:lang w:val="fr-FR"/>
        </w:rPr>
        <w:tab/>
        <w:t>Règlement ONU n</w:t>
      </w:r>
      <w:r w:rsidRPr="00C00C51">
        <w:rPr>
          <w:strike/>
          <w:vertAlign w:val="superscript"/>
          <w:lang w:val="fr-FR"/>
        </w:rPr>
        <w:t>o</w:t>
      </w:r>
      <w:r w:rsidR="0063154F">
        <w:rPr>
          <w:strike/>
          <w:lang w:val="fr-FR"/>
        </w:rPr>
        <w:t> </w:t>
      </w:r>
      <w:r w:rsidRPr="00C00C51">
        <w:rPr>
          <w:strike/>
          <w:lang w:val="fr-FR"/>
        </w:rPr>
        <w:t>72</w:t>
      </w:r>
      <w:r w:rsidR="0063154F">
        <w:rPr>
          <w:strike/>
          <w:lang w:val="fr-FR"/>
        </w:rPr>
        <w:t> </w:t>
      </w:r>
      <w:r w:rsidRPr="00C00C51">
        <w:rPr>
          <w:strike/>
          <w:lang w:val="fr-FR"/>
        </w:rPr>
        <w:t>;</w:t>
      </w:r>
    </w:p>
    <w:p w14:paraId="085E9170" w14:textId="6AA0750C" w:rsidR="00743628" w:rsidRPr="00C00C51" w:rsidRDefault="00743628" w:rsidP="0063154F">
      <w:pPr>
        <w:pStyle w:val="SingleTxtG"/>
        <w:ind w:left="2268"/>
        <w:rPr>
          <w:lang w:val="fr-FR"/>
        </w:rPr>
      </w:pPr>
      <w:r w:rsidRPr="00C00C51">
        <w:rPr>
          <w:strike/>
          <w:lang w:val="fr-FR"/>
        </w:rPr>
        <w:t>g)</w:t>
      </w:r>
      <w:r w:rsidRPr="00C00C51">
        <w:rPr>
          <w:b/>
          <w:lang w:val="fr-FR"/>
        </w:rPr>
        <w:t>e)</w:t>
      </w:r>
      <w:r w:rsidRPr="00C00C51">
        <w:rPr>
          <w:lang w:val="fr-FR"/>
        </w:rPr>
        <w:tab/>
        <w:t>Règlement ONU n</w:t>
      </w:r>
      <w:r w:rsidRPr="00C00C51">
        <w:rPr>
          <w:vertAlign w:val="superscript"/>
          <w:lang w:val="fr-FR"/>
        </w:rPr>
        <w:t>o</w:t>
      </w:r>
      <w:r w:rsidR="0063154F">
        <w:rPr>
          <w:lang w:val="fr-FR"/>
        </w:rPr>
        <w:t> </w:t>
      </w:r>
      <w:r w:rsidRPr="00C00C51">
        <w:rPr>
          <w:lang w:val="fr-FR"/>
        </w:rPr>
        <w:t>98</w:t>
      </w:r>
      <w:r w:rsidR="0063154F">
        <w:rPr>
          <w:lang w:val="fr-FR"/>
        </w:rPr>
        <w:t> </w:t>
      </w:r>
      <w:r w:rsidRPr="00C00C51">
        <w:rPr>
          <w:lang w:val="fr-FR"/>
        </w:rPr>
        <w:t>;</w:t>
      </w:r>
    </w:p>
    <w:p w14:paraId="2EFE2C9C" w14:textId="49631A9E" w:rsidR="00743628" w:rsidRPr="00C00C51" w:rsidRDefault="00743628" w:rsidP="0063154F">
      <w:pPr>
        <w:pStyle w:val="SingleTxtG"/>
        <w:ind w:left="2268"/>
        <w:rPr>
          <w:lang w:val="fr-FR"/>
        </w:rPr>
      </w:pPr>
      <w:r w:rsidRPr="00C00C51">
        <w:rPr>
          <w:strike/>
          <w:lang w:val="fr-FR"/>
        </w:rPr>
        <w:t>h)</w:t>
      </w:r>
      <w:r w:rsidRPr="00C00C51">
        <w:rPr>
          <w:b/>
          <w:lang w:val="fr-FR"/>
        </w:rPr>
        <w:t>f)</w:t>
      </w:r>
      <w:r w:rsidRPr="00C00C51">
        <w:rPr>
          <w:lang w:val="fr-FR"/>
        </w:rPr>
        <w:tab/>
        <w:t xml:space="preserve">La classe </w:t>
      </w:r>
      <w:r w:rsidRPr="00C00C51">
        <w:rPr>
          <w:strike/>
          <w:lang w:val="fr-FR"/>
        </w:rPr>
        <w:t xml:space="preserve">A, </w:t>
      </w:r>
      <w:r w:rsidRPr="00C00C51">
        <w:rPr>
          <w:lang w:val="fr-FR"/>
        </w:rPr>
        <w:t>B, D, DS ou ES du Règlement ONU n</w:t>
      </w:r>
      <w:r w:rsidRPr="00C00C51">
        <w:rPr>
          <w:vertAlign w:val="superscript"/>
          <w:lang w:val="fr-FR"/>
        </w:rPr>
        <w:t>o</w:t>
      </w:r>
      <w:r w:rsidR="0063154F">
        <w:rPr>
          <w:lang w:val="fr-FR"/>
        </w:rPr>
        <w:t> </w:t>
      </w:r>
      <w:r w:rsidRPr="00C00C51">
        <w:rPr>
          <w:lang w:val="fr-FR"/>
        </w:rPr>
        <w:t>149</w:t>
      </w:r>
      <w:r w:rsidR="0063154F">
        <w:rPr>
          <w:lang w:val="fr-FR"/>
        </w:rPr>
        <w:t> </w:t>
      </w:r>
      <w:r w:rsidRPr="00C00C51">
        <w:rPr>
          <w:lang w:val="fr-FR"/>
        </w:rPr>
        <w:t>;</w:t>
      </w:r>
    </w:p>
    <w:p w14:paraId="68023BFB" w14:textId="1917A1EA" w:rsidR="00743628" w:rsidRPr="00C00C51" w:rsidRDefault="00743628" w:rsidP="0063154F">
      <w:pPr>
        <w:pStyle w:val="SingleTxtG"/>
        <w:ind w:left="2835" w:hanging="567"/>
        <w:rPr>
          <w:lang w:val="fr-FR"/>
        </w:rPr>
      </w:pPr>
      <w:r w:rsidRPr="00C00C51">
        <w:rPr>
          <w:strike/>
          <w:lang w:val="fr-FR"/>
        </w:rPr>
        <w:t>i)</w:t>
      </w:r>
      <w:r w:rsidRPr="00C00C51">
        <w:rPr>
          <w:b/>
          <w:lang w:val="fr-FR"/>
        </w:rPr>
        <w:t>g)</w:t>
      </w:r>
      <w:r w:rsidRPr="00C00C51">
        <w:rPr>
          <w:lang w:val="fr-FR"/>
        </w:rPr>
        <w:tab/>
        <w:t>La classe</w:t>
      </w:r>
      <w:r w:rsidR="0063154F">
        <w:rPr>
          <w:lang w:val="fr-FR"/>
        </w:rPr>
        <w:t> </w:t>
      </w:r>
      <w:r w:rsidRPr="00C00C51">
        <w:rPr>
          <w:lang w:val="fr-FR"/>
        </w:rPr>
        <w:t>C ou V de la série</w:t>
      </w:r>
      <w:r w:rsidR="0063154F">
        <w:rPr>
          <w:lang w:val="fr-FR"/>
        </w:rPr>
        <w:t> </w:t>
      </w:r>
      <w:r w:rsidRPr="00C00C51">
        <w:rPr>
          <w:lang w:val="fr-FR"/>
        </w:rPr>
        <w:t>01 et des séries ultérieures d</w:t>
      </w:r>
      <w:r>
        <w:rPr>
          <w:lang w:val="fr-FR"/>
        </w:rPr>
        <w:t>’</w:t>
      </w:r>
      <w:r w:rsidRPr="00C00C51">
        <w:rPr>
          <w:lang w:val="fr-FR"/>
        </w:rPr>
        <w:t>amendements au Règlement ONU n</w:t>
      </w:r>
      <w:r w:rsidRPr="00C00C51">
        <w:rPr>
          <w:vertAlign w:val="superscript"/>
          <w:lang w:val="fr-FR"/>
        </w:rPr>
        <w:t>o</w:t>
      </w:r>
      <w:r w:rsidR="0063154F">
        <w:rPr>
          <w:lang w:val="fr-FR"/>
        </w:rPr>
        <w:t> </w:t>
      </w:r>
      <w:r w:rsidRPr="00C00C51">
        <w:rPr>
          <w:lang w:val="fr-FR"/>
        </w:rPr>
        <w:t>149.</w:t>
      </w:r>
    </w:p>
    <w:p w14:paraId="38C3E7D2" w14:textId="1141B66D" w:rsidR="00743628" w:rsidRPr="00C00C51" w:rsidRDefault="00743628" w:rsidP="0063154F">
      <w:pPr>
        <w:pStyle w:val="SingleTxtG"/>
        <w:ind w:left="2268"/>
        <w:rPr>
          <w:lang w:val="fr-FR" w:eastAsia="zh-CN"/>
        </w:rPr>
      </w:pPr>
      <w:r w:rsidRPr="00C00C51">
        <w:rPr>
          <w:lang w:val="fr-FR" w:eastAsia="zh-CN"/>
        </w:rPr>
        <w:t>Deux du type homologué selon</w:t>
      </w:r>
      <w:r w:rsidR="0063154F">
        <w:rPr>
          <w:lang w:val="fr-FR" w:eastAsia="zh-CN"/>
        </w:rPr>
        <w:t> </w:t>
      </w:r>
      <w:r w:rsidRPr="00C00C51">
        <w:rPr>
          <w:lang w:val="fr-FR" w:eastAsia="zh-CN"/>
        </w:rPr>
        <w:t>:</w:t>
      </w:r>
    </w:p>
    <w:p w14:paraId="4EA142BF" w14:textId="41E0D46F" w:rsidR="00743628" w:rsidRPr="00C00C51" w:rsidRDefault="00743628" w:rsidP="0063154F">
      <w:pPr>
        <w:pStyle w:val="SingleTxtG"/>
        <w:ind w:left="2268"/>
        <w:rPr>
          <w:lang w:val="fr-FR"/>
        </w:rPr>
      </w:pPr>
      <w:r w:rsidRPr="00C00C51">
        <w:rPr>
          <w:strike/>
          <w:lang w:val="fr-FR"/>
        </w:rPr>
        <w:t>j)</w:t>
      </w:r>
      <w:r w:rsidRPr="00C00C51">
        <w:rPr>
          <w:b/>
          <w:lang w:val="fr-FR"/>
        </w:rPr>
        <w:t>h)</w:t>
      </w:r>
      <w:r w:rsidRPr="00C00C51">
        <w:rPr>
          <w:lang w:val="fr-FR"/>
        </w:rPr>
        <w:tab/>
        <w:t>La classe C du Règlement ONU n</w:t>
      </w:r>
      <w:r w:rsidRPr="00C00C51">
        <w:rPr>
          <w:vertAlign w:val="superscript"/>
          <w:lang w:val="fr-FR"/>
        </w:rPr>
        <w:t>o</w:t>
      </w:r>
      <w:r w:rsidR="0063154F">
        <w:rPr>
          <w:lang w:val="fr-FR"/>
        </w:rPr>
        <w:t> </w:t>
      </w:r>
      <w:r w:rsidRPr="00C00C51">
        <w:rPr>
          <w:lang w:val="fr-FR"/>
        </w:rPr>
        <w:t>113</w:t>
      </w:r>
      <w:r w:rsidR="0063154F">
        <w:rPr>
          <w:lang w:val="fr-FR"/>
        </w:rPr>
        <w:t> </w:t>
      </w:r>
      <w:r w:rsidRPr="00C00C51">
        <w:rPr>
          <w:lang w:val="fr-FR"/>
        </w:rPr>
        <w:t>;</w:t>
      </w:r>
    </w:p>
    <w:p w14:paraId="1B8A82F7" w14:textId="374FBC06" w:rsidR="00743628" w:rsidRPr="00C00C51" w:rsidRDefault="00743628" w:rsidP="0063154F">
      <w:pPr>
        <w:pStyle w:val="SingleTxtG"/>
        <w:ind w:left="2268"/>
        <w:rPr>
          <w:lang w:val="fr-FR"/>
        </w:rPr>
      </w:pPr>
      <w:r w:rsidRPr="00C00C51">
        <w:rPr>
          <w:strike/>
          <w:lang w:val="fr-FR"/>
        </w:rPr>
        <w:t>k)</w:t>
      </w:r>
      <w:r w:rsidRPr="00C00C51">
        <w:rPr>
          <w:b/>
          <w:lang w:val="fr-FR"/>
        </w:rPr>
        <w:t>i)</w:t>
      </w:r>
      <w:r w:rsidRPr="00C00C51">
        <w:rPr>
          <w:lang w:val="fr-FR"/>
        </w:rPr>
        <w:tab/>
        <w:t>La classe CS du Règlement ONU n</w:t>
      </w:r>
      <w:r w:rsidRPr="00C00C51">
        <w:rPr>
          <w:vertAlign w:val="superscript"/>
          <w:lang w:val="fr-FR"/>
        </w:rPr>
        <w:t>o</w:t>
      </w:r>
      <w:r w:rsidR="0063154F">
        <w:rPr>
          <w:lang w:val="fr-FR"/>
        </w:rPr>
        <w:t> </w:t>
      </w:r>
      <w:r w:rsidRPr="00C00C51">
        <w:rPr>
          <w:lang w:val="fr-FR"/>
        </w:rPr>
        <w:t>149. ».</w:t>
      </w:r>
    </w:p>
    <w:p w14:paraId="2BCEEE96" w14:textId="77777777" w:rsidR="00743628" w:rsidRPr="00C00C51" w:rsidRDefault="00743628" w:rsidP="00743628">
      <w:pPr>
        <w:pStyle w:val="SingleTxtG"/>
        <w:rPr>
          <w:iCs/>
          <w:lang w:val="fr-FR"/>
        </w:rPr>
      </w:pPr>
      <w:r w:rsidRPr="00C00C51">
        <w:rPr>
          <w:i/>
          <w:iCs/>
          <w:lang w:val="fr-FR"/>
        </w:rPr>
        <w:t xml:space="preserve">Ajouter le nouveau paragraphe 11.12, </w:t>
      </w:r>
      <w:r w:rsidRPr="00C00C51">
        <w:rPr>
          <w:lang w:val="fr-FR"/>
        </w:rPr>
        <w:t>libellé comme suit :</w:t>
      </w:r>
    </w:p>
    <w:p w14:paraId="3CA3B474" w14:textId="0A4EBDD8" w:rsidR="00743628" w:rsidRPr="00C00C51" w:rsidRDefault="00743628" w:rsidP="0018763D">
      <w:pPr>
        <w:pStyle w:val="SingleTxtG"/>
        <w:ind w:left="2268" w:hanging="1134"/>
        <w:rPr>
          <w:b/>
          <w:lang w:val="fr-FR"/>
        </w:rPr>
      </w:pPr>
      <w:r w:rsidRPr="00C00C51">
        <w:rPr>
          <w:b/>
          <w:lang w:val="fr-FR"/>
        </w:rPr>
        <w:t>« 11.12</w:t>
      </w:r>
      <w:r w:rsidRPr="00C00C51">
        <w:rPr>
          <w:lang w:val="fr-FR"/>
        </w:rPr>
        <w:tab/>
      </w:r>
      <w:r w:rsidRPr="00C00C51">
        <w:rPr>
          <w:b/>
          <w:lang w:val="fr-FR"/>
        </w:rPr>
        <w:t>Dispositions transitoires applicables à la série</w:t>
      </w:r>
      <w:r w:rsidR="0063154F">
        <w:rPr>
          <w:b/>
          <w:lang w:val="fr-FR"/>
        </w:rPr>
        <w:t> </w:t>
      </w:r>
      <w:r w:rsidRPr="00C00C51">
        <w:rPr>
          <w:b/>
          <w:lang w:val="fr-FR"/>
        </w:rPr>
        <w:t>04 d</w:t>
      </w:r>
      <w:r>
        <w:rPr>
          <w:b/>
          <w:lang w:val="fr-FR"/>
        </w:rPr>
        <w:t>’</w:t>
      </w:r>
      <w:r w:rsidRPr="00C00C51">
        <w:rPr>
          <w:b/>
          <w:lang w:val="fr-FR"/>
        </w:rPr>
        <w:t>amendements</w:t>
      </w:r>
    </w:p>
    <w:p w14:paraId="6F4E9650" w14:textId="5E5F6150" w:rsidR="00743628" w:rsidRPr="00C00C51" w:rsidRDefault="00743628" w:rsidP="0018763D">
      <w:pPr>
        <w:pStyle w:val="SingleTxtG"/>
        <w:ind w:left="2268" w:hanging="1134"/>
        <w:rPr>
          <w:b/>
          <w:lang w:val="fr-FR"/>
        </w:rPr>
      </w:pPr>
      <w:r w:rsidRPr="00C00C51">
        <w:rPr>
          <w:b/>
          <w:lang w:val="fr-FR"/>
        </w:rPr>
        <w:t>11.12.1</w:t>
      </w:r>
      <w:r w:rsidRPr="00C00C51">
        <w:rPr>
          <w:lang w:val="fr-FR"/>
        </w:rPr>
        <w:tab/>
      </w:r>
      <w:r w:rsidRPr="00C00C51">
        <w:rPr>
          <w:b/>
          <w:lang w:val="fr-FR"/>
        </w:rPr>
        <w:t>À compter de la date officielle d</w:t>
      </w:r>
      <w:r>
        <w:rPr>
          <w:b/>
          <w:lang w:val="fr-FR"/>
        </w:rPr>
        <w:t>’</w:t>
      </w:r>
      <w:r w:rsidRPr="00C00C51">
        <w:rPr>
          <w:b/>
          <w:lang w:val="fr-FR"/>
        </w:rPr>
        <w:t>entrée en vigueur de la série</w:t>
      </w:r>
      <w:r w:rsidR="0063154F">
        <w:rPr>
          <w:b/>
          <w:lang w:val="fr-FR"/>
        </w:rPr>
        <w:t> </w:t>
      </w:r>
      <w:r w:rsidRPr="00C00C51">
        <w:rPr>
          <w:b/>
          <w:lang w:val="fr-FR"/>
        </w:rPr>
        <w:t>04 d</w:t>
      </w:r>
      <w:r>
        <w:rPr>
          <w:b/>
          <w:lang w:val="fr-FR"/>
        </w:rPr>
        <w:t>’</w:t>
      </w:r>
      <w:r w:rsidRPr="00C00C51">
        <w:rPr>
          <w:b/>
          <w:lang w:val="fr-FR"/>
        </w:rPr>
        <w:t>amendements, aucune Partie contractante appliquant le présent Règlement ONU ne pourra refuser d</w:t>
      </w:r>
      <w:r>
        <w:rPr>
          <w:b/>
          <w:lang w:val="fr-FR"/>
        </w:rPr>
        <w:t>’</w:t>
      </w:r>
      <w:r w:rsidRPr="00C00C51">
        <w:rPr>
          <w:b/>
          <w:lang w:val="fr-FR"/>
        </w:rPr>
        <w:t>accorder ou d</w:t>
      </w:r>
      <w:r>
        <w:rPr>
          <w:b/>
          <w:lang w:val="fr-FR"/>
        </w:rPr>
        <w:t>’</w:t>
      </w:r>
      <w:r w:rsidRPr="00C00C51">
        <w:rPr>
          <w:b/>
          <w:lang w:val="fr-FR"/>
        </w:rPr>
        <w:t>accepter une homologation de type délivrée en vertu dudit Règlement ONU tel que modifié par la série</w:t>
      </w:r>
      <w:r w:rsidR="0063154F">
        <w:rPr>
          <w:b/>
          <w:lang w:val="fr-FR"/>
        </w:rPr>
        <w:t> </w:t>
      </w:r>
      <w:r w:rsidRPr="00C00C51">
        <w:rPr>
          <w:b/>
          <w:lang w:val="fr-FR"/>
        </w:rPr>
        <w:t>04 d</w:t>
      </w:r>
      <w:r>
        <w:rPr>
          <w:b/>
          <w:lang w:val="fr-FR"/>
        </w:rPr>
        <w:t>’</w:t>
      </w:r>
      <w:r w:rsidRPr="00C00C51">
        <w:rPr>
          <w:b/>
          <w:lang w:val="fr-FR"/>
        </w:rPr>
        <w:t>amendements.</w:t>
      </w:r>
    </w:p>
    <w:p w14:paraId="34E9628A" w14:textId="458309A1" w:rsidR="00743628" w:rsidRPr="00C00C51" w:rsidRDefault="00743628" w:rsidP="0018763D">
      <w:pPr>
        <w:pStyle w:val="SingleTxtG"/>
        <w:ind w:left="2268" w:hanging="1134"/>
        <w:rPr>
          <w:b/>
          <w:lang w:val="fr-FR"/>
        </w:rPr>
      </w:pPr>
      <w:r w:rsidRPr="00C00C51">
        <w:rPr>
          <w:b/>
          <w:lang w:val="fr-FR"/>
        </w:rPr>
        <w:t>11.12.2</w:t>
      </w:r>
      <w:r w:rsidRPr="00C00C51">
        <w:rPr>
          <w:lang w:val="fr-FR"/>
        </w:rPr>
        <w:tab/>
      </w:r>
      <w:r w:rsidRPr="00C00C51">
        <w:rPr>
          <w:b/>
          <w:lang w:val="fr-FR"/>
        </w:rPr>
        <w:t>À compter du 1</w:t>
      </w:r>
      <w:r w:rsidRPr="00C00C51">
        <w:rPr>
          <w:b/>
          <w:vertAlign w:val="superscript"/>
          <w:lang w:val="fr-FR"/>
        </w:rPr>
        <w:t>er</w:t>
      </w:r>
      <w:r w:rsidR="0063154F">
        <w:rPr>
          <w:b/>
          <w:lang w:val="fr-FR"/>
        </w:rPr>
        <w:t> </w:t>
      </w:r>
      <w:r w:rsidRPr="00C00C51">
        <w:rPr>
          <w:b/>
          <w:lang w:val="fr-FR"/>
        </w:rPr>
        <w:t>septembre [2028], les Parties contractantes appliquant le présent Règlement ONU ne seront plus tenues d</w:t>
      </w:r>
      <w:r>
        <w:rPr>
          <w:b/>
          <w:lang w:val="fr-FR"/>
        </w:rPr>
        <w:t>’</w:t>
      </w:r>
      <w:r w:rsidRPr="00C00C51">
        <w:rPr>
          <w:b/>
          <w:lang w:val="fr-FR"/>
        </w:rPr>
        <w:t>accepter les homologations de type ONU établies conformément aux précédentes séries d</w:t>
      </w:r>
      <w:r>
        <w:rPr>
          <w:b/>
          <w:lang w:val="fr-FR"/>
        </w:rPr>
        <w:t>’</w:t>
      </w:r>
      <w:r w:rsidRPr="00C00C51">
        <w:rPr>
          <w:b/>
          <w:lang w:val="fr-FR"/>
        </w:rPr>
        <w:t>amendements, délivrées pour la première fois après le 1</w:t>
      </w:r>
      <w:r w:rsidRPr="00C00C51">
        <w:rPr>
          <w:b/>
          <w:vertAlign w:val="superscript"/>
          <w:lang w:val="fr-FR"/>
        </w:rPr>
        <w:t>er</w:t>
      </w:r>
      <w:r w:rsidR="0063154F">
        <w:rPr>
          <w:b/>
          <w:lang w:val="fr-FR"/>
        </w:rPr>
        <w:t> </w:t>
      </w:r>
      <w:r w:rsidRPr="00C00C51">
        <w:rPr>
          <w:b/>
          <w:lang w:val="fr-FR"/>
        </w:rPr>
        <w:t>septembre [2028].</w:t>
      </w:r>
    </w:p>
    <w:p w14:paraId="78761C20" w14:textId="10054E88" w:rsidR="00743628" w:rsidRPr="00C00C51" w:rsidRDefault="00743628" w:rsidP="0018763D">
      <w:pPr>
        <w:pStyle w:val="SingleTxtG"/>
        <w:ind w:left="2268" w:hanging="1134"/>
        <w:rPr>
          <w:b/>
          <w:lang w:val="fr-FR"/>
        </w:rPr>
      </w:pPr>
      <w:r w:rsidRPr="00C00C51">
        <w:rPr>
          <w:b/>
          <w:lang w:val="fr-FR"/>
        </w:rPr>
        <w:lastRenderedPageBreak/>
        <w:t>11.12.3</w:t>
      </w:r>
      <w:r w:rsidRPr="00C00C51">
        <w:rPr>
          <w:lang w:val="fr-FR"/>
        </w:rPr>
        <w:tab/>
      </w:r>
      <w:r w:rsidRPr="00C00C51">
        <w:rPr>
          <w:b/>
          <w:lang w:val="fr-FR"/>
        </w:rPr>
        <w:t>Jusqu</w:t>
      </w:r>
      <w:r>
        <w:rPr>
          <w:b/>
          <w:lang w:val="fr-FR"/>
        </w:rPr>
        <w:t>’</w:t>
      </w:r>
      <w:r w:rsidRPr="00C00C51">
        <w:rPr>
          <w:b/>
          <w:lang w:val="fr-FR"/>
        </w:rPr>
        <w:t>au 1</w:t>
      </w:r>
      <w:r w:rsidRPr="00C00C51">
        <w:rPr>
          <w:b/>
          <w:vertAlign w:val="superscript"/>
          <w:lang w:val="fr-FR"/>
        </w:rPr>
        <w:t>er</w:t>
      </w:r>
      <w:r w:rsidR="0063154F">
        <w:rPr>
          <w:b/>
          <w:lang w:val="fr-FR"/>
        </w:rPr>
        <w:t> </w:t>
      </w:r>
      <w:r w:rsidRPr="00C00C51">
        <w:rPr>
          <w:b/>
          <w:lang w:val="fr-FR"/>
        </w:rPr>
        <w:t>septembre [2030], les Parties contractantes appliquant le présent Règlement seront tenues d</w:t>
      </w:r>
      <w:r>
        <w:rPr>
          <w:b/>
          <w:lang w:val="fr-FR"/>
        </w:rPr>
        <w:t>’</w:t>
      </w:r>
      <w:r w:rsidRPr="00C00C51">
        <w:rPr>
          <w:b/>
          <w:lang w:val="fr-FR"/>
        </w:rPr>
        <w:t>accepter les homologations de type établies conformément aux précédentes séries d</w:t>
      </w:r>
      <w:r>
        <w:rPr>
          <w:b/>
          <w:lang w:val="fr-FR"/>
        </w:rPr>
        <w:t>’</w:t>
      </w:r>
      <w:r w:rsidRPr="00C00C51">
        <w:rPr>
          <w:b/>
          <w:lang w:val="fr-FR"/>
        </w:rPr>
        <w:t>amendements, délivrées pour la première fois avant le 1</w:t>
      </w:r>
      <w:r w:rsidRPr="00C00C51">
        <w:rPr>
          <w:b/>
          <w:vertAlign w:val="superscript"/>
          <w:lang w:val="fr-FR"/>
        </w:rPr>
        <w:t>er</w:t>
      </w:r>
      <w:r w:rsidR="00102377">
        <w:rPr>
          <w:b/>
          <w:lang w:val="fr-FR"/>
        </w:rPr>
        <w:t> </w:t>
      </w:r>
      <w:r w:rsidRPr="00C00C51">
        <w:rPr>
          <w:b/>
          <w:lang w:val="fr-FR"/>
        </w:rPr>
        <w:t>septembre [2028].</w:t>
      </w:r>
    </w:p>
    <w:p w14:paraId="6621E937" w14:textId="12AE51F6" w:rsidR="00743628" w:rsidRPr="00C00C51" w:rsidRDefault="00743628" w:rsidP="0018763D">
      <w:pPr>
        <w:pStyle w:val="SingleTxtG"/>
        <w:ind w:left="2268" w:hanging="1134"/>
        <w:rPr>
          <w:b/>
          <w:lang w:val="fr-FR"/>
        </w:rPr>
      </w:pPr>
      <w:r w:rsidRPr="00C00C51">
        <w:rPr>
          <w:b/>
          <w:lang w:val="fr-FR"/>
        </w:rPr>
        <w:t>11.12.4</w:t>
      </w:r>
      <w:r w:rsidRPr="00C00C51">
        <w:rPr>
          <w:lang w:val="fr-FR"/>
        </w:rPr>
        <w:tab/>
      </w:r>
      <w:r w:rsidRPr="00C00C51">
        <w:rPr>
          <w:b/>
          <w:lang w:val="fr-FR"/>
        </w:rPr>
        <w:t>À compter du 1</w:t>
      </w:r>
      <w:r w:rsidRPr="00C00C51">
        <w:rPr>
          <w:b/>
          <w:vertAlign w:val="superscript"/>
          <w:lang w:val="fr-FR"/>
        </w:rPr>
        <w:t>er</w:t>
      </w:r>
      <w:r w:rsidR="00102377">
        <w:rPr>
          <w:b/>
          <w:lang w:val="fr-FR"/>
        </w:rPr>
        <w:t> </w:t>
      </w:r>
      <w:r w:rsidRPr="00C00C51">
        <w:rPr>
          <w:b/>
          <w:lang w:val="fr-FR"/>
        </w:rPr>
        <w:t>septembre [2030], les Parties contractantes appliquant le présent Règlement ne seront plus tenues d</w:t>
      </w:r>
      <w:r>
        <w:rPr>
          <w:b/>
          <w:lang w:val="fr-FR"/>
        </w:rPr>
        <w:t>’</w:t>
      </w:r>
      <w:r w:rsidRPr="00C00C51">
        <w:rPr>
          <w:b/>
          <w:lang w:val="fr-FR"/>
        </w:rPr>
        <w:t>accepter les homologations de type délivrées en vertu des précédentes séries d</w:t>
      </w:r>
      <w:r>
        <w:rPr>
          <w:b/>
          <w:lang w:val="fr-FR"/>
        </w:rPr>
        <w:t>’</w:t>
      </w:r>
      <w:r w:rsidRPr="00C00C51">
        <w:rPr>
          <w:b/>
          <w:lang w:val="fr-FR"/>
        </w:rPr>
        <w:t>amendements audit Règlement.</w:t>
      </w:r>
    </w:p>
    <w:p w14:paraId="3DFCCAE8" w14:textId="448B136C" w:rsidR="00743628" w:rsidRPr="00C00C51" w:rsidRDefault="00743628" w:rsidP="0018763D">
      <w:pPr>
        <w:pStyle w:val="SingleTxtG"/>
        <w:ind w:left="2268" w:hanging="1134"/>
        <w:rPr>
          <w:b/>
          <w:lang w:val="fr-FR"/>
        </w:rPr>
      </w:pPr>
      <w:r w:rsidRPr="00C00C51">
        <w:rPr>
          <w:b/>
          <w:lang w:val="fr-FR"/>
        </w:rPr>
        <w:t>11.12.5</w:t>
      </w:r>
      <w:r w:rsidRPr="00C00C51">
        <w:rPr>
          <w:lang w:val="fr-FR"/>
        </w:rPr>
        <w:tab/>
      </w:r>
      <w:r w:rsidRPr="00C00C51">
        <w:rPr>
          <w:b/>
          <w:lang w:val="fr-FR"/>
        </w:rPr>
        <w:t>Nonobstant les dispositions transitoires ci-dessus, les Parties contractantes qui commencent à appliquer le présent Règlement ONU après la date d</w:t>
      </w:r>
      <w:r>
        <w:rPr>
          <w:b/>
          <w:lang w:val="fr-FR"/>
        </w:rPr>
        <w:t>’</w:t>
      </w:r>
      <w:r w:rsidRPr="00C00C51">
        <w:rPr>
          <w:b/>
          <w:lang w:val="fr-FR"/>
        </w:rPr>
        <w:t>entrée en vigueur de la série d</w:t>
      </w:r>
      <w:r>
        <w:rPr>
          <w:b/>
          <w:lang w:val="fr-FR"/>
        </w:rPr>
        <w:t>’</w:t>
      </w:r>
      <w:r w:rsidRPr="00C00C51">
        <w:rPr>
          <w:b/>
          <w:lang w:val="fr-FR"/>
        </w:rPr>
        <w:t>amendements la plus récente ne sont pas tenues d</w:t>
      </w:r>
      <w:r>
        <w:rPr>
          <w:b/>
          <w:lang w:val="fr-FR"/>
        </w:rPr>
        <w:t>’</w:t>
      </w:r>
      <w:r w:rsidRPr="00C00C51">
        <w:rPr>
          <w:b/>
          <w:lang w:val="fr-FR"/>
        </w:rPr>
        <w:t>accepter les homologations de type ONU délivrées en vertu de l</w:t>
      </w:r>
      <w:r>
        <w:rPr>
          <w:b/>
          <w:lang w:val="fr-FR"/>
        </w:rPr>
        <w:t>’</w:t>
      </w:r>
      <w:r w:rsidRPr="00C00C51">
        <w:rPr>
          <w:b/>
          <w:lang w:val="fr-FR"/>
        </w:rPr>
        <w:t>une quelconque des précédentes séries d</w:t>
      </w:r>
      <w:r>
        <w:rPr>
          <w:b/>
          <w:lang w:val="fr-FR"/>
        </w:rPr>
        <w:t>’</w:t>
      </w:r>
      <w:r w:rsidRPr="00C00C51">
        <w:rPr>
          <w:b/>
          <w:lang w:val="fr-FR"/>
        </w:rPr>
        <w:t>amendements audit Règlement ONU.</w:t>
      </w:r>
    </w:p>
    <w:p w14:paraId="2600FDA6" w14:textId="384EDB07" w:rsidR="00743628" w:rsidRPr="00C00C51" w:rsidRDefault="00743628" w:rsidP="0018763D">
      <w:pPr>
        <w:pStyle w:val="SingleTxtG"/>
        <w:ind w:left="2268" w:hanging="1134"/>
        <w:rPr>
          <w:b/>
          <w:lang w:val="fr-FR"/>
        </w:rPr>
      </w:pPr>
      <w:r w:rsidRPr="00C00C51">
        <w:rPr>
          <w:b/>
          <w:lang w:val="fr-FR"/>
        </w:rPr>
        <w:t>11.12.6</w:t>
      </w:r>
      <w:r w:rsidRPr="00C00C51">
        <w:rPr>
          <w:lang w:val="fr-FR"/>
        </w:rPr>
        <w:tab/>
      </w:r>
      <w:r w:rsidRPr="00C00C51">
        <w:rPr>
          <w:b/>
          <w:lang w:val="fr-FR"/>
        </w:rPr>
        <w:t>Nonobstant les dispositions du paragraphe</w:t>
      </w:r>
      <w:r w:rsidR="00102377">
        <w:rPr>
          <w:b/>
          <w:lang w:val="fr-FR"/>
        </w:rPr>
        <w:t> </w:t>
      </w:r>
      <w:r w:rsidRPr="00C00C51">
        <w:rPr>
          <w:b/>
          <w:lang w:val="fr-FR"/>
        </w:rPr>
        <w:t>11.12.2, les Parties contractantes appliquant le présent Règlement ONU continueront de reconnaître les homologations de type délivrées en vertu des précédentes séries d</w:t>
      </w:r>
      <w:r>
        <w:rPr>
          <w:b/>
          <w:lang w:val="fr-FR"/>
        </w:rPr>
        <w:t>’</w:t>
      </w:r>
      <w:r w:rsidRPr="00C00C51">
        <w:rPr>
          <w:b/>
          <w:lang w:val="fr-FR"/>
        </w:rPr>
        <w:t>amendements audit Règlement ONU ainsi que les extensions de ces homologations pour les véhicules non concernés par les modifications apportées par la série</w:t>
      </w:r>
      <w:r w:rsidR="00102377">
        <w:rPr>
          <w:b/>
          <w:lang w:val="fr-FR"/>
        </w:rPr>
        <w:t> </w:t>
      </w:r>
      <w:r w:rsidRPr="00C00C51">
        <w:rPr>
          <w:b/>
          <w:lang w:val="fr-FR"/>
        </w:rPr>
        <w:t>04 d</w:t>
      </w:r>
      <w:r>
        <w:rPr>
          <w:b/>
          <w:lang w:val="fr-FR"/>
        </w:rPr>
        <w:t>’</w:t>
      </w:r>
      <w:r w:rsidRPr="00C00C51">
        <w:rPr>
          <w:b/>
          <w:lang w:val="fr-FR"/>
        </w:rPr>
        <w:t>amendements.</w:t>
      </w:r>
    </w:p>
    <w:p w14:paraId="0F0F9B34" w14:textId="203D2F0C" w:rsidR="00743628" w:rsidRPr="00C00C51" w:rsidRDefault="00743628" w:rsidP="0018763D">
      <w:pPr>
        <w:pStyle w:val="SingleTxtG"/>
        <w:ind w:left="2268" w:hanging="1134"/>
        <w:rPr>
          <w:b/>
          <w:lang w:val="fr-FR"/>
        </w:rPr>
      </w:pPr>
      <w:r w:rsidRPr="00C00C51">
        <w:rPr>
          <w:b/>
          <w:lang w:val="fr-FR"/>
        </w:rPr>
        <w:t>11.12.7</w:t>
      </w:r>
      <w:r w:rsidRPr="00C00C51">
        <w:rPr>
          <w:lang w:val="fr-FR"/>
        </w:rPr>
        <w:tab/>
      </w:r>
      <w:r w:rsidRPr="00C00C51">
        <w:rPr>
          <w:b/>
          <w:lang w:val="fr-FR"/>
        </w:rPr>
        <w:t>Les Parties contractantes appliquant le présent Règlement pourront accorder des homologations de type en vertu de l</w:t>
      </w:r>
      <w:r>
        <w:rPr>
          <w:b/>
          <w:lang w:val="fr-FR"/>
        </w:rPr>
        <w:t>’</w:t>
      </w:r>
      <w:r w:rsidRPr="00C00C51">
        <w:rPr>
          <w:b/>
          <w:lang w:val="fr-FR"/>
        </w:rPr>
        <w:t>une quelconque des précédentes séries d</w:t>
      </w:r>
      <w:r>
        <w:rPr>
          <w:b/>
          <w:lang w:val="fr-FR"/>
        </w:rPr>
        <w:t>’</w:t>
      </w:r>
      <w:r w:rsidRPr="00C00C51">
        <w:rPr>
          <w:b/>
          <w:lang w:val="fr-FR"/>
        </w:rPr>
        <w:t>amendements audit Règlement.</w:t>
      </w:r>
    </w:p>
    <w:p w14:paraId="64C1E1D2" w14:textId="534F31FA" w:rsidR="00743628" w:rsidRPr="00C00C51" w:rsidRDefault="00743628" w:rsidP="0018763D">
      <w:pPr>
        <w:pStyle w:val="SingleTxtG"/>
        <w:ind w:left="2268" w:hanging="1134"/>
        <w:rPr>
          <w:iCs/>
          <w:lang w:val="fr-FR"/>
        </w:rPr>
      </w:pPr>
      <w:r w:rsidRPr="00C00C51">
        <w:rPr>
          <w:b/>
          <w:lang w:val="fr-FR"/>
        </w:rPr>
        <w:t>11.12.8</w:t>
      </w:r>
      <w:r w:rsidRPr="00C00C51">
        <w:rPr>
          <w:lang w:val="fr-FR"/>
        </w:rPr>
        <w:tab/>
      </w:r>
      <w:r w:rsidRPr="00C00C51">
        <w:rPr>
          <w:b/>
          <w:lang w:val="fr-FR"/>
        </w:rPr>
        <w:t>Les Parties contractantes appliquant le présent Règlement ONU continueront d</w:t>
      </w:r>
      <w:r>
        <w:rPr>
          <w:b/>
          <w:lang w:val="fr-FR"/>
        </w:rPr>
        <w:t>’</w:t>
      </w:r>
      <w:r w:rsidRPr="00C00C51">
        <w:rPr>
          <w:b/>
          <w:lang w:val="fr-FR"/>
        </w:rPr>
        <w:t>accorder des extensions aux homologations délivrées en vertu de l</w:t>
      </w:r>
      <w:r>
        <w:rPr>
          <w:b/>
          <w:lang w:val="fr-FR"/>
        </w:rPr>
        <w:t>’</w:t>
      </w:r>
      <w:r w:rsidRPr="00C00C51">
        <w:rPr>
          <w:b/>
          <w:lang w:val="fr-FR"/>
        </w:rPr>
        <w:t>une quelconque des précédentes séries d</w:t>
      </w:r>
      <w:r>
        <w:rPr>
          <w:b/>
          <w:lang w:val="fr-FR"/>
        </w:rPr>
        <w:t>’</w:t>
      </w:r>
      <w:r w:rsidRPr="00C00C51">
        <w:rPr>
          <w:b/>
          <w:lang w:val="fr-FR"/>
        </w:rPr>
        <w:t>amendements audit Règlement ONU. ».</w:t>
      </w:r>
    </w:p>
    <w:p w14:paraId="7D011D83" w14:textId="77777777" w:rsidR="00743628" w:rsidRPr="00C00C51" w:rsidRDefault="00743628" w:rsidP="0018763D">
      <w:pPr>
        <w:pStyle w:val="HChG"/>
        <w:rPr>
          <w:lang w:val="fr-FR"/>
        </w:rPr>
      </w:pPr>
      <w:r w:rsidRPr="00C00C51">
        <w:rPr>
          <w:lang w:val="fr-FR"/>
        </w:rPr>
        <w:tab/>
        <w:t>II.</w:t>
      </w:r>
      <w:r w:rsidRPr="00C00C51">
        <w:rPr>
          <w:lang w:val="fr-FR"/>
        </w:rPr>
        <w:tab/>
        <w:t>Justification</w:t>
      </w:r>
    </w:p>
    <w:p w14:paraId="2ED61DD5" w14:textId="7CFF1895" w:rsidR="00743628" w:rsidRPr="00C00C51" w:rsidRDefault="00102377" w:rsidP="00743628">
      <w:pPr>
        <w:pStyle w:val="SingleTxtG"/>
        <w:rPr>
          <w:lang w:val="fr-FR"/>
        </w:rPr>
      </w:pPr>
      <w:r>
        <w:rPr>
          <w:lang w:val="fr-FR"/>
        </w:rPr>
        <w:t>1.</w:t>
      </w:r>
      <w:r>
        <w:rPr>
          <w:lang w:val="fr-FR"/>
        </w:rPr>
        <w:tab/>
      </w:r>
      <w:r w:rsidR="00743628" w:rsidRPr="00C00C51">
        <w:rPr>
          <w:lang w:val="fr-FR"/>
        </w:rPr>
        <w:t>La présente proposition vise à modifier le Règlement ONU n</w:t>
      </w:r>
      <w:r w:rsidR="00743628" w:rsidRPr="00C00C51">
        <w:rPr>
          <w:vertAlign w:val="superscript"/>
          <w:lang w:val="fr-FR"/>
        </w:rPr>
        <w:t>o</w:t>
      </w:r>
      <w:r>
        <w:rPr>
          <w:lang w:val="fr-FR"/>
        </w:rPr>
        <w:t> </w:t>
      </w:r>
      <w:r w:rsidR="00743628" w:rsidRPr="00C00C51">
        <w:rPr>
          <w:lang w:val="fr-FR"/>
        </w:rPr>
        <w:t>53 en vue d</w:t>
      </w:r>
      <w:r w:rsidR="00743628">
        <w:rPr>
          <w:lang w:val="fr-FR"/>
        </w:rPr>
        <w:t>’</w:t>
      </w:r>
      <w:r w:rsidR="00743628" w:rsidRPr="00C00C51">
        <w:rPr>
          <w:lang w:val="fr-FR"/>
        </w:rPr>
        <w:t>améliorer la sécurité routière des motocycles en supprimant certaines classes de projecteurs. Elle est fondée sur le document ECE/TRANS/WP.29/GRE/2022/3 tel que modifié par le document informel GRE-86-15, soumis respectivement par l</w:t>
      </w:r>
      <w:r w:rsidR="00743628">
        <w:rPr>
          <w:lang w:val="fr-FR"/>
        </w:rPr>
        <w:t>’</w:t>
      </w:r>
      <w:r w:rsidR="00743628" w:rsidRPr="00C00C51">
        <w:rPr>
          <w:lang w:val="fr-FR"/>
        </w:rPr>
        <w:t xml:space="preserve">Allemagne </w:t>
      </w:r>
      <w:r w:rsidR="00743628">
        <w:rPr>
          <w:lang w:val="fr-FR"/>
        </w:rPr>
        <w:t xml:space="preserve">et </w:t>
      </w:r>
      <w:r w:rsidR="00743628" w:rsidRPr="00C00C51">
        <w:rPr>
          <w:lang w:val="fr-FR"/>
        </w:rPr>
        <w:t>la Tchéquie à la quatre</w:t>
      </w:r>
      <w:r>
        <w:rPr>
          <w:lang w:val="fr-FR"/>
        </w:rPr>
        <w:noBreakHyphen/>
      </w:r>
      <w:r w:rsidR="00743628" w:rsidRPr="00C00C51">
        <w:rPr>
          <w:lang w:val="fr-FR"/>
        </w:rPr>
        <w:t xml:space="preserve">vingt-sixième session du GRE tenue en avril 2022. Les observations formulées par les Parties contractantes à la session du GRE pour améliorer la proposition ont été prises en compte </w:t>
      </w:r>
      <w:r w:rsidR="00743628">
        <w:rPr>
          <w:lang w:val="fr-FR"/>
        </w:rPr>
        <w:t>dans</w:t>
      </w:r>
      <w:r w:rsidR="00743628" w:rsidRPr="00C00C51">
        <w:rPr>
          <w:lang w:val="fr-FR"/>
        </w:rPr>
        <w:t xml:space="preserve"> l</w:t>
      </w:r>
      <w:r w:rsidR="00743628">
        <w:rPr>
          <w:lang w:val="fr-FR"/>
        </w:rPr>
        <w:t>’</w:t>
      </w:r>
      <w:r w:rsidR="00743628" w:rsidRPr="00C00C51">
        <w:rPr>
          <w:lang w:val="fr-FR"/>
        </w:rPr>
        <w:t>élaboration de la présente version actualisée.</w:t>
      </w:r>
    </w:p>
    <w:p w14:paraId="674335F0" w14:textId="309A321F" w:rsidR="00743628" w:rsidRPr="00C00C51" w:rsidRDefault="00102377" w:rsidP="00743628">
      <w:pPr>
        <w:pStyle w:val="SingleTxtG"/>
        <w:rPr>
          <w:lang w:val="fr-FR"/>
        </w:rPr>
      </w:pPr>
      <w:r>
        <w:rPr>
          <w:lang w:val="fr-FR"/>
        </w:rPr>
        <w:t>2.</w:t>
      </w:r>
      <w:r>
        <w:rPr>
          <w:lang w:val="fr-FR"/>
        </w:rPr>
        <w:tab/>
      </w:r>
      <w:r w:rsidR="00743628" w:rsidRPr="00C00C51">
        <w:rPr>
          <w:lang w:val="fr-FR"/>
        </w:rPr>
        <w:t>En particulier, l</w:t>
      </w:r>
      <w:r w:rsidR="00743628">
        <w:rPr>
          <w:lang w:val="fr-FR"/>
        </w:rPr>
        <w:t>’</w:t>
      </w:r>
      <w:r w:rsidR="00743628" w:rsidRPr="00C00C51">
        <w:rPr>
          <w:lang w:val="fr-FR"/>
        </w:rPr>
        <w:t>introduction du seuil supplémentaire de 11</w:t>
      </w:r>
      <w:r>
        <w:rPr>
          <w:lang w:val="fr-FR"/>
        </w:rPr>
        <w:t> </w:t>
      </w:r>
      <w:r w:rsidR="00743628" w:rsidRPr="00C00C51">
        <w:rPr>
          <w:lang w:val="fr-FR"/>
        </w:rPr>
        <w:t>kW a été améliorée d</w:t>
      </w:r>
      <w:r w:rsidR="00743628">
        <w:rPr>
          <w:lang w:val="fr-FR"/>
        </w:rPr>
        <w:t>’</w:t>
      </w:r>
      <w:r w:rsidR="00743628" w:rsidRPr="00C00C51">
        <w:rPr>
          <w:lang w:val="fr-FR"/>
        </w:rPr>
        <w:t>un point de vue rédactionnel et technique, afin d</w:t>
      </w:r>
      <w:r w:rsidR="00743628">
        <w:rPr>
          <w:lang w:val="fr-FR"/>
        </w:rPr>
        <w:t>’</w:t>
      </w:r>
      <w:r w:rsidR="00743628" w:rsidRPr="00C00C51">
        <w:rPr>
          <w:lang w:val="fr-FR"/>
        </w:rPr>
        <w:t>adapter les dispositions aux véhicules équipés d</w:t>
      </w:r>
      <w:r w:rsidR="00743628">
        <w:rPr>
          <w:lang w:val="fr-FR"/>
        </w:rPr>
        <w:t>’</w:t>
      </w:r>
      <w:r w:rsidR="00743628" w:rsidRPr="00C00C51">
        <w:rPr>
          <w:lang w:val="fr-FR"/>
        </w:rPr>
        <w:t>une chaîne de traction électrique, en prenant comme référence les paramètres et la terminologie utilisés dans les textes réglementaires internationaux et régionaux pertinents.</w:t>
      </w:r>
    </w:p>
    <w:p w14:paraId="187935EB" w14:textId="4AACA989" w:rsidR="00743628" w:rsidRPr="00C00C51" w:rsidRDefault="00102377" w:rsidP="00743628">
      <w:pPr>
        <w:pStyle w:val="SingleTxtG"/>
        <w:rPr>
          <w:color w:val="000000" w:themeColor="text1"/>
          <w:lang w:val="fr-FR"/>
        </w:rPr>
      </w:pPr>
      <w:r>
        <w:rPr>
          <w:lang w:val="fr-FR"/>
        </w:rPr>
        <w:t>3.</w:t>
      </w:r>
      <w:r>
        <w:rPr>
          <w:lang w:val="fr-FR"/>
        </w:rPr>
        <w:tab/>
      </w:r>
      <w:r w:rsidR="00743628" w:rsidRPr="00C00C51">
        <w:rPr>
          <w:lang w:val="fr-FR"/>
        </w:rPr>
        <w:t>Le seuil actuel permettant de différencier les motocycles à performances réduites des motocycles à performances élevées est fondé sur la cylindrée, ce qui suppose implicitement que le système de propulsion du véhicule est un moteur à combustion interne. Compte tenu des progrès technologiques réalisés dans le domaine de l</w:t>
      </w:r>
      <w:r w:rsidR="00743628">
        <w:rPr>
          <w:lang w:val="fr-FR"/>
        </w:rPr>
        <w:t>’</w:t>
      </w:r>
      <w:r w:rsidR="00743628" w:rsidRPr="00C00C51">
        <w:rPr>
          <w:lang w:val="fr-FR"/>
        </w:rPr>
        <w:t>électrification, il est nécessaire d</w:t>
      </w:r>
      <w:r w:rsidR="00743628">
        <w:rPr>
          <w:lang w:val="fr-FR"/>
        </w:rPr>
        <w:t>’</w:t>
      </w:r>
      <w:r w:rsidR="00743628" w:rsidRPr="00C00C51">
        <w:rPr>
          <w:lang w:val="fr-FR"/>
        </w:rPr>
        <w:t>adapter cette disposition de manière à en assurer la compatibilité avec les systèmes à propulsion électrique.</w:t>
      </w:r>
    </w:p>
    <w:p w14:paraId="7D164A44" w14:textId="6AE2F77A" w:rsidR="00743628" w:rsidRPr="00C00C51" w:rsidRDefault="00102377" w:rsidP="00743628">
      <w:pPr>
        <w:pStyle w:val="SingleTxtG"/>
        <w:rPr>
          <w:color w:val="000000" w:themeColor="text1"/>
          <w:lang w:val="fr-FR"/>
        </w:rPr>
      </w:pPr>
      <w:r>
        <w:rPr>
          <w:lang w:val="fr-FR"/>
        </w:rPr>
        <w:t>4.</w:t>
      </w:r>
      <w:r>
        <w:rPr>
          <w:lang w:val="fr-FR"/>
        </w:rPr>
        <w:tab/>
      </w:r>
      <w:r w:rsidR="00743628" w:rsidRPr="00C00C51">
        <w:rPr>
          <w:lang w:val="fr-FR"/>
        </w:rPr>
        <w:t>À cette fin, la Résolution d</w:t>
      </w:r>
      <w:r w:rsidR="00743628">
        <w:rPr>
          <w:lang w:val="fr-FR"/>
        </w:rPr>
        <w:t>’</w:t>
      </w:r>
      <w:r w:rsidR="00743628" w:rsidRPr="00C00C51">
        <w:rPr>
          <w:lang w:val="fr-FR"/>
        </w:rPr>
        <w:t>ensemble sur la construction des véhicules (R.E.3) peut servir de référence. À la place de la cylindrée, la R.E.3 fait référence à la « puissance maximale nette » pour les moteurs à combustion interne et à la « puissance nominale maximale continue » pour les systèmes à propulsion électrique</w:t>
      </w:r>
      <w:r>
        <w:rPr>
          <w:lang w:val="fr-FR"/>
        </w:rPr>
        <w:t> </w:t>
      </w:r>
      <w:r w:rsidR="00743628" w:rsidRPr="00C00C51">
        <w:rPr>
          <w:lang w:val="fr-FR"/>
        </w:rPr>
        <w:t>:</w:t>
      </w:r>
    </w:p>
    <w:p w14:paraId="5B2C00FF" w14:textId="627E1EF4" w:rsidR="00743628" w:rsidRDefault="00743628" w:rsidP="00102377">
      <w:pPr>
        <w:pStyle w:val="SingleTxtG"/>
        <w:ind w:left="2268" w:hanging="1134"/>
        <w:rPr>
          <w:rFonts w:eastAsia="Times New Roman"/>
          <w:i/>
          <w:color w:val="000000" w:themeColor="text1"/>
          <w:lang w:val="fr-FR"/>
        </w:rPr>
      </w:pPr>
      <w:r w:rsidRPr="00C00C51">
        <w:rPr>
          <w:i/>
          <w:iCs/>
          <w:lang w:val="fr-FR"/>
        </w:rPr>
        <w:t>« 2.1.6</w:t>
      </w:r>
      <w:r w:rsidRPr="00C00C51">
        <w:rPr>
          <w:lang w:val="fr-FR"/>
        </w:rPr>
        <w:tab/>
      </w:r>
      <w:r w:rsidR="00784FF2">
        <w:rPr>
          <w:i/>
          <w:iCs/>
          <w:lang w:val="fr-FR"/>
        </w:rPr>
        <w:t>“</w:t>
      </w:r>
      <w:r w:rsidRPr="00C00C51">
        <w:rPr>
          <w:i/>
          <w:iCs/>
          <w:lang w:val="fr-FR"/>
        </w:rPr>
        <w:t>Catégorie L</w:t>
      </w:r>
      <w:r w:rsidRPr="00C00C51">
        <w:rPr>
          <w:i/>
          <w:iCs/>
          <w:vertAlign w:val="subscript"/>
          <w:lang w:val="fr-FR"/>
        </w:rPr>
        <w:t>6</w:t>
      </w:r>
      <w:r w:rsidR="00102377">
        <w:rPr>
          <w:i/>
          <w:iCs/>
          <w:lang w:val="fr-FR"/>
        </w:rPr>
        <w:t>ˮ </w:t>
      </w:r>
      <w:r w:rsidRPr="00C00C51">
        <w:rPr>
          <w:i/>
          <w:iCs/>
          <w:lang w:val="fr-FR"/>
        </w:rPr>
        <w:t>: Véhicules (...), dont la cylindrée du moteur ne dépasse pas 50</w:t>
      </w:r>
      <w:r w:rsidR="00784FF2">
        <w:rPr>
          <w:i/>
          <w:iCs/>
          <w:lang w:val="fr-FR"/>
        </w:rPr>
        <w:t> </w:t>
      </w:r>
      <w:r w:rsidRPr="00C00C51">
        <w:rPr>
          <w:i/>
          <w:iCs/>
          <w:lang w:val="fr-FR"/>
        </w:rPr>
        <w:t>cm</w:t>
      </w:r>
      <w:r w:rsidRPr="00784FF2">
        <w:rPr>
          <w:i/>
          <w:iCs/>
          <w:vertAlign w:val="superscript"/>
          <w:lang w:val="fr-FR"/>
        </w:rPr>
        <w:t>3</w:t>
      </w:r>
      <w:r w:rsidRPr="00C00C51">
        <w:rPr>
          <w:i/>
          <w:iCs/>
          <w:lang w:val="fr-FR"/>
        </w:rPr>
        <w:t xml:space="preserve"> pour les moteurs à allumage commandé, ou dont la </w:t>
      </w:r>
      <w:r w:rsidRPr="00C00C51">
        <w:rPr>
          <w:i/>
          <w:iCs/>
          <w:u w:val="single"/>
          <w:lang w:val="fr-FR"/>
        </w:rPr>
        <w:t>puissance maximale nette</w:t>
      </w:r>
      <w:r w:rsidRPr="00C00C51">
        <w:rPr>
          <w:i/>
          <w:iCs/>
          <w:lang w:val="fr-FR"/>
        </w:rPr>
        <w:t xml:space="preserve"> n</w:t>
      </w:r>
      <w:r>
        <w:rPr>
          <w:i/>
          <w:iCs/>
          <w:lang w:val="fr-FR"/>
        </w:rPr>
        <w:t>’</w:t>
      </w:r>
      <w:r w:rsidRPr="00C00C51">
        <w:rPr>
          <w:i/>
          <w:iCs/>
          <w:lang w:val="fr-FR"/>
        </w:rPr>
        <w:t>excède pas 4</w:t>
      </w:r>
      <w:r w:rsidR="00784FF2">
        <w:rPr>
          <w:i/>
          <w:iCs/>
          <w:lang w:val="fr-FR"/>
        </w:rPr>
        <w:t> </w:t>
      </w:r>
      <w:r w:rsidRPr="00C00C51">
        <w:rPr>
          <w:i/>
          <w:iCs/>
          <w:lang w:val="fr-FR"/>
        </w:rPr>
        <w:t xml:space="preserve">kW pour les autres types de </w:t>
      </w:r>
      <w:r w:rsidRPr="00C00C51">
        <w:rPr>
          <w:i/>
          <w:iCs/>
          <w:u w:val="single"/>
          <w:lang w:val="fr-FR"/>
        </w:rPr>
        <w:t xml:space="preserve">moteurs à </w:t>
      </w:r>
      <w:r w:rsidRPr="00C00C51">
        <w:rPr>
          <w:i/>
          <w:iCs/>
          <w:u w:val="single"/>
          <w:lang w:val="fr-FR"/>
        </w:rPr>
        <w:lastRenderedPageBreak/>
        <w:t>combustion interne</w:t>
      </w:r>
      <w:r w:rsidRPr="00C00C51">
        <w:rPr>
          <w:i/>
          <w:iCs/>
          <w:lang w:val="fr-FR"/>
        </w:rPr>
        <w:t xml:space="preserve">, ou dont la </w:t>
      </w:r>
      <w:r w:rsidRPr="00C00C51">
        <w:rPr>
          <w:i/>
          <w:iCs/>
          <w:u w:val="single"/>
          <w:lang w:val="fr-FR"/>
        </w:rPr>
        <w:t>puissance nominale maximale continue</w:t>
      </w:r>
      <w:r w:rsidRPr="00C00C51">
        <w:rPr>
          <w:i/>
          <w:iCs/>
          <w:lang w:val="fr-FR"/>
        </w:rPr>
        <w:t xml:space="preserve"> n</w:t>
      </w:r>
      <w:r>
        <w:rPr>
          <w:i/>
          <w:iCs/>
          <w:lang w:val="fr-FR"/>
        </w:rPr>
        <w:t>’</w:t>
      </w:r>
      <w:r w:rsidRPr="00C00C51">
        <w:rPr>
          <w:i/>
          <w:iCs/>
          <w:lang w:val="fr-FR"/>
        </w:rPr>
        <w:t>excède pas 4</w:t>
      </w:r>
      <w:r w:rsidR="00784FF2">
        <w:rPr>
          <w:i/>
          <w:iCs/>
          <w:lang w:val="fr-FR"/>
        </w:rPr>
        <w:t> </w:t>
      </w:r>
      <w:r w:rsidRPr="00C00C51">
        <w:rPr>
          <w:i/>
          <w:iCs/>
          <w:lang w:val="fr-FR"/>
        </w:rPr>
        <w:t xml:space="preserve">kW pour les </w:t>
      </w:r>
      <w:r w:rsidRPr="00C00C51">
        <w:rPr>
          <w:i/>
          <w:iCs/>
          <w:u w:val="single"/>
          <w:lang w:val="fr-FR"/>
        </w:rPr>
        <w:t>moteurs électriques</w:t>
      </w:r>
      <w:r w:rsidRPr="00C00C51">
        <w:rPr>
          <w:i/>
          <w:iCs/>
          <w:lang w:val="fr-FR"/>
        </w:rPr>
        <w:t>. ».</w:t>
      </w:r>
    </w:p>
    <w:p w14:paraId="422F1EDD" w14:textId="643A1457" w:rsidR="00743628" w:rsidRPr="00C00C51" w:rsidRDefault="00784FF2" w:rsidP="00743628">
      <w:pPr>
        <w:pStyle w:val="SingleTxtG"/>
        <w:rPr>
          <w:color w:val="000000" w:themeColor="text1"/>
          <w:lang w:val="fr-FR"/>
        </w:rPr>
      </w:pPr>
      <w:r>
        <w:rPr>
          <w:lang w:val="fr-FR"/>
        </w:rPr>
        <w:t>5.</w:t>
      </w:r>
      <w:r>
        <w:rPr>
          <w:lang w:val="fr-FR"/>
        </w:rPr>
        <w:tab/>
      </w:r>
      <w:r w:rsidR="00743628" w:rsidRPr="00C00C51">
        <w:rPr>
          <w:lang w:val="fr-FR"/>
        </w:rPr>
        <w:t>Une pratique largement répandue consiste à distinguer les motocycles à performances réduites de ceux à performances élevées en complétant le seuil de 125</w:t>
      </w:r>
      <w:r w:rsidR="001D278C">
        <w:rPr>
          <w:lang w:val="fr-FR"/>
        </w:rPr>
        <w:t> </w:t>
      </w:r>
      <w:r w:rsidR="00743628" w:rsidRPr="00C00C51">
        <w:rPr>
          <w:lang w:val="fr-FR"/>
        </w:rPr>
        <w:t>cm</w:t>
      </w:r>
      <w:r w:rsidR="00743628" w:rsidRPr="00C00C51">
        <w:rPr>
          <w:vertAlign w:val="superscript"/>
          <w:lang w:val="fr-FR"/>
        </w:rPr>
        <w:t>3</w:t>
      </w:r>
      <w:r w:rsidR="00743628" w:rsidRPr="00C00C51">
        <w:rPr>
          <w:lang w:val="fr-FR"/>
        </w:rPr>
        <w:t xml:space="preserve"> par une limite supplémentaire de puissance maximale de 11</w:t>
      </w:r>
      <w:r w:rsidR="001D278C">
        <w:rPr>
          <w:lang w:val="fr-FR"/>
        </w:rPr>
        <w:t> </w:t>
      </w:r>
      <w:r w:rsidR="00743628" w:rsidRPr="00C00C51">
        <w:rPr>
          <w:lang w:val="fr-FR"/>
        </w:rPr>
        <w:t>kW. Un exemple figure à l</w:t>
      </w:r>
      <w:r w:rsidR="00743628">
        <w:rPr>
          <w:lang w:val="fr-FR"/>
        </w:rPr>
        <w:t>’</w:t>
      </w:r>
      <w:r w:rsidR="00743628" w:rsidRPr="00C00C51">
        <w:rPr>
          <w:lang w:val="fr-FR"/>
        </w:rPr>
        <w:t>annexe</w:t>
      </w:r>
      <w:r w:rsidR="001D278C">
        <w:rPr>
          <w:lang w:val="fr-FR"/>
        </w:rPr>
        <w:t> </w:t>
      </w:r>
      <w:r w:rsidR="00743628" w:rsidRPr="00C00C51">
        <w:rPr>
          <w:lang w:val="fr-FR"/>
        </w:rPr>
        <w:t>6 de la Convention de Vienne sur la circulation routière de 1968, concernant les permis de conduire :</w:t>
      </w:r>
    </w:p>
    <w:p w14:paraId="24BFD12A" w14:textId="1794A212" w:rsidR="00743628" w:rsidRPr="00C00C51" w:rsidRDefault="00743628" w:rsidP="001D278C">
      <w:pPr>
        <w:pStyle w:val="SingleTxtG"/>
        <w:ind w:left="2268" w:hanging="1134"/>
        <w:rPr>
          <w:rFonts w:eastAsia="Times New Roman"/>
          <w:i/>
          <w:color w:val="000000" w:themeColor="text1"/>
          <w:lang w:val="fr-FR"/>
        </w:rPr>
      </w:pPr>
      <w:r w:rsidRPr="00C00C51">
        <w:rPr>
          <w:i/>
          <w:iCs/>
          <w:lang w:val="fr-FR"/>
        </w:rPr>
        <w:t>« 9.</w:t>
      </w:r>
      <w:r w:rsidRPr="00C00C51">
        <w:rPr>
          <w:lang w:val="fr-FR"/>
        </w:rPr>
        <w:tab/>
      </w:r>
      <w:r w:rsidRPr="00C00C51">
        <w:rPr>
          <w:i/>
          <w:iCs/>
          <w:lang w:val="fr-FR"/>
        </w:rPr>
        <w:t>Au sein des catégories</w:t>
      </w:r>
      <w:r w:rsidR="001D278C">
        <w:rPr>
          <w:i/>
          <w:iCs/>
          <w:lang w:val="fr-FR"/>
        </w:rPr>
        <w:t> </w:t>
      </w:r>
      <w:r w:rsidRPr="00C00C51">
        <w:rPr>
          <w:i/>
          <w:iCs/>
          <w:lang w:val="fr-FR"/>
        </w:rPr>
        <w:t>A, B, C, CE, D et DE, la législation nationale peut établir les sous-catégories de véhicules suivantes pour lesquelles le permis de conduire peut être délivré</w:t>
      </w:r>
      <w:r w:rsidR="001D278C">
        <w:rPr>
          <w:i/>
          <w:iCs/>
          <w:lang w:val="fr-FR"/>
        </w:rPr>
        <w:t> </w:t>
      </w:r>
      <w:r w:rsidRPr="00C00C51">
        <w:rPr>
          <w:i/>
          <w:iCs/>
          <w:lang w:val="fr-FR"/>
        </w:rPr>
        <w:t>:</w:t>
      </w:r>
    </w:p>
    <w:p w14:paraId="6DC7F9AB" w14:textId="3C9B7C78" w:rsidR="00743628" w:rsidRDefault="00743628" w:rsidP="00D10155">
      <w:pPr>
        <w:pStyle w:val="SingleTxtG"/>
        <w:ind w:left="2268"/>
        <w:rPr>
          <w:spacing w:val="-2"/>
          <w:lang w:val="fr-FR"/>
        </w:rPr>
      </w:pPr>
      <w:r w:rsidRPr="00C00C51">
        <w:rPr>
          <w:i/>
          <w:iCs/>
          <w:lang w:val="fr-FR"/>
        </w:rPr>
        <w:t>A1</w:t>
      </w:r>
      <w:r w:rsidRPr="00C00C51">
        <w:rPr>
          <w:lang w:val="fr-FR"/>
        </w:rPr>
        <w:tab/>
      </w:r>
      <w:r w:rsidRPr="00C00C51">
        <w:rPr>
          <w:i/>
          <w:iCs/>
          <w:lang w:val="fr-FR"/>
        </w:rPr>
        <w:t>Motocycles d</w:t>
      </w:r>
      <w:r>
        <w:rPr>
          <w:i/>
          <w:iCs/>
          <w:lang w:val="fr-FR"/>
        </w:rPr>
        <w:t>’</w:t>
      </w:r>
      <w:r w:rsidRPr="00C00C51">
        <w:rPr>
          <w:i/>
          <w:iCs/>
          <w:lang w:val="fr-FR"/>
        </w:rPr>
        <w:t xml:space="preserve">une </w:t>
      </w:r>
      <w:r w:rsidRPr="00C00C51">
        <w:rPr>
          <w:i/>
          <w:iCs/>
          <w:u w:val="single"/>
          <w:lang w:val="fr-FR"/>
        </w:rPr>
        <w:t>cylindrée ne dépassant pas 125</w:t>
      </w:r>
      <w:r w:rsidR="001D278C">
        <w:rPr>
          <w:i/>
          <w:iCs/>
          <w:u w:val="single"/>
          <w:lang w:val="fr-FR"/>
        </w:rPr>
        <w:t> </w:t>
      </w:r>
      <w:r w:rsidRPr="00C00C51">
        <w:rPr>
          <w:i/>
          <w:iCs/>
          <w:u w:val="single"/>
          <w:lang w:val="fr-FR"/>
        </w:rPr>
        <w:t>cm</w:t>
      </w:r>
      <w:r w:rsidRPr="00C00C51">
        <w:rPr>
          <w:i/>
          <w:iCs/>
          <w:u w:val="single"/>
          <w:vertAlign w:val="superscript"/>
          <w:lang w:val="fr-FR"/>
        </w:rPr>
        <w:t>3</w:t>
      </w:r>
      <w:r w:rsidRPr="00C00C51">
        <w:rPr>
          <w:i/>
          <w:iCs/>
          <w:u w:val="single"/>
          <w:lang w:val="fr-FR"/>
        </w:rPr>
        <w:t xml:space="preserve"> et d</w:t>
      </w:r>
      <w:r>
        <w:rPr>
          <w:i/>
          <w:iCs/>
          <w:u w:val="single"/>
          <w:lang w:val="fr-FR"/>
        </w:rPr>
        <w:t>’</w:t>
      </w:r>
      <w:r w:rsidRPr="00C00C51">
        <w:rPr>
          <w:i/>
          <w:iCs/>
          <w:u w:val="single"/>
          <w:lang w:val="fr-FR"/>
        </w:rPr>
        <w:t>une puissance n</w:t>
      </w:r>
      <w:r>
        <w:rPr>
          <w:i/>
          <w:iCs/>
          <w:u w:val="single"/>
          <w:lang w:val="fr-FR"/>
        </w:rPr>
        <w:t>’</w:t>
      </w:r>
      <w:r w:rsidRPr="00C00C51">
        <w:rPr>
          <w:i/>
          <w:iCs/>
          <w:u w:val="single"/>
          <w:lang w:val="fr-FR"/>
        </w:rPr>
        <w:t>excédant pas 11</w:t>
      </w:r>
      <w:r w:rsidR="001D278C">
        <w:rPr>
          <w:i/>
          <w:iCs/>
          <w:u w:val="single"/>
          <w:lang w:val="fr-FR"/>
        </w:rPr>
        <w:t> </w:t>
      </w:r>
      <w:r w:rsidRPr="00C00C51">
        <w:rPr>
          <w:i/>
          <w:iCs/>
          <w:u w:val="single"/>
          <w:lang w:val="fr-FR"/>
        </w:rPr>
        <w:t>kW</w:t>
      </w:r>
      <w:r w:rsidRPr="00C00C51">
        <w:rPr>
          <w:i/>
          <w:iCs/>
          <w:lang w:val="fr-FR"/>
        </w:rPr>
        <w:t xml:space="preserve"> (motocycles légers. ».</w:t>
      </w:r>
    </w:p>
    <w:p w14:paraId="2BC204EA" w14:textId="1E4A6207" w:rsidR="00743628" w:rsidRPr="00C00C51" w:rsidRDefault="00D10155" w:rsidP="00743628">
      <w:pPr>
        <w:pStyle w:val="SingleTxtG"/>
        <w:rPr>
          <w:color w:val="000000" w:themeColor="text1"/>
          <w:lang w:val="fr-FR"/>
        </w:rPr>
      </w:pPr>
      <w:r>
        <w:rPr>
          <w:lang w:val="fr-FR"/>
        </w:rPr>
        <w:t>6.</w:t>
      </w:r>
      <w:r>
        <w:rPr>
          <w:lang w:val="fr-FR"/>
        </w:rPr>
        <w:tab/>
      </w:r>
      <w:r w:rsidR="00743628" w:rsidRPr="00C00C51">
        <w:rPr>
          <w:lang w:val="fr-FR"/>
        </w:rPr>
        <w:t>Un autre exemple pertinent est celui de l</w:t>
      </w:r>
      <w:r w:rsidR="00743628">
        <w:rPr>
          <w:lang w:val="fr-FR"/>
        </w:rPr>
        <w:t>’</w:t>
      </w:r>
      <w:r w:rsidR="00743628" w:rsidRPr="00C00C51">
        <w:rPr>
          <w:lang w:val="fr-FR"/>
        </w:rPr>
        <w:t>annexe</w:t>
      </w:r>
      <w:r>
        <w:rPr>
          <w:lang w:val="fr-FR"/>
        </w:rPr>
        <w:t> </w:t>
      </w:r>
      <w:r w:rsidR="00743628" w:rsidRPr="00C00C51">
        <w:rPr>
          <w:lang w:val="fr-FR"/>
        </w:rPr>
        <w:t xml:space="preserve">I du règlement (UE) </w:t>
      </w:r>
      <w:r>
        <w:rPr>
          <w:lang w:val="fr-FR"/>
        </w:rPr>
        <w:t>n</w:t>
      </w:r>
      <w:r w:rsidRPr="00D10155">
        <w:rPr>
          <w:vertAlign w:val="superscript"/>
          <w:lang w:val="fr-FR"/>
        </w:rPr>
        <w:t>o</w:t>
      </w:r>
      <w:r>
        <w:rPr>
          <w:lang w:val="fr-FR"/>
        </w:rPr>
        <w:t> </w:t>
      </w:r>
      <w:r w:rsidR="00743628" w:rsidRPr="00C00C51">
        <w:rPr>
          <w:lang w:val="fr-FR"/>
        </w:rPr>
        <w:t>168/2013, le règlement européen pour la réception par type de l</w:t>
      </w:r>
      <w:r w:rsidR="00743628">
        <w:rPr>
          <w:lang w:val="fr-FR"/>
        </w:rPr>
        <w:t>’</w:t>
      </w:r>
      <w:r w:rsidR="00743628" w:rsidRPr="00C00C51">
        <w:rPr>
          <w:lang w:val="fr-FR"/>
        </w:rPr>
        <w:t>ensemble du véhicule de la catégorie</w:t>
      </w:r>
      <w:r>
        <w:rPr>
          <w:lang w:val="fr-FR"/>
        </w:rPr>
        <w:t> </w:t>
      </w:r>
      <w:r w:rsidR="00743628" w:rsidRPr="00C00C51">
        <w:rPr>
          <w:lang w:val="fr-FR"/>
        </w:rPr>
        <w:t xml:space="preserve">L. </w:t>
      </w:r>
      <w:r w:rsidR="00743628">
        <w:rPr>
          <w:lang w:val="fr-FR"/>
        </w:rPr>
        <w:t>Outre le fait qu’ils lient</w:t>
      </w:r>
      <w:r w:rsidR="00743628" w:rsidRPr="00C00C51">
        <w:rPr>
          <w:lang w:val="fr-FR"/>
        </w:rPr>
        <w:t xml:space="preserve"> le seuil de 125</w:t>
      </w:r>
      <w:r>
        <w:rPr>
          <w:lang w:val="fr-FR"/>
        </w:rPr>
        <w:t> </w:t>
      </w:r>
      <w:r w:rsidR="00743628" w:rsidRPr="00C00C51">
        <w:rPr>
          <w:lang w:val="fr-FR"/>
        </w:rPr>
        <w:t>cm</w:t>
      </w:r>
      <w:r w:rsidR="00743628" w:rsidRPr="00D10155">
        <w:rPr>
          <w:vertAlign w:val="superscript"/>
          <w:lang w:val="fr-FR"/>
        </w:rPr>
        <w:t>3</w:t>
      </w:r>
      <w:r w:rsidR="00743628" w:rsidRPr="00C00C51">
        <w:rPr>
          <w:lang w:val="fr-FR"/>
        </w:rPr>
        <w:t xml:space="preserve"> et celui de 11</w:t>
      </w:r>
      <w:r>
        <w:rPr>
          <w:lang w:val="fr-FR"/>
        </w:rPr>
        <w:t> </w:t>
      </w:r>
      <w:r w:rsidR="00743628" w:rsidRPr="00C00C51">
        <w:rPr>
          <w:lang w:val="fr-FR"/>
        </w:rPr>
        <w:t>kW</w:t>
      </w:r>
      <w:r w:rsidR="00743628">
        <w:rPr>
          <w:lang w:val="fr-FR"/>
        </w:rPr>
        <w:t>, les</w:t>
      </w:r>
      <w:r w:rsidR="00743628" w:rsidRPr="00C00C51">
        <w:rPr>
          <w:lang w:val="fr-FR"/>
        </w:rPr>
        <w:t xml:space="preserve"> critères de classement de l</w:t>
      </w:r>
      <w:r w:rsidR="00743628">
        <w:rPr>
          <w:lang w:val="fr-FR"/>
        </w:rPr>
        <w:t>’</w:t>
      </w:r>
      <w:r w:rsidR="00743628" w:rsidRPr="00C00C51">
        <w:rPr>
          <w:lang w:val="fr-FR"/>
        </w:rPr>
        <w:t>UE pour les « motocycles à performances réduites » ont surtout abouti à l</w:t>
      </w:r>
      <w:r w:rsidR="00743628">
        <w:rPr>
          <w:lang w:val="fr-FR"/>
        </w:rPr>
        <w:t>’</w:t>
      </w:r>
      <w:r w:rsidR="00743628" w:rsidRPr="00C00C51">
        <w:rPr>
          <w:lang w:val="fr-FR"/>
        </w:rPr>
        <w:t>application, pendant des années, de 11</w:t>
      </w:r>
      <w:r>
        <w:rPr>
          <w:lang w:val="fr-FR"/>
        </w:rPr>
        <w:t> </w:t>
      </w:r>
      <w:r w:rsidR="00743628" w:rsidRPr="00C00C51">
        <w:rPr>
          <w:lang w:val="fr-FR"/>
        </w:rPr>
        <w:t>kW comme seuil de fait pour l</w:t>
      </w:r>
      <w:r w:rsidR="00743628">
        <w:rPr>
          <w:lang w:val="fr-FR"/>
        </w:rPr>
        <w:t>’</w:t>
      </w:r>
      <w:r w:rsidR="00743628" w:rsidRPr="00C00C51">
        <w:rPr>
          <w:lang w:val="fr-FR"/>
        </w:rPr>
        <w:t xml:space="preserve">homologation des motocycles électriques au titre du Règlement ONU </w:t>
      </w:r>
      <w:r>
        <w:rPr>
          <w:lang w:val="fr-FR"/>
        </w:rPr>
        <w:t>n</w:t>
      </w:r>
      <w:r w:rsidRPr="00D10155">
        <w:rPr>
          <w:vertAlign w:val="superscript"/>
          <w:lang w:val="fr-FR"/>
        </w:rPr>
        <w:t>o</w:t>
      </w:r>
      <w:r>
        <w:rPr>
          <w:lang w:val="fr-FR"/>
        </w:rPr>
        <w:t> </w:t>
      </w:r>
      <w:r w:rsidR="00743628" w:rsidRPr="00C00C51">
        <w:rPr>
          <w:lang w:val="fr-FR"/>
        </w:rPr>
        <w:t>53</w:t>
      </w:r>
      <w:r>
        <w:rPr>
          <w:lang w:val="fr-FR"/>
        </w:rPr>
        <w:t> </w:t>
      </w:r>
      <w:r w:rsidR="00743628" w:rsidRPr="00C00C51">
        <w:rPr>
          <w:lang w:val="fr-FR"/>
        </w:rPr>
        <w:t>:</w:t>
      </w:r>
    </w:p>
    <w:tbl>
      <w:tblPr>
        <w:tblW w:w="7370" w:type="dxa"/>
        <w:tblInd w:w="1134"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2"/>
        <w:gridCol w:w="1960"/>
        <w:gridCol w:w="4108"/>
      </w:tblGrid>
      <w:tr w:rsidR="00D10155" w:rsidRPr="00D10155" w14:paraId="60A3DEA6" w14:textId="77777777" w:rsidTr="00D10155">
        <w:trPr>
          <w:tblHeader/>
        </w:trPr>
        <w:tc>
          <w:tcPr>
            <w:tcW w:w="1302" w:type="dxa"/>
            <w:shd w:val="clear" w:color="auto" w:fill="auto"/>
            <w:vAlign w:val="bottom"/>
          </w:tcPr>
          <w:p w14:paraId="4D435F25" w14:textId="77777777" w:rsidR="00743628" w:rsidRPr="00D10155" w:rsidRDefault="00743628" w:rsidP="00D10155">
            <w:pPr>
              <w:spacing w:before="80" w:after="80" w:line="200" w:lineRule="exact"/>
              <w:ind w:left="57" w:right="57"/>
              <w:rPr>
                <w:b/>
                <w:bCs/>
                <w:i/>
                <w:sz w:val="16"/>
                <w:szCs w:val="22"/>
                <w:lang w:val="fr-FR"/>
              </w:rPr>
            </w:pPr>
            <w:r w:rsidRPr="00D10155">
              <w:rPr>
                <w:b/>
                <w:bCs/>
                <w:i/>
                <w:sz w:val="16"/>
                <w:lang w:val="fr-FR"/>
              </w:rPr>
              <w:t>Sous-catégories</w:t>
            </w:r>
          </w:p>
        </w:tc>
        <w:tc>
          <w:tcPr>
            <w:tcW w:w="1960" w:type="dxa"/>
            <w:shd w:val="clear" w:color="auto" w:fill="auto"/>
            <w:vAlign w:val="bottom"/>
          </w:tcPr>
          <w:p w14:paraId="2CA5FBFD" w14:textId="77777777" w:rsidR="00743628" w:rsidRPr="00D10155" w:rsidRDefault="00743628" w:rsidP="00D10155">
            <w:pPr>
              <w:spacing w:before="80" w:after="80" w:line="200" w:lineRule="exact"/>
              <w:ind w:left="57" w:right="57"/>
              <w:rPr>
                <w:b/>
                <w:bCs/>
                <w:i/>
                <w:sz w:val="16"/>
                <w:szCs w:val="22"/>
                <w:lang w:val="fr-FR"/>
              </w:rPr>
            </w:pPr>
            <w:r w:rsidRPr="00D10155">
              <w:rPr>
                <w:b/>
                <w:bCs/>
                <w:i/>
                <w:sz w:val="16"/>
                <w:lang w:val="fr-FR"/>
              </w:rPr>
              <w:t>Nom des sous-catégories</w:t>
            </w:r>
          </w:p>
        </w:tc>
        <w:tc>
          <w:tcPr>
            <w:tcW w:w="4108" w:type="dxa"/>
            <w:shd w:val="clear" w:color="auto" w:fill="auto"/>
            <w:vAlign w:val="bottom"/>
          </w:tcPr>
          <w:p w14:paraId="76C0E1D0" w14:textId="77777777" w:rsidR="00743628" w:rsidRPr="00D10155" w:rsidRDefault="00743628" w:rsidP="00D10155">
            <w:pPr>
              <w:spacing w:before="80" w:after="80" w:line="200" w:lineRule="exact"/>
              <w:ind w:left="57" w:right="57"/>
              <w:rPr>
                <w:b/>
                <w:bCs/>
                <w:i/>
                <w:sz w:val="16"/>
                <w:szCs w:val="22"/>
                <w:lang w:val="fr-FR"/>
              </w:rPr>
            </w:pPr>
            <w:r w:rsidRPr="00D10155">
              <w:rPr>
                <w:b/>
                <w:bCs/>
                <w:i/>
                <w:sz w:val="16"/>
                <w:lang w:val="fr-FR"/>
              </w:rPr>
              <w:t>Critères supplémentaires de classement en sous-catégories</w:t>
            </w:r>
          </w:p>
        </w:tc>
      </w:tr>
      <w:tr w:rsidR="00D10155" w:rsidRPr="00D10155" w14:paraId="7ED6AE88" w14:textId="77777777" w:rsidTr="00D10155">
        <w:tc>
          <w:tcPr>
            <w:tcW w:w="1302" w:type="dxa"/>
            <w:shd w:val="clear" w:color="auto" w:fill="auto"/>
          </w:tcPr>
          <w:p w14:paraId="09A16A56" w14:textId="77777777" w:rsidR="00743628" w:rsidRPr="00D10155" w:rsidRDefault="00743628" w:rsidP="00D10155">
            <w:pPr>
              <w:spacing w:before="40" w:after="120"/>
              <w:ind w:left="57" w:right="57"/>
              <w:rPr>
                <w:b/>
                <w:bCs/>
                <w:i/>
                <w:iCs/>
                <w:sz w:val="18"/>
                <w:szCs w:val="18"/>
                <w:lang w:val="fr-FR"/>
              </w:rPr>
            </w:pPr>
            <w:r w:rsidRPr="00D10155">
              <w:rPr>
                <w:b/>
                <w:bCs/>
                <w:i/>
                <w:iCs/>
                <w:sz w:val="18"/>
                <w:szCs w:val="18"/>
                <w:lang w:val="fr-FR"/>
              </w:rPr>
              <w:t>L3e-A1</w:t>
            </w:r>
          </w:p>
        </w:tc>
        <w:tc>
          <w:tcPr>
            <w:tcW w:w="1960" w:type="dxa"/>
            <w:shd w:val="clear" w:color="auto" w:fill="auto"/>
          </w:tcPr>
          <w:p w14:paraId="10792B87" w14:textId="77777777" w:rsidR="00743628" w:rsidRPr="00D10155" w:rsidRDefault="00743628" w:rsidP="00D10155">
            <w:pPr>
              <w:spacing w:before="40" w:after="120"/>
              <w:ind w:left="57" w:right="57"/>
              <w:rPr>
                <w:i/>
                <w:iCs/>
                <w:sz w:val="18"/>
                <w:szCs w:val="18"/>
                <w:lang w:val="fr-FR"/>
              </w:rPr>
            </w:pPr>
            <w:r w:rsidRPr="00D10155">
              <w:rPr>
                <w:i/>
                <w:iCs/>
                <w:sz w:val="18"/>
                <w:szCs w:val="18"/>
                <w:lang w:val="fr-FR"/>
              </w:rPr>
              <w:t>Motocycle à performances réduites</w:t>
            </w:r>
          </w:p>
        </w:tc>
        <w:tc>
          <w:tcPr>
            <w:tcW w:w="4108" w:type="dxa"/>
            <w:shd w:val="clear" w:color="auto" w:fill="auto"/>
          </w:tcPr>
          <w:p w14:paraId="13879C0F" w14:textId="62FB7B3F" w:rsidR="00743628" w:rsidRPr="00D10155" w:rsidRDefault="00743628" w:rsidP="00726EEF">
            <w:pPr>
              <w:spacing w:before="40" w:after="40"/>
              <w:ind w:left="57" w:right="57"/>
              <w:rPr>
                <w:rFonts w:eastAsia="Times New Roman"/>
                <w:i/>
                <w:iCs/>
                <w:sz w:val="18"/>
                <w:szCs w:val="18"/>
                <w:lang w:val="fr-FR"/>
              </w:rPr>
            </w:pPr>
            <w:r w:rsidRPr="00D10155">
              <w:rPr>
                <w:i/>
                <w:iCs/>
                <w:sz w:val="18"/>
                <w:szCs w:val="18"/>
                <w:lang w:val="fr-FR"/>
              </w:rPr>
              <w:t>7.</w:t>
            </w:r>
            <w:r w:rsidR="00D10155">
              <w:rPr>
                <w:i/>
                <w:iCs/>
                <w:sz w:val="18"/>
                <w:szCs w:val="18"/>
                <w:lang w:val="fr-FR"/>
              </w:rPr>
              <w:tab/>
            </w:r>
            <w:r w:rsidRPr="00D10155">
              <w:rPr>
                <w:i/>
                <w:iCs/>
                <w:sz w:val="18"/>
                <w:szCs w:val="18"/>
                <w:lang w:val="fr-FR"/>
              </w:rPr>
              <w:t>cylindrée ≤ 125</w:t>
            </w:r>
            <w:r w:rsidR="00D10155">
              <w:rPr>
                <w:i/>
                <w:iCs/>
                <w:sz w:val="18"/>
                <w:szCs w:val="18"/>
                <w:lang w:val="fr-FR"/>
              </w:rPr>
              <w:t> </w:t>
            </w:r>
            <w:r w:rsidRPr="00D10155">
              <w:rPr>
                <w:i/>
                <w:iCs/>
                <w:sz w:val="18"/>
                <w:szCs w:val="18"/>
                <w:lang w:val="fr-FR"/>
              </w:rPr>
              <w:t>cm</w:t>
            </w:r>
            <w:r w:rsidRPr="00D10155">
              <w:rPr>
                <w:i/>
                <w:iCs/>
                <w:sz w:val="18"/>
                <w:szCs w:val="18"/>
                <w:vertAlign w:val="superscript"/>
                <w:lang w:val="fr-FR"/>
              </w:rPr>
              <w:t>3</w:t>
            </w:r>
            <w:r w:rsidRPr="00D10155">
              <w:rPr>
                <w:i/>
                <w:iCs/>
                <w:sz w:val="18"/>
                <w:szCs w:val="18"/>
                <w:lang w:val="fr-FR"/>
              </w:rPr>
              <w:t xml:space="preserve">, et </w:t>
            </w:r>
          </w:p>
          <w:p w14:paraId="547A9FE6" w14:textId="6FB3AC8E" w:rsidR="00743628" w:rsidRPr="00D10155" w:rsidRDefault="00743628" w:rsidP="00726EEF">
            <w:pPr>
              <w:spacing w:before="40" w:after="40"/>
              <w:ind w:left="567" w:right="57" w:hanging="510"/>
              <w:rPr>
                <w:rFonts w:eastAsia="Times New Roman"/>
                <w:i/>
                <w:iCs/>
                <w:sz w:val="18"/>
                <w:szCs w:val="18"/>
                <w:lang w:val="fr-FR"/>
              </w:rPr>
            </w:pPr>
            <w:r w:rsidRPr="00D10155">
              <w:rPr>
                <w:i/>
                <w:iCs/>
                <w:sz w:val="18"/>
                <w:szCs w:val="18"/>
                <w:lang w:val="fr-FR"/>
              </w:rPr>
              <w:t>8.</w:t>
            </w:r>
            <w:r w:rsidR="00D10155">
              <w:rPr>
                <w:i/>
                <w:iCs/>
                <w:sz w:val="18"/>
                <w:szCs w:val="18"/>
                <w:lang w:val="fr-FR"/>
              </w:rPr>
              <w:tab/>
            </w:r>
            <w:r w:rsidRPr="00D10155">
              <w:rPr>
                <w:i/>
                <w:iCs/>
                <w:sz w:val="18"/>
                <w:szCs w:val="18"/>
                <w:u w:val="single"/>
                <w:lang w:val="fr-FR"/>
              </w:rPr>
              <w:t>puissance nominale</w:t>
            </w:r>
            <w:r w:rsidRPr="00D10155">
              <w:rPr>
                <w:i/>
                <w:iCs/>
                <w:sz w:val="18"/>
                <w:szCs w:val="18"/>
                <w:lang w:val="fr-FR"/>
              </w:rPr>
              <w:t xml:space="preserve"> ou </w:t>
            </w:r>
            <w:r w:rsidRPr="00D10155">
              <w:rPr>
                <w:i/>
                <w:iCs/>
                <w:sz w:val="18"/>
                <w:szCs w:val="18"/>
                <w:u w:val="single"/>
                <w:lang w:val="fr-FR"/>
              </w:rPr>
              <w:t>nette continue maximale</w:t>
            </w:r>
            <w:r w:rsidRPr="00D10155">
              <w:rPr>
                <w:i/>
                <w:iCs/>
                <w:sz w:val="18"/>
                <w:szCs w:val="18"/>
                <w:vertAlign w:val="superscript"/>
                <w:lang w:val="fr-FR"/>
              </w:rPr>
              <w:t>(1)</w:t>
            </w:r>
            <w:r w:rsidRPr="00D10155">
              <w:rPr>
                <w:i/>
                <w:iCs/>
                <w:sz w:val="18"/>
                <w:szCs w:val="18"/>
                <w:lang w:val="fr-FR"/>
              </w:rPr>
              <w:t xml:space="preserve"> ≤ 11</w:t>
            </w:r>
            <w:r w:rsidR="00D10155">
              <w:rPr>
                <w:i/>
                <w:iCs/>
                <w:sz w:val="18"/>
                <w:szCs w:val="18"/>
                <w:lang w:val="fr-FR"/>
              </w:rPr>
              <w:t> </w:t>
            </w:r>
            <w:r w:rsidRPr="00D10155">
              <w:rPr>
                <w:i/>
                <w:iCs/>
                <w:sz w:val="18"/>
                <w:szCs w:val="18"/>
                <w:lang w:val="fr-FR"/>
              </w:rPr>
              <w:t xml:space="preserve">kW, et </w:t>
            </w:r>
          </w:p>
          <w:p w14:paraId="7F551A16" w14:textId="39314297" w:rsidR="00743628" w:rsidRPr="00D10155" w:rsidRDefault="00743628" w:rsidP="00726EEF">
            <w:pPr>
              <w:spacing w:before="40" w:after="40"/>
              <w:ind w:left="57" w:right="57"/>
              <w:rPr>
                <w:rFonts w:eastAsia="Times New Roman"/>
                <w:i/>
                <w:iCs/>
                <w:sz w:val="18"/>
                <w:szCs w:val="18"/>
                <w:lang w:val="fr-FR"/>
              </w:rPr>
            </w:pPr>
            <w:r w:rsidRPr="00D10155">
              <w:rPr>
                <w:i/>
                <w:iCs/>
                <w:sz w:val="18"/>
                <w:szCs w:val="18"/>
                <w:lang w:val="fr-FR"/>
              </w:rPr>
              <w:t>9.</w:t>
            </w:r>
            <w:r w:rsidR="00D10155">
              <w:rPr>
                <w:i/>
                <w:iCs/>
                <w:sz w:val="18"/>
                <w:szCs w:val="18"/>
                <w:lang w:val="fr-FR"/>
              </w:rPr>
              <w:tab/>
            </w:r>
            <w:r w:rsidRPr="00D10155">
              <w:rPr>
                <w:i/>
                <w:iCs/>
                <w:sz w:val="18"/>
                <w:szCs w:val="18"/>
                <w:lang w:val="fr-FR"/>
              </w:rPr>
              <w:t xml:space="preserve">rapport </w:t>
            </w:r>
            <w:r w:rsidRPr="00D10155">
              <w:rPr>
                <w:i/>
                <w:iCs/>
                <w:sz w:val="18"/>
                <w:szCs w:val="18"/>
                <w:u w:val="single"/>
                <w:lang w:val="fr-FR"/>
              </w:rPr>
              <w:t>puissance</w:t>
            </w:r>
            <w:r w:rsidRPr="00D10155">
              <w:rPr>
                <w:i/>
                <w:iCs/>
                <w:sz w:val="18"/>
                <w:szCs w:val="18"/>
                <w:vertAlign w:val="superscript"/>
                <w:lang w:val="fr-FR"/>
              </w:rPr>
              <w:t>(1)</w:t>
            </w:r>
            <w:r w:rsidRPr="00D10155">
              <w:rPr>
                <w:i/>
                <w:iCs/>
                <w:sz w:val="18"/>
                <w:szCs w:val="18"/>
                <w:lang w:val="fr-FR"/>
              </w:rPr>
              <w:t>/poids ≤ 0,1</w:t>
            </w:r>
            <w:r w:rsidR="00D10155">
              <w:rPr>
                <w:i/>
                <w:iCs/>
                <w:sz w:val="18"/>
                <w:szCs w:val="18"/>
                <w:lang w:val="fr-FR"/>
              </w:rPr>
              <w:t> </w:t>
            </w:r>
            <w:r w:rsidRPr="00D10155">
              <w:rPr>
                <w:i/>
                <w:iCs/>
                <w:sz w:val="18"/>
                <w:szCs w:val="18"/>
                <w:lang w:val="fr-FR"/>
              </w:rPr>
              <w:t>kW/kg.</w:t>
            </w:r>
          </w:p>
        </w:tc>
      </w:tr>
    </w:tbl>
    <w:p w14:paraId="0CF29105" w14:textId="65E8FD0F" w:rsidR="00743628" w:rsidRPr="00D10155" w:rsidRDefault="00D10155" w:rsidP="0053362B">
      <w:pPr>
        <w:pStyle w:val="SingleTxtG"/>
        <w:spacing w:before="120"/>
        <w:ind w:firstLine="170"/>
        <w:rPr>
          <w:i/>
          <w:color w:val="000000" w:themeColor="text1"/>
          <w:spacing w:val="-2"/>
          <w:sz w:val="18"/>
          <w:szCs w:val="18"/>
          <w:lang w:val="fr-FR"/>
        </w:rPr>
      </w:pPr>
      <w:r w:rsidRPr="00D10155">
        <w:rPr>
          <w:i/>
          <w:iCs/>
          <w:sz w:val="18"/>
          <w:szCs w:val="18"/>
          <w:vertAlign w:val="superscript"/>
        </w:rPr>
        <w:t>1)</w:t>
      </w:r>
      <w:r w:rsidRPr="00D10155">
        <w:rPr>
          <w:i/>
          <w:iCs/>
          <w:sz w:val="18"/>
          <w:szCs w:val="18"/>
        </w:rPr>
        <w:t xml:space="preserve">  </w:t>
      </w:r>
      <w:r w:rsidR="00743628" w:rsidRPr="00D10155">
        <w:rPr>
          <w:i/>
          <w:iCs/>
          <w:sz w:val="18"/>
          <w:szCs w:val="18"/>
          <w:lang w:val="fr-FR"/>
        </w:rPr>
        <w:t>Les limites de puissance fixées à l’annexe</w:t>
      </w:r>
      <w:r w:rsidR="0053362B">
        <w:rPr>
          <w:i/>
          <w:iCs/>
          <w:sz w:val="18"/>
          <w:szCs w:val="18"/>
          <w:lang w:val="fr-FR"/>
        </w:rPr>
        <w:t> </w:t>
      </w:r>
      <w:r w:rsidR="00743628" w:rsidRPr="00D10155">
        <w:rPr>
          <w:i/>
          <w:iCs/>
          <w:sz w:val="18"/>
          <w:szCs w:val="18"/>
          <w:lang w:val="fr-FR"/>
        </w:rPr>
        <w:t xml:space="preserve">I sont basées sur </w:t>
      </w:r>
      <w:r w:rsidR="00743628" w:rsidRPr="00D10155">
        <w:rPr>
          <w:i/>
          <w:iCs/>
          <w:sz w:val="18"/>
          <w:szCs w:val="18"/>
          <w:u w:val="single"/>
          <w:lang w:val="fr-FR"/>
        </w:rPr>
        <w:t>une puissance nominale continue maximale pour les véhicules électriques</w:t>
      </w:r>
      <w:r w:rsidR="00743628" w:rsidRPr="00D10155">
        <w:rPr>
          <w:i/>
          <w:iCs/>
          <w:sz w:val="18"/>
          <w:szCs w:val="18"/>
          <w:lang w:val="fr-FR"/>
        </w:rPr>
        <w:t xml:space="preserve"> et </w:t>
      </w:r>
      <w:r w:rsidR="00743628" w:rsidRPr="00D10155">
        <w:rPr>
          <w:i/>
          <w:iCs/>
          <w:sz w:val="18"/>
          <w:szCs w:val="18"/>
          <w:u w:val="single"/>
          <w:lang w:val="fr-FR"/>
        </w:rPr>
        <w:t>une puissance nette maximale pour les véhicules propulsés par un moteur à combustion</w:t>
      </w:r>
      <w:r w:rsidR="00743628" w:rsidRPr="00D10155">
        <w:rPr>
          <w:i/>
          <w:iCs/>
          <w:sz w:val="18"/>
          <w:szCs w:val="18"/>
          <w:lang w:val="fr-FR"/>
        </w:rPr>
        <w:t>.</w:t>
      </w:r>
      <w:r w:rsidR="00743628" w:rsidRPr="00D10155">
        <w:rPr>
          <w:sz w:val="18"/>
          <w:szCs w:val="18"/>
          <w:lang w:val="fr-FR"/>
        </w:rPr>
        <w:t xml:space="preserve"> </w:t>
      </w:r>
      <w:r w:rsidR="00743628" w:rsidRPr="00D10155">
        <w:rPr>
          <w:i/>
          <w:iCs/>
          <w:sz w:val="18"/>
          <w:szCs w:val="18"/>
          <w:lang w:val="fr-FR"/>
        </w:rPr>
        <w:t>Le poids d’un véhicule est considéré égal à sa masse en ordre de marche.</w:t>
      </w:r>
    </w:p>
    <w:p w14:paraId="50B218CC" w14:textId="29C2289D" w:rsidR="00743628" w:rsidRPr="00C00C51" w:rsidRDefault="0053362B" w:rsidP="0053362B">
      <w:pPr>
        <w:pStyle w:val="SingleTxtG"/>
        <w:spacing w:before="240"/>
        <w:rPr>
          <w:color w:val="000000" w:themeColor="text1"/>
          <w:spacing w:val="-2"/>
          <w:u w:val="single"/>
          <w:lang w:val="fr-FR"/>
        </w:rPr>
      </w:pPr>
      <w:r>
        <w:rPr>
          <w:lang w:val="fr-FR"/>
        </w:rPr>
        <w:t>7.</w:t>
      </w:r>
      <w:r>
        <w:rPr>
          <w:lang w:val="fr-FR"/>
        </w:rPr>
        <w:tab/>
      </w:r>
      <w:r w:rsidR="00743628" w:rsidRPr="00C00C51">
        <w:rPr>
          <w:lang w:val="fr-FR"/>
        </w:rPr>
        <w:t xml:space="preserve">Pour des raisons de simplicité, en principe, le seuil pourrait être fixé uniquement par </w:t>
      </w:r>
      <w:r w:rsidR="00743628">
        <w:rPr>
          <w:lang w:val="fr-FR"/>
        </w:rPr>
        <w:t xml:space="preserve">rapport à </w:t>
      </w:r>
      <w:r w:rsidR="00743628" w:rsidRPr="00C00C51">
        <w:rPr>
          <w:lang w:val="fr-FR"/>
        </w:rPr>
        <w:t>la puissance maximale, quel que soit le mode de propulsion. Toutefois, pour éviter de créer des divergences avec les textes réglementaires existants dans le monde entier, il convient de maintenir le seuil de cylindrée de 125</w:t>
      </w:r>
      <w:r>
        <w:rPr>
          <w:lang w:val="fr-FR"/>
        </w:rPr>
        <w:t> </w:t>
      </w:r>
      <w:r w:rsidR="00743628" w:rsidRPr="00C00C51">
        <w:rPr>
          <w:lang w:val="fr-FR"/>
        </w:rPr>
        <w:t>cm</w:t>
      </w:r>
      <w:r w:rsidR="00743628" w:rsidRPr="00C00C51">
        <w:rPr>
          <w:vertAlign w:val="superscript"/>
          <w:lang w:val="fr-FR"/>
        </w:rPr>
        <w:t>3</w:t>
      </w:r>
      <w:r w:rsidR="00743628" w:rsidRPr="00C00C51">
        <w:rPr>
          <w:lang w:val="fr-FR"/>
        </w:rPr>
        <w:t xml:space="preserve"> comme limite supplémentaire pour les moteurs à combustion interne.</w:t>
      </w:r>
    </w:p>
    <w:p w14:paraId="75798F55" w14:textId="0854C62D" w:rsidR="00743628" w:rsidRDefault="0053362B" w:rsidP="00743628">
      <w:pPr>
        <w:pStyle w:val="SingleTxtG"/>
        <w:rPr>
          <w:lang w:val="fr-FR"/>
        </w:rPr>
      </w:pPr>
      <w:r>
        <w:rPr>
          <w:lang w:val="fr-FR"/>
        </w:rPr>
        <w:t>8.</w:t>
      </w:r>
      <w:r>
        <w:rPr>
          <w:lang w:val="fr-FR"/>
        </w:rPr>
        <w:tab/>
      </w:r>
      <w:r w:rsidR="00743628" w:rsidRPr="00C00C51">
        <w:rPr>
          <w:lang w:val="fr-FR"/>
        </w:rPr>
        <w:t>Pour éviter la multiplication de nouvelles séries d</w:t>
      </w:r>
      <w:r w:rsidR="00743628">
        <w:rPr>
          <w:lang w:val="fr-FR"/>
        </w:rPr>
        <w:t>’</w:t>
      </w:r>
      <w:r w:rsidR="00743628" w:rsidRPr="00C00C51">
        <w:rPr>
          <w:lang w:val="fr-FR"/>
        </w:rPr>
        <w:t>amendements, à la quatre</w:t>
      </w:r>
      <w:r>
        <w:rPr>
          <w:lang w:val="fr-FR"/>
        </w:rPr>
        <w:noBreakHyphen/>
      </w:r>
      <w:r w:rsidR="00743628" w:rsidRPr="00C00C51">
        <w:rPr>
          <w:lang w:val="fr-FR"/>
        </w:rPr>
        <w:t>vingt</w:t>
      </w:r>
      <w:r>
        <w:rPr>
          <w:lang w:val="fr-FR"/>
        </w:rPr>
        <w:noBreakHyphen/>
      </w:r>
      <w:r w:rsidR="00743628" w:rsidRPr="00C00C51">
        <w:rPr>
          <w:lang w:val="fr-FR"/>
        </w:rPr>
        <w:t xml:space="preserve">sixième session du GRE tenue en avril 2022, plusieurs parties prenantes ont </w:t>
      </w:r>
      <w:r w:rsidR="00743628">
        <w:rPr>
          <w:lang w:val="fr-FR"/>
        </w:rPr>
        <w:t xml:space="preserve">dit préférer que </w:t>
      </w:r>
      <w:r w:rsidR="00743628" w:rsidRPr="00C00C51">
        <w:rPr>
          <w:lang w:val="fr-FR"/>
        </w:rPr>
        <w:t xml:space="preserve">la présente proposition </w:t>
      </w:r>
      <w:r w:rsidR="00743628">
        <w:rPr>
          <w:lang w:val="fr-FR"/>
        </w:rPr>
        <w:t xml:space="preserve">soit fusionnée </w:t>
      </w:r>
      <w:r w:rsidR="00743628" w:rsidRPr="00C00C51">
        <w:rPr>
          <w:lang w:val="fr-FR"/>
        </w:rPr>
        <w:t>avec une nouvelle série</w:t>
      </w:r>
      <w:r>
        <w:rPr>
          <w:lang w:val="fr-FR"/>
        </w:rPr>
        <w:t> </w:t>
      </w:r>
      <w:r w:rsidR="00743628" w:rsidRPr="00C00C51">
        <w:rPr>
          <w:lang w:val="fr-FR"/>
        </w:rPr>
        <w:t>04 d</w:t>
      </w:r>
      <w:r w:rsidR="00743628">
        <w:rPr>
          <w:lang w:val="fr-FR"/>
        </w:rPr>
        <w:t>’</w:t>
      </w:r>
      <w:r w:rsidR="00743628" w:rsidRPr="00C00C51">
        <w:rPr>
          <w:lang w:val="fr-FR"/>
        </w:rPr>
        <w:t>amendements au Règlement n</w:t>
      </w:r>
      <w:r w:rsidR="00743628" w:rsidRPr="00C00C51">
        <w:rPr>
          <w:vertAlign w:val="superscript"/>
          <w:lang w:val="fr-FR"/>
        </w:rPr>
        <w:t>o</w:t>
      </w:r>
      <w:r>
        <w:rPr>
          <w:lang w:val="fr-FR"/>
        </w:rPr>
        <w:t> </w:t>
      </w:r>
      <w:r w:rsidR="00743628" w:rsidRPr="00C00C51">
        <w:rPr>
          <w:lang w:val="fr-FR"/>
        </w:rPr>
        <w:t>53 de l</w:t>
      </w:r>
      <w:r w:rsidR="00743628">
        <w:rPr>
          <w:lang w:val="fr-FR"/>
        </w:rPr>
        <w:t>’</w:t>
      </w:r>
      <w:r w:rsidR="00743628" w:rsidRPr="00C00C51">
        <w:rPr>
          <w:lang w:val="fr-FR"/>
        </w:rPr>
        <w:t>ONU, élaborée parallèlement par le groupe de travail informel de la simplification des Règlements relatifs à l</w:t>
      </w:r>
      <w:r w:rsidR="00743628">
        <w:rPr>
          <w:lang w:val="fr-FR"/>
        </w:rPr>
        <w:t>’</w:t>
      </w:r>
      <w:r w:rsidR="00743628" w:rsidRPr="00C00C51">
        <w:rPr>
          <w:lang w:val="fr-FR"/>
        </w:rPr>
        <w:t>éclairage et à la signalisation lumineuse (groupe SLR). Les dates proposées dans les dispositions transitoires correspondent aux modifications contenues dans la présente proposition. Une fois que la</w:t>
      </w:r>
      <w:r w:rsidR="00743628">
        <w:rPr>
          <w:lang w:val="fr-FR"/>
        </w:rPr>
        <w:t>dite</w:t>
      </w:r>
      <w:r w:rsidR="00743628" w:rsidRPr="00C00C51">
        <w:rPr>
          <w:lang w:val="fr-FR"/>
        </w:rPr>
        <w:t xml:space="preserve"> nouvelle série</w:t>
      </w:r>
      <w:r>
        <w:rPr>
          <w:lang w:val="fr-FR"/>
        </w:rPr>
        <w:t> </w:t>
      </w:r>
      <w:r w:rsidR="00743628" w:rsidRPr="00C00C51">
        <w:rPr>
          <w:lang w:val="fr-FR"/>
        </w:rPr>
        <w:t xml:space="preserve">04 </w:t>
      </w:r>
      <w:r w:rsidR="00743628">
        <w:rPr>
          <w:lang w:val="fr-FR"/>
        </w:rPr>
        <w:t>aura été</w:t>
      </w:r>
      <w:r w:rsidR="00743628" w:rsidRPr="00C00C51">
        <w:rPr>
          <w:lang w:val="fr-FR"/>
        </w:rPr>
        <w:t xml:space="preserve"> fusionnée avec la </w:t>
      </w:r>
      <w:r w:rsidR="00743628">
        <w:rPr>
          <w:lang w:val="fr-FR"/>
        </w:rPr>
        <w:t xml:space="preserve">présente </w:t>
      </w:r>
      <w:r w:rsidR="00743628" w:rsidRPr="00C00C51">
        <w:rPr>
          <w:lang w:val="fr-FR"/>
        </w:rPr>
        <w:t>proposition et que l</w:t>
      </w:r>
      <w:r w:rsidR="00743628">
        <w:rPr>
          <w:lang w:val="fr-FR"/>
        </w:rPr>
        <w:t>’</w:t>
      </w:r>
      <w:r w:rsidR="00743628" w:rsidRPr="00C00C51">
        <w:rPr>
          <w:lang w:val="fr-FR"/>
        </w:rPr>
        <w:t xml:space="preserve">incidence globale sera </w:t>
      </w:r>
      <w:r w:rsidR="00743628">
        <w:rPr>
          <w:lang w:val="fr-FR"/>
        </w:rPr>
        <w:t>apparente</w:t>
      </w:r>
      <w:r w:rsidR="00743628" w:rsidRPr="00C00C51">
        <w:rPr>
          <w:lang w:val="fr-FR"/>
        </w:rPr>
        <w:t>, il pourrait être nécessaire de revoir la période transitoire.</w:t>
      </w:r>
    </w:p>
    <w:p w14:paraId="3257962C" w14:textId="6BDC01F9" w:rsidR="0053362B" w:rsidRPr="0053362B" w:rsidRDefault="0053362B" w:rsidP="0053362B">
      <w:pPr>
        <w:pStyle w:val="SingleTxtG"/>
        <w:spacing w:before="240" w:after="0"/>
        <w:jc w:val="center"/>
        <w:rPr>
          <w:u w:val="single"/>
        </w:rPr>
      </w:pPr>
      <w:r>
        <w:rPr>
          <w:u w:val="single"/>
        </w:rPr>
        <w:tab/>
      </w:r>
      <w:r>
        <w:rPr>
          <w:u w:val="single"/>
        </w:rPr>
        <w:tab/>
      </w:r>
      <w:r>
        <w:rPr>
          <w:u w:val="single"/>
        </w:rPr>
        <w:tab/>
      </w:r>
      <w:r>
        <w:rPr>
          <w:u w:val="single"/>
        </w:rPr>
        <w:tab/>
      </w:r>
    </w:p>
    <w:sectPr w:rsidR="0053362B" w:rsidRPr="0053362B" w:rsidSect="007436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C828" w14:textId="77777777" w:rsidR="004550D6" w:rsidRDefault="004550D6" w:rsidP="00F95C08">
      <w:pPr>
        <w:spacing w:line="240" w:lineRule="auto"/>
      </w:pPr>
    </w:p>
  </w:endnote>
  <w:endnote w:type="continuationSeparator" w:id="0">
    <w:p w14:paraId="5AF20140" w14:textId="77777777" w:rsidR="004550D6" w:rsidRPr="00AC3823" w:rsidRDefault="004550D6" w:rsidP="00AC3823">
      <w:pPr>
        <w:pStyle w:val="Pieddepage"/>
      </w:pPr>
    </w:p>
  </w:endnote>
  <w:endnote w:type="continuationNotice" w:id="1">
    <w:p w14:paraId="1A2D097A" w14:textId="77777777" w:rsidR="004550D6" w:rsidRDefault="004550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C538" w14:textId="4353AC2C" w:rsidR="00743628" w:rsidRPr="00743628" w:rsidRDefault="00743628" w:rsidP="00743628">
    <w:pPr>
      <w:pStyle w:val="Pieddepage"/>
      <w:tabs>
        <w:tab w:val="right" w:pos="9638"/>
      </w:tabs>
    </w:pPr>
    <w:r w:rsidRPr="00743628">
      <w:rPr>
        <w:b/>
        <w:sz w:val="18"/>
      </w:rPr>
      <w:fldChar w:fldCharType="begin"/>
    </w:r>
    <w:r w:rsidRPr="00743628">
      <w:rPr>
        <w:b/>
        <w:sz w:val="18"/>
      </w:rPr>
      <w:instrText xml:space="preserve"> PAGE  \* MERGEFORMAT </w:instrText>
    </w:r>
    <w:r w:rsidRPr="00743628">
      <w:rPr>
        <w:b/>
        <w:sz w:val="18"/>
      </w:rPr>
      <w:fldChar w:fldCharType="separate"/>
    </w:r>
    <w:r w:rsidRPr="00743628">
      <w:rPr>
        <w:b/>
        <w:noProof/>
        <w:sz w:val="18"/>
      </w:rPr>
      <w:t>2</w:t>
    </w:r>
    <w:r w:rsidRPr="00743628">
      <w:rPr>
        <w:b/>
        <w:sz w:val="18"/>
      </w:rPr>
      <w:fldChar w:fldCharType="end"/>
    </w:r>
    <w:r>
      <w:rPr>
        <w:b/>
        <w:sz w:val="18"/>
      </w:rPr>
      <w:tab/>
    </w:r>
    <w:r>
      <w:t>GE.22-11762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D991" w14:textId="2E8D095C" w:rsidR="00743628" w:rsidRPr="00743628" w:rsidRDefault="00743628" w:rsidP="00743628">
    <w:pPr>
      <w:pStyle w:val="Pieddepage"/>
      <w:tabs>
        <w:tab w:val="right" w:pos="9638"/>
      </w:tabs>
      <w:rPr>
        <w:b/>
        <w:sz w:val="18"/>
      </w:rPr>
    </w:pPr>
    <w:r>
      <w:t>GE.22-11762</w:t>
    </w:r>
    <w:r>
      <w:tab/>
    </w:r>
    <w:r w:rsidRPr="00743628">
      <w:rPr>
        <w:b/>
        <w:sz w:val="18"/>
      </w:rPr>
      <w:fldChar w:fldCharType="begin"/>
    </w:r>
    <w:r w:rsidRPr="00743628">
      <w:rPr>
        <w:b/>
        <w:sz w:val="18"/>
      </w:rPr>
      <w:instrText xml:space="preserve"> PAGE  \* MERGEFORMAT </w:instrText>
    </w:r>
    <w:r w:rsidRPr="00743628">
      <w:rPr>
        <w:b/>
        <w:sz w:val="18"/>
      </w:rPr>
      <w:fldChar w:fldCharType="separate"/>
    </w:r>
    <w:r w:rsidRPr="00743628">
      <w:rPr>
        <w:b/>
        <w:noProof/>
        <w:sz w:val="18"/>
      </w:rPr>
      <w:t>3</w:t>
    </w:r>
    <w:r w:rsidRPr="007436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5402" w14:textId="24F09B61" w:rsidR="007F20FA" w:rsidRPr="00743628" w:rsidRDefault="00743628" w:rsidP="0074362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062EC43" wp14:editId="4B7B096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22-11762  (F)</w:t>
    </w:r>
    <w:r>
      <w:rPr>
        <w:noProof/>
        <w:sz w:val="20"/>
      </w:rPr>
      <w:drawing>
        <wp:anchor distT="0" distB="0" distL="114300" distR="114300" simplePos="0" relativeHeight="251660288" behindDoc="0" locked="0" layoutInCell="1" allowOverlap="1" wp14:anchorId="5F07719E" wp14:editId="267B62B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D895" w14:textId="77777777" w:rsidR="004550D6" w:rsidRPr="00AC3823" w:rsidRDefault="004550D6" w:rsidP="00AC3823">
      <w:pPr>
        <w:pStyle w:val="Pieddepage"/>
        <w:tabs>
          <w:tab w:val="right" w:pos="2155"/>
        </w:tabs>
        <w:spacing w:after="80" w:line="240" w:lineRule="atLeast"/>
        <w:ind w:left="680"/>
        <w:rPr>
          <w:u w:val="single"/>
        </w:rPr>
      </w:pPr>
      <w:r>
        <w:rPr>
          <w:u w:val="single"/>
        </w:rPr>
        <w:tab/>
      </w:r>
    </w:p>
  </w:footnote>
  <w:footnote w:type="continuationSeparator" w:id="0">
    <w:p w14:paraId="13F999C6" w14:textId="77777777" w:rsidR="004550D6" w:rsidRPr="00AC3823" w:rsidRDefault="004550D6" w:rsidP="00AC3823">
      <w:pPr>
        <w:pStyle w:val="Pieddepage"/>
        <w:tabs>
          <w:tab w:val="right" w:pos="2155"/>
        </w:tabs>
        <w:spacing w:after="80" w:line="240" w:lineRule="atLeast"/>
        <w:ind w:left="680"/>
        <w:rPr>
          <w:u w:val="single"/>
        </w:rPr>
      </w:pPr>
      <w:r>
        <w:rPr>
          <w:u w:val="single"/>
        </w:rPr>
        <w:tab/>
      </w:r>
    </w:p>
  </w:footnote>
  <w:footnote w:type="continuationNotice" w:id="1">
    <w:p w14:paraId="61AB32E1" w14:textId="77777777" w:rsidR="004550D6" w:rsidRPr="00AC3823" w:rsidRDefault="004550D6">
      <w:pPr>
        <w:spacing w:line="240" w:lineRule="auto"/>
        <w:rPr>
          <w:sz w:val="2"/>
          <w:szCs w:val="2"/>
        </w:rPr>
      </w:pPr>
    </w:p>
  </w:footnote>
  <w:footnote w:id="2">
    <w:p w14:paraId="3155FF30" w14:textId="46EBEC93" w:rsidR="00743628" w:rsidRPr="00743628" w:rsidRDefault="00743628">
      <w:pPr>
        <w:pStyle w:val="Notedebasdepage"/>
      </w:pPr>
      <w:r>
        <w:rPr>
          <w:rStyle w:val="Appelnotedebasdep"/>
        </w:rPr>
        <w:tab/>
      </w:r>
      <w:r w:rsidRPr="00743628">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E17E" w14:textId="27C486B9" w:rsidR="00743628" w:rsidRPr="00743628" w:rsidRDefault="00743628">
    <w:pPr>
      <w:pStyle w:val="En-tte"/>
    </w:pPr>
    <w:fldSimple w:instr=" TITLE  \* MERGEFORMAT ">
      <w:r>
        <w:t>ECE/TRANS/WP.29/GRE/2022/15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47CC" w14:textId="725D74EA" w:rsidR="00743628" w:rsidRPr="00743628" w:rsidRDefault="00743628" w:rsidP="00743628">
    <w:pPr>
      <w:pStyle w:val="En-tte"/>
      <w:jc w:val="right"/>
    </w:pPr>
    <w:fldSimple w:instr=" TITLE  \* MERGEFORMAT ">
      <w:r>
        <w:t>ECE/TRANS/WP.29/GRE/2022/15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09141521">
    <w:abstractNumId w:val="12"/>
  </w:num>
  <w:num w:numId="2" w16cid:durableId="464352225">
    <w:abstractNumId w:val="11"/>
  </w:num>
  <w:num w:numId="3" w16cid:durableId="642929621">
    <w:abstractNumId w:val="10"/>
  </w:num>
  <w:num w:numId="4" w16cid:durableId="1650360155">
    <w:abstractNumId w:val="8"/>
  </w:num>
  <w:num w:numId="5" w16cid:durableId="1946883722">
    <w:abstractNumId w:val="3"/>
  </w:num>
  <w:num w:numId="6" w16cid:durableId="1240091699">
    <w:abstractNumId w:val="2"/>
  </w:num>
  <w:num w:numId="7" w16cid:durableId="1361668873">
    <w:abstractNumId w:val="1"/>
  </w:num>
  <w:num w:numId="8" w16cid:durableId="1881353323">
    <w:abstractNumId w:val="0"/>
  </w:num>
  <w:num w:numId="9" w16cid:durableId="1004891540">
    <w:abstractNumId w:val="9"/>
  </w:num>
  <w:num w:numId="10" w16cid:durableId="1140614908">
    <w:abstractNumId w:val="7"/>
  </w:num>
  <w:num w:numId="11" w16cid:durableId="990867103">
    <w:abstractNumId w:val="6"/>
  </w:num>
  <w:num w:numId="12" w16cid:durableId="839463017">
    <w:abstractNumId w:val="5"/>
  </w:num>
  <w:num w:numId="13" w16cid:durableId="209998016">
    <w:abstractNumId w:val="4"/>
  </w:num>
  <w:num w:numId="14" w16cid:durableId="781413076">
    <w:abstractNumId w:val="12"/>
  </w:num>
  <w:num w:numId="15" w16cid:durableId="1709329572">
    <w:abstractNumId w:val="11"/>
  </w:num>
  <w:num w:numId="16" w16cid:durableId="239412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D6"/>
    <w:rsid w:val="00017F94"/>
    <w:rsid w:val="00023842"/>
    <w:rsid w:val="000334F9"/>
    <w:rsid w:val="00045FEB"/>
    <w:rsid w:val="0007796D"/>
    <w:rsid w:val="000B7790"/>
    <w:rsid w:val="00102377"/>
    <w:rsid w:val="00111F2F"/>
    <w:rsid w:val="0014365E"/>
    <w:rsid w:val="00143C66"/>
    <w:rsid w:val="00176178"/>
    <w:rsid w:val="0018763D"/>
    <w:rsid w:val="001D278C"/>
    <w:rsid w:val="001F525A"/>
    <w:rsid w:val="00201148"/>
    <w:rsid w:val="00223272"/>
    <w:rsid w:val="0024779E"/>
    <w:rsid w:val="00257168"/>
    <w:rsid w:val="002744B8"/>
    <w:rsid w:val="002832AC"/>
    <w:rsid w:val="002D7C93"/>
    <w:rsid w:val="00305801"/>
    <w:rsid w:val="003916DE"/>
    <w:rsid w:val="003D50F0"/>
    <w:rsid w:val="00421996"/>
    <w:rsid w:val="00441C3B"/>
    <w:rsid w:val="00446FE5"/>
    <w:rsid w:val="00452396"/>
    <w:rsid w:val="004550D6"/>
    <w:rsid w:val="00477EB2"/>
    <w:rsid w:val="004837D8"/>
    <w:rsid w:val="004E2EED"/>
    <w:rsid w:val="004E468C"/>
    <w:rsid w:val="0053362B"/>
    <w:rsid w:val="005505B7"/>
    <w:rsid w:val="00573BE5"/>
    <w:rsid w:val="00586ED3"/>
    <w:rsid w:val="00596AA9"/>
    <w:rsid w:val="0063154F"/>
    <w:rsid w:val="0071601D"/>
    <w:rsid w:val="00726EEF"/>
    <w:rsid w:val="00743628"/>
    <w:rsid w:val="00784FF2"/>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10155"/>
    <w:rsid w:val="00D3439C"/>
    <w:rsid w:val="00D7622E"/>
    <w:rsid w:val="00DB1831"/>
    <w:rsid w:val="00DD3BFD"/>
    <w:rsid w:val="00DF6678"/>
    <w:rsid w:val="00E0299A"/>
    <w:rsid w:val="00E35B9E"/>
    <w:rsid w:val="00E50777"/>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1DAD6"/>
  <w15:docId w15:val="{85D7F7E3-F36D-4254-8926-AFF973DD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1880</Words>
  <Characters>9583</Characters>
  <Application>Microsoft Office Word</Application>
  <DocSecurity>0</DocSecurity>
  <Lines>211</Lines>
  <Paragraphs>107</Paragraphs>
  <ScaleCrop>false</ScaleCrop>
  <HeadingPairs>
    <vt:vector size="2" baseType="variant">
      <vt:variant>
        <vt:lpstr>Titre</vt:lpstr>
      </vt:variant>
      <vt:variant>
        <vt:i4>1</vt:i4>
      </vt:variant>
    </vt:vector>
  </HeadingPairs>
  <TitlesOfParts>
    <vt:vector size="1" baseType="lpstr">
      <vt:lpstr>ECE/TRANS/WP.29/GRE/2022/15</vt:lpstr>
    </vt:vector>
  </TitlesOfParts>
  <Company>DCM</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ECE/TRANS/WP.29/GRE/2022/15</dc:title>
  <dc:subject/>
  <dc:creator>Marie DESCHAMPS</dc:creator>
  <cp:keywords/>
  <cp:lastModifiedBy>Marie Deschamps</cp:lastModifiedBy>
  <cp:revision>2</cp:revision>
  <cp:lastPrinted>2014-05-14T10:59:00Z</cp:lastPrinted>
  <dcterms:created xsi:type="dcterms:W3CDTF">2022-09-06T10:20:00Z</dcterms:created>
  <dcterms:modified xsi:type="dcterms:W3CDTF">2022-09-06T10:20:00Z</dcterms:modified>
</cp:coreProperties>
</file>