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22E72D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CBA3B0F" w14:textId="77777777" w:rsidR="00F35BAF" w:rsidRPr="00DB58B5" w:rsidRDefault="00F35BAF" w:rsidP="00E826F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785FF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056633" w14:textId="488E83A8" w:rsidR="00F35BAF" w:rsidRPr="00DB58B5" w:rsidRDefault="00E826F0" w:rsidP="00E826F0">
            <w:pPr>
              <w:jc w:val="right"/>
            </w:pPr>
            <w:r w:rsidRPr="00E826F0">
              <w:rPr>
                <w:sz w:val="40"/>
              </w:rPr>
              <w:t>ECE</w:t>
            </w:r>
            <w:r>
              <w:t>/TRANS/WP.29/GRE/2022/13</w:t>
            </w:r>
          </w:p>
        </w:tc>
      </w:tr>
      <w:tr w:rsidR="00F35BAF" w:rsidRPr="00DB58B5" w14:paraId="3799226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F78FE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2B458C" wp14:editId="5117BD8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591C0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2B8B5F" w14:textId="77777777" w:rsidR="00F35BAF" w:rsidRDefault="00E826F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5A958C0" w14:textId="77777777" w:rsidR="00E826F0" w:rsidRDefault="00E826F0" w:rsidP="00E826F0">
            <w:pPr>
              <w:spacing w:line="240" w:lineRule="exact"/>
            </w:pPr>
            <w:r>
              <w:t>27 juillet 2022</w:t>
            </w:r>
          </w:p>
          <w:p w14:paraId="0F2B9EEB" w14:textId="77777777" w:rsidR="00E826F0" w:rsidRDefault="00E826F0" w:rsidP="00E826F0">
            <w:pPr>
              <w:spacing w:line="240" w:lineRule="exact"/>
            </w:pPr>
            <w:r>
              <w:t>Français</w:t>
            </w:r>
          </w:p>
          <w:p w14:paraId="2395743E" w14:textId="15537C3C" w:rsidR="00E826F0" w:rsidRPr="00DB58B5" w:rsidRDefault="00E826F0" w:rsidP="00E826F0">
            <w:pPr>
              <w:spacing w:line="240" w:lineRule="exact"/>
            </w:pPr>
            <w:r>
              <w:t>Original : anglais</w:t>
            </w:r>
          </w:p>
        </w:tc>
      </w:tr>
    </w:tbl>
    <w:p w14:paraId="08C88B07" w14:textId="472D726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6405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08A505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84F582B" w14:textId="42404C46" w:rsidR="00E826F0" w:rsidRDefault="00E826F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6405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6F63093" w14:textId="17AF2B4A" w:rsidR="00E826F0" w:rsidRDefault="00E826F0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D64055">
        <w:rPr>
          <w:b/>
        </w:rPr>
        <w:t>’</w:t>
      </w:r>
      <w:r>
        <w:rPr>
          <w:b/>
        </w:rPr>
        <w:t>éclairage et de la signalisation lumineuse</w:t>
      </w:r>
    </w:p>
    <w:p w14:paraId="0DB27822" w14:textId="2452073E" w:rsidR="00E826F0" w:rsidRDefault="00E826F0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Quatre-vingt-septième</w:t>
      </w:r>
      <w:r>
        <w:rPr>
          <w:b/>
        </w:rPr>
        <w:t xml:space="preserve"> session</w:t>
      </w:r>
    </w:p>
    <w:p w14:paraId="12B76614" w14:textId="0338DFDD" w:rsidR="00E826F0" w:rsidRDefault="00E826F0" w:rsidP="00257168">
      <w:pPr>
        <w:spacing w:line="240" w:lineRule="exact"/>
      </w:pPr>
      <w:r>
        <w:t xml:space="preserve">Genève, </w:t>
      </w:r>
      <w:r>
        <w:rPr>
          <w:lang w:val="fr-FR"/>
        </w:rPr>
        <w:t>25-28 octobre 2022</w:t>
      </w:r>
    </w:p>
    <w:p w14:paraId="20D3C9CF" w14:textId="7A4228C1" w:rsidR="00E826F0" w:rsidRDefault="00E826F0" w:rsidP="00257168">
      <w:pPr>
        <w:spacing w:line="240" w:lineRule="exact"/>
      </w:pPr>
      <w:r>
        <w:t>Point 4 de l</w:t>
      </w:r>
      <w:r w:rsidR="00D64055">
        <w:t>’</w:t>
      </w:r>
      <w:r>
        <w:t>ordre du jour provisoire</w:t>
      </w:r>
    </w:p>
    <w:p w14:paraId="6B0F7C12" w14:textId="60E62CF6" w:rsidR="00E826F0" w:rsidRPr="00EE1716" w:rsidRDefault="00E826F0" w:rsidP="00E826F0">
      <w:pPr>
        <w:rPr>
          <w:b/>
          <w:bCs/>
        </w:rPr>
      </w:pPr>
      <w:r>
        <w:rPr>
          <w:b/>
          <w:bCs/>
          <w:lang w:val="fr-FR"/>
        </w:rPr>
        <w:t xml:space="preserve">Simplification des Règlements ONU relatifs </w:t>
      </w:r>
      <w:r w:rsidR="002A3F66">
        <w:rPr>
          <w:b/>
          <w:bCs/>
          <w:lang w:val="fr-FR"/>
        </w:rPr>
        <w:br/>
      </w:r>
      <w:proofErr w:type="gramStart"/>
      <w:r>
        <w:rPr>
          <w:b/>
          <w:bCs/>
          <w:lang w:val="fr-FR"/>
        </w:rPr>
        <w:t>à</w:t>
      </w:r>
      <w:proofErr w:type="gramEnd"/>
      <w:r>
        <w:rPr>
          <w:b/>
          <w:bCs/>
          <w:lang w:val="fr-FR"/>
        </w:rPr>
        <w:t xml:space="preserve"> l</w:t>
      </w:r>
      <w:r w:rsidR="00D64055"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et à la signalisation lumineuse</w:t>
      </w:r>
    </w:p>
    <w:p w14:paraId="4C17B1C7" w14:textId="6F509652" w:rsidR="00E826F0" w:rsidRPr="00EE1716" w:rsidRDefault="00E826F0" w:rsidP="002A3F6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D64055">
        <w:rPr>
          <w:lang w:val="fr-FR"/>
        </w:rPr>
        <w:t>’</w:t>
      </w:r>
      <w:r>
        <w:rPr>
          <w:lang w:val="fr-FR"/>
        </w:rPr>
        <w:t>amendements aux Règlements ONU n</w:t>
      </w:r>
      <w:r>
        <w:rPr>
          <w:vertAlign w:val="superscript"/>
          <w:lang w:val="fr-FR"/>
        </w:rPr>
        <w:t>os</w:t>
      </w:r>
      <w:r w:rsidR="0058693C">
        <w:rPr>
          <w:lang w:val="fr-FR"/>
        </w:rPr>
        <w:t> </w:t>
      </w:r>
      <w:r>
        <w:rPr>
          <w:lang w:val="fr-FR"/>
        </w:rPr>
        <w:t>148, 149 et 150</w:t>
      </w:r>
    </w:p>
    <w:p w14:paraId="440C0738" w14:textId="176FB342" w:rsidR="00E826F0" w:rsidRPr="00EE1716" w:rsidRDefault="00E826F0" w:rsidP="002A3F66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D64055">
        <w:rPr>
          <w:lang w:val="fr-FR"/>
        </w:rPr>
        <w:t>’</w:t>
      </w:r>
      <w:r>
        <w:rPr>
          <w:lang w:val="fr-FR"/>
        </w:rPr>
        <w:t>expert du Comité international de l</w:t>
      </w:r>
      <w:r w:rsidR="00D64055">
        <w:rPr>
          <w:lang w:val="fr-FR"/>
        </w:rPr>
        <w:t>’</w:t>
      </w:r>
      <w:r>
        <w:rPr>
          <w:lang w:val="fr-FR"/>
        </w:rPr>
        <w:t>inspection technique automobile</w:t>
      </w:r>
      <w:r w:rsidR="002A3F66" w:rsidRPr="002A3F6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F572F9" w14:textId="3E71B53D" w:rsidR="00F9573C" w:rsidRDefault="00E826F0" w:rsidP="002A3F66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établi par les experts du Comité international de l</w:t>
      </w:r>
      <w:r w:rsidR="00D64055">
        <w:rPr>
          <w:lang w:val="fr-FR"/>
        </w:rPr>
        <w:t>’</w:t>
      </w:r>
      <w:r>
        <w:rPr>
          <w:lang w:val="fr-FR"/>
        </w:rPr>
        <w:t>inspection technique automobile (CITA) afin de garantir la disponibilité d</w:t>
      </w:r>
      <w:r w:rsidR="00D64055">
        <w:rPr>
          <w:lang w:val="fr-FR"/>
        </w:rPr>
        <w:t>’</w:t>
      </w:r>
      <w:r>
        <w:rPr>
          <w:lang w:val="fr-FR"/>
        </w:rPr>
        <w:t>informations suffisantes sur le dispositif aux fins des contrôles périodiques et routiers. Les modifications qu</w:t>
      </w:r>
      <w:r w:rsidR="00D64055">
        <w:rPr>
          <w:lang w:val="fr-FR"/>
        </w:rPr>
        <w:t>’</w:t>
      </w:r>
      <w:r>
        <w:rPr>
          <w:lang w:val="fr-FR"/>
        </w:rPr>
        <w:t>il est proposé d</w:t>
      </w:r>
      <w:r w:rsidR="00D64055">
        <w:rPr>
          <w:lang w:val="fr-FR"/>
        </w:rPr>
        <w:t>’</w:t>
      </w:r>
      <w:r>
        <w:rPr>
          <w:lang w:val="fr-FR"/>
        </w:rPr>
        <w:t>apporter au texte actuel de ces Règlements ONU figurent en caractères gras pour les ajouts et biffés pour les suppressions.</w:t>
      </w:r>
    </w:p>
    <w:p w14:paraId="0A3EDCD9" w14:textId="46E50727" w:rsidR="00E826F0" w:rsidRDefault="00E826F0" w:rsidP="00E826F0">
      <w:r>
        <w:br w:type="page"/>
      </w:r>
    </w:p>
    <w:p w14:paraId="569B91CA" w14:textId="77777777" w:rsidR="00E826F0" w:rsidRPr="00EE1716" w:rsidRDefault="00E826F0" w:rsidP="00DA4129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934CD0C" w14:textId="3C32E2D3" w:rsidR="00E826F0" w:rsidRPr="00EE1716" w:rsidRDefault="00DA4129" w:rsidP="00DA4129">
      <w:pPr>
        <w:pStyle w:val="H1G"/>
        <w:rPr>
          <w:rFonts w:eastAsia="SimSun"/>
        </w:rPr>
      </w:pPr>
      <w:r>
        <w:rPr>
          <w:lang w:val="fr-FR"/>
        </w:rPr>
        <w:tab/>
      </w:r>
      <w:r w:rsidR="00E826F0">
        <w:rPr>
          <w:lang w:val="fr-FR"/>
        </w:rPr>
        <w:t>A.</w:t>
      </w:r>
      <w:r w:rsidR="00E826F0">
        <w:rPr>
          <w:lang w:val="fr-FR"/>
        </w:rPr>
        <w:tab/>
        <w:t>Amendements à la série 01 d</w:t>
      </w:r>
      <w:r w:rsidR="00D64055">
        <w:rPr>
          <w:lang w:val="fr-FR"/>
        </w:rPr>
        <w:t>’</w:t>
      </w:r>
      <w:r w:rsidR="00E826F0">
        <w:rPr>
          <w:lang w:val="fr-FR"/>
        </w:rPr>
        <w:t>amendements au Règlement ONU n</w:t>
      </w:r>
      <w:r w:rsidR="00E826F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E826F0">
        <w:rPr>
          <w:lang w:val="fr-FR"/>
        </w:rPr>
        <w:t>148 (ECE/TRANS/WP.29/2022/92)</w:t>
      </w:r>
    </w:p>
    <w:p w14:paraId="69AB16F4" w14:textId="77777777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 w:rsidRPr="00DA4129">
        <w:rPr>
          <w:i/>
          <w:iCs/>
        </w:rPr>
        <w:t>Paragraphe 3.3.1.1</w:t>
      </w:r>
      <w:r>
        <w:t>, lire :</w:t>
      </w:r>
    </w:p>
    <w:p w14:paraId="639C876C" w14:textId="3A085DA5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3.3.1.1</w:t>
      </w:r>
      <w:r>
        <w:tab/>
        <w:t>Tout dispositif relevant d</w:t>
      </w:r>
      <w:r w:rsidR="00D64055">
        <w:t>’</w:t>
      </w:r>
      <w:r>
        <w:t>un type homologué doit comporter un emplacement d</w:t>
      </w:r>
      <w:r w:rsidR="00D64055">
        <w:t>’</w:t>
      </w:r>
      <w:r>
        <w:t>une taille suffisante réservé à l</w:t>
      </w:r>
      <w:r w:rsidR="00D64055">
        <w:t>’</w:t>
      </w:r>
      <w:r>
        <w:t>apposition de l</w:t>
      </w:r>
      <w:r w:rsidR="00D64055">
        <w:t>’</w:t>
      </w:r>
      <w:r>
        <w:t>identifiant unique prévu dans l</w:t>
      </w:r>
      <w:r w:rsidR="00D64055">
        <w:t>’</w:t>
      </w:r>
      <w:r>
        <w:t xml:space="preserve">Accord de 1958 et des autres marques définies aux paragraphes </w:t>
      </w:r>
      <w:r>
        <w:rPr>
          <w:b/>
          <w:bCs/>
        </w:rPr>
        <w:t>3.3.2.3, 3.3.2.5</w:t>
      </w:r>
      <w:r>
        <w:t xml:space="preserve"> </w:t>
      </w:r>
      <w:r>
        <w:rPr>
          <w:b/>
          <w:bCs/>
        </w:rPr>
        <w:t>et</w:t>
      </w:r>
      <w:r>
        <w:t xml:space="preserve"> 3.3.4.2 à 3.3.4.6 ou de la marque d</w:t>
      </w:r>
      <w:r w:rsidR="00D64055">
        <w:t>’</w:t>
      </w:r>
      <w:r>
        <w:t xml:space="preserve">homologation et des autres marques définies aux paragraphes 3.3.4.2 à 3.3.4.6 ». </w:t>
      </w:r>
    </w:p>
    <w:p w14:paraId="070432F3" w14:textId="725F41F1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3.3.3.1</w:t>
      </w:r>
      <w:r>
        <w:t>, lire</w:t>
      </w:r>
      <w:r w:rsidR="00D64055">
        <w:t> </w:t>
      </w:r>
      <w:r>
        <w:t>:</w:t>
      </w:r>
    </w:p>
    <w:p w14:paraId="4723394B" w14:textId="19F04AD6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3.3.3.1</w:t>
      </w:r>
      <w:r>
        <w:tab/>
        <w:t>La marque d</w:t>
      </w:r>
      <w:r w:rsidR="00D64055">
        <w:t>’</w:t>
      </w:r>
      <w:r>
        <w:t xml:space="preserve">homologation définie au paragraphe 3.3.2, </w:t>
      </w:r>
      <w:r>
        <w:rPr>
          <w:b/>
          <w:bCs/>
        </w:rPr>
        <w:t>à l</w:t>
      </w:r>
      <w:r w:rsidR="00D64055">
        <w:rPr>
          <w:b/>
          <w:bCs/>
        </w:rPr>
        <w:t>’</w:t>
      </w:r>
      <w:r>
        <w:rPr>
          <w:b/>
          <w:bCs/>
        </w:rPr>
        <w:t>exception des paragraphes 3.3.2.3</w:t>
      </w:r>
      <w:r>
        <w:t xml:space="preserve"> </w:t>
      </w:r>
      <w:r>
        <w:rPr>
          <w:b/>
          <w:bCs/>
        </w:rPr>
        <w:t>et 3.3.2.5,</w:t>
      </w:r>
      <w:r>
        <w:t xml:space="preserve"> peut être remplacée par... ».</w:t>
      </w:r>
    </w:p>
    <w:p w14:paraId="2D59C1BF" w14:textId="1BD70A84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3.3.4.1</w:t>
      </w:r>
      <w:r>
        <w:t>, lire</w:t>
      </w:r>
      <w:r w:rsidR="00D64055">
        <w:t> </w:t>
      </w:r>
      <w:r>
        <w:t>:</w:t>
      </w:r>
    </w:p>
    <w:p w14:paraId="676A8B82" w14:textId="3EDA3222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3.3.4.1</w:t>
      </w:r>
      <w:r>
        <w:tab/>
        <w:t>Les feux doivent porter la marque d</w:t>
      </w:r>
      <w:r w:rsidR="00D64055">
        <w:t>’</w:t>
      </w:r>
      <w:r>
        <w:t>homologation ou l</w:t>
      </w:r>
      <w:r w:rsidR="00D64055">
        <w:t>’</w:t>
      </w:r>
      <w:r>
        <w:t>identifiant unique</w:t>
      </w:r>
      <w:r>
        <w:rPr>
          <w:b/>
          <w:bCs/>
        </w:rPr>
        <w:t>, ainsi que les marques définies aux paragraphes 3.3.2.3 et 3.3.2.5</w:t>
      </w:r>
      <w:r w:rsidR="0058693C">
        <w:rPr>
          <w:b/>
          <w:bCs/>
        </w:rPr>
        <w:t> </w:t>
      </w:r>
      <w:r w:rsidR="0058693C" w:rsidRPr="0058693C">
        <w:t>»</w:t>
      </w:r>
      <w:r>
        <w:t>.</w:t>
      </w:r>
    </w:p>
    <w:p w14:paraId="7D76F33B" w14:textId="5A0DC678" w:rsidR="00E826F0" w:rsidRPr="00EE1716" w:rsidRDefault="00DA4129" w:rsidP="00DA4129">
      <w:pPr>
        <w:pStyle w:val="H1G"/>
        <w:rPr>
          <w:rFonts w:eastAsia="SimSun"/>
        </w:rPr>
      </w:pPr>
      <w:r>
        <w:rPr>
          <w:bCs/>
          <w:lang w:val="fr-FR"/>
        </w:rPr>
        <w:tab/>
      </w:r>
      <w:r w:rsidR="00E826F0">
        <w:rPr>
          <w:bCs/>
          <w:lang w:val="fr-FR"/>
        </w:rPr>
        <w:t>B.</w:t>
      </w:r>
      <w:r w:rsidR="00E826F0">
        <w:rPr>
          <w:lang w:val="fr-FR"/>
        </w:rPr>
        <w:tab/>
      </w:r>
      <w:r w:rsidR="00E826F0">
        <w:rPr>
          <w:bCs/>
          <w:lang w:val="fr-FR"/>
        </w:rPr>
        <w:t>Amendements à la série 01 d</w:t>
      </w:r>
      <w:r w:rsidR="00D64055">
        <w:rPr>
          <w:bCs/>
          <w:lang w:val="fr-FR"/>
        </w:rPr>
        <w:t>’</w:t>
      </w:r>
      <w:r w:rsidR="00E826F0">
        <w:rPr>
          <w:bCs/>
          <w:lang w:val="fr-FR"/>
        </w:rPr>
        <w:t xml:space="preserve">amendements au </w:t>
      </w:r>
      <w:r w:rsidR="00E826F0" w:rsidRPr="00DA4129">
        <w:rPr>
          <w:lang w:val="fr-FR"/>
        </w:rPr>
        <w:t>Règlement</w:t>
      </w:r>
      <w:r w:rsidR="00E826F0">
        <w:rPr>
          <w:bCs/>
          <w:lang w:val="fr-FR"/>
        </w:rPr>
        <w:t xml:space="preserve"> ONU n</w:t>
      </w:r>
      <w:r w:rsidR="00E826F0">
        <w:rPr>
          <w:bCs/>
          <w:vertAlign w:val="superscript"/>
          <w:lang w:val="fr-FR"/>
        </w:rPr>
        <w:t>o</w:t>
      </w:r>
      <w:r w:rsidR="0058693C">
        <w:rPr>
          <w:bCs/>
          <w:lang w:val="fr-FR"/>
        </w:rPr>
        <w:t> </w:t>
      </w:r>
      <w:r w:rsidR="00E826F0">
        <w:rPr>
          <w:bCs/>
          <w:lang w:val="fr-FR"/>
        </w:rPr>
        <w:t>149 (ECE/TRANS/WP.29/2022/93)</w:t>
      </w:r>
    </w:p>
    <w:p w14:paraId="575E2C0C" w14:textId="5E19C2F9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3.3.1.1</w:t>
      </w:r>
      <w:r>
        <w:t>, lire</w:t>
      </w:r>
      <w:r w:rsidR="00D64055">
        <w:t> </w:t>
      </w:r>
      <w:r>
        <w:t>:</w:t>
      </w:r>
    </w:p>
    <w:p w14:paraId="52CCADE3" w14:textId="7853DBA1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3.3.1.1</w:t>
      </w:r>
      <w:r>
        <w:tab/>
        <w:t>Tout dispositif relevant d</w:t>
      </w:r>
      <w:r w:rsidR="00D64055">
        <w:t>’</w:t>
      </w:r>
      <w:r>
        <w:t>un type homologué doit comporter un emplacement d</w:t>
      </w:r>
      <w:r w:rsidR="00D64055">
        <w:t>’</w:t>
      </w:r>
      <w:r>
        <w:t>une taille suffisante réservé à l</w:t>
      </w:r>
      <w:r w:rsidR="00D64055">
        <w:t>’</w:t>
      </w:r>
      <w:r>
        <w:t>apposition de l</w:t>
      </w:r>
      <w:r w:rsidR="00D64055">
        <w:t>’</w:t>
      </w:r>
      <w:r>
        <w:t>identifiant unique prévu dans l</w:t>
      </w:r>
      <w:r w:rsidR="00D64055">
        <w:t>’</w:t>
      </w:r>
      <w:r>
        <w:t xml:space="preserve">Accord de 1958 et des autres marques définies aux paragraphes </w:t>
      </w:r>
      <w:r>
        <w:rPr>
          <w:b/>
          <w:bCs/>
        </w:rPr>
        <w:t>3.3.2.4 et</w:t>
      </w:r>
      <w:r>
        <w:t xml:space="preserve"> 3.3.4, ou de la marque d</w:t>
      </w:r>
      <w:r w:rsidR="00D64055">
        <w:t>’</w:t>
      </w:r>
      <w:r>
        <w:t>homologation et des autres marques définies au paragraphe 3.3.4 ».</w:t>
      </w:r>
    </w:p>
    <w:p w14:paraId="1137BC07" w14:textId="16CC5D92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3.3.3.1</w:t>
      </w:r>
      <w:r>
        <w:t>, lire</w:t>
      </w:r>
      <w:r w:rsidR="00D64055">
        <w:t> </w:t>
      </w:r>
      <w:r>
        <w:t>:</w:t>
      </w:r>
    </w:p>
    <w:p w14:paraId="223514DD" w14:textId="7D0EFDEF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3.3.3.1</w:t>
      </w:r>
      <w:r>
        <w:tab/>
        <w:t>La marque d</w:t>
      </w:r>
      <w:r w:rsidR="00D64055">
        <w:t>’</w:t>
      </w:r>
      <w:r>
        <w:t>homologation définie au paragraphe 3.3.2</w:t>
      </w:r>
      <w:r>
        <w:rPr>
          <w:b/>
          <w:bCs/>
        </w:rPr>
        <w:t>, à l</w:t>
      </w:r>
      <w:r w:rsidR="00D64055">
        <w:rPr>
          <w:b/>
          <w:bCs/>
        </w:rPr>
        <w:t>’</w:t>
      </w:r>
      <w:r>
        <w:rPr>
          <w:b/>
          <w:bCs/>
        </w:rPr>
        <w:t>exception du paragraphe 3.3.2.4</w:t>
      </w:r>
      <w:r>
        <w:t>, peut être remplacée par... ».</w:t>
      </w:r>
    </w:p>
    <w:p w14:paraId="696E1E3A" w14:textId="46AEB59F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3.3.4</w:t>
      </w:r>
      <w:r>
        <w:t>, lire</w:t>
      </w:r>
      <w:r w:rsidR="00D64055">
        <w:t> </w:t>
      </w:r>
      <w:r>
        <w:t>:</w:t>
      </w:r>
    </w:p>
    <w:p w14:paraId="408A7CE6" w14:textId="77777777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3.3.4</w:t>
      </w:r>
      <w:r>
        <w:tab/>
        <w:t xml:space="preserve">Prescriptions relatives au marquage </w:t>
      </w:r>
    </w:p>
    <w:p w14:paraId="4E6F6032" w14:textId="16DB5996" w:rsidR="00DA4129" w:rsidRDefault="00E826F0" w:rsidP="00DA4129">
      <w:pPr>
        <w:pStyle w:val="SingleTxtG"/>
        <w:ind w:left="2268"/>
      </w:pPr>
      <w:r>
        <w:t>Les fonctions ou systèmes d</w:t>
      </w:r>
      <w:r w:rsidR="00D64055">
        <w:t>’</w:t>
      </w:r>
      <w:r>
        <w:t>éclairage de la route doivent porter la marque d</w:t>
      </w:r>
      <w:r w:rsidR="00D64055">
        <w:t>’</w:t>
      </w:r>
      <w:r>
        <w:t>homologation ou l</w:t>
      </w:r>
      <w:r w:rsidR="00D64055">
        <w:t>’</w:t>
      </w:r>
      <w:r>
        <w:t xml:space="preserve">identifiant unique, </w:t>
      </w:r>
      <w:r>
        <w:rPr>
          <w:b/>
          <w:bCs/>
        </w:rPr>
        <w:t>la marque décrit au paragraphe</w:t>
      </w:r>
      <w:r w:rsidR="007510FA">
        <w:rPr>
          <w:b/>
          <w:bCs/>
        </w:rPr>
        <w:t> </w:t>
      </w:r>
      <w:r>
        <w:rPr>
          <w:b/>
          <w:bCs/>
        </w:rPr>
        <w:t>3.3.2.4,</w:t>
      </w:r>
      <w:r>
        <w:t xml:space="preserve"> la marque de fabrique ou de commerce du demandeur et les marques ci-après</w:t>
      </w:r>
      <w:r w:rsidR="00D64055">
        <w:t> </w:t>
      </w:r>
      <w:r>
        <w:t>:</w:t>
      </w:r>
    </w:p>
    <w:p w14:paraId="6EBC6752" w14:textId="302D219D" w:rsidR="00E826F0" w:rsidRPr="000641C5" w:rsidRDefault="00E826F0" w:rsidP="00DA4129">
      <w:pPr>
        <w:pStyle w:val="SingleTxtG"/>
        <w:ind w:left="2268"/>
        <w:rPr>
          <w:rFonts w:asciiTheme="majorBidi" w:hAnsiTheme="majorBidi" w:cstheme="majorBidi"/>
        </w:rPr>
      </w:pPr>
      <w:r>
        <w:t>... ».</w:t>
      </w:r>
    </w:p>
    <w:p w14:paraId="4CD49898" w14:textId="5701A0FB" w:rsidR="00E826F0" w:rsidRPr="00EE1716" w:rsidRDefault="00DA4129" w:rsidP="00DA4129">
      <w:pPr>
        <w:pStyle w:val="H1G"/>
        <w:rPr>
          <w:rFonts w:eastAsia="SimSun"/>
        </w:rPr>
      </w:pPr>
      <w:r>
        <w:rPr>
          <w:bCs/>
          <w:lang w:val="fr-FR"/>
        </w:rPr>
        <w:tab/>
      </w:r>
      <w:r w:rsidR="00E826F0">
        <w:rPr>
          <w:bCs/>
          <w:lang w:val="fr-FR"/>
        </w:rPr>
        <w:t>C.</w:t>
      </w:r>
      <w:r w:rsidR="00E826F0">
        <w:rPr>
          <w:lang w:val="fr-FR"/>
        </w:rPr>
        <w:tab/>
      </w:r>
      <w:r w:rsidR="00E826F0">
        <w:rPr>
          <w:bCs/>
          <w:lang w:val="fr-FR"/>
        </w:rPr>
        <w:t>Amendements à la série 01 d</w:t>
      </w:r>
      <w:r w:rsidR="00D64055">
        <w:rPr>
          <w:bCs/>
          <w:lang w:val="fr-FR"/>
        </w:rPr>
        <w:t>’</w:t>
      </w:r>
      <w:r w:rsidR="00E826F0">
        <w:rPr>
          <w:bCs/>
          <w:lang w:val="fr-FR"/>
        </w:rPr>
        <w:t>amendements au Règlement ONU n</w:t>
      </w:r>
      <w:r w:rsidR="00E826F0">
        <w:rPr>
          <w:bCs/>
          <w:vertAlign w:val="superscript"/>
          <w:lang w:val="fr-FR"/>
        </w:rPr>
        <w:t>o</w:t>
      </w:r>
      <w:r w:rsidR="00D64055">
        <w:rPr>
          <w:bCs/>
          <w:lang w:val="fr-FR"/>
        </w:rPr>
        <w:t> </w:t>
      </w:r>
      <w:r w:rsidR="00E826F0">
        <w:rPr>
          <w:bCs/>
          <w:lang w:val="fr-FR"/>
        </w:rPr>
        <w:t>150 (ECE/TRANS/WP.29/2022/94)</w:t>
      </w:r>
    </w:p>
    <w:p w14:paraId="12EED6F6" w14:textId="77777777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3.3.1.1</w:t>
      </w:r>
      <w:r>
        <w:t>, lire :</w:t>
      </w:r>
    </w:p>
    <w:p w14:paraId="6FB969BD" w14:textId="06DD4A14" w:rsidR="00E826F0" w:rsidRPr="000641C5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3.3.1.1</w:t>
      </w:r>
      <w:r>
        <w:tab/>
        <w:t>Tout dispositif relevant d</w:t>
      </w:r>
      <w:r w:rsidR="00D64055">
        <w:t>’</w:t>
      </w:r>
      <w:r>
        <w:t>un type homologué doit comporter un emplacement d</w:t>
      </w:r>
      <w:r w:rsidR="00D64055">
        <w:t>’</w:t>
      </w:r>
      <w:r>
        <w:t>une taille suffisante réservé à l</w:t>
      </w:r>
      <w:r w:rsidR="00D64055">
        <w:t>’</w:t>
      </w:r>
      <w:r>
        <w:t>apposition de l</w:t>
      </w:r>
      <w:r w:rsidR="00D64055">
        <w:t>’</w:t>
      </w:r>
      <w:r>
        <w:t>identifiant unique prévu dans l</w:t>
      </w:r>
      <w:r w:rsidR="00D64055">
        <w:t>’</w:t>
      </w:r>
      <w:r>
        <w:t xml:space="preserve">Accord de 1958 et des autres marques définies aux paragraphes </w:t>
      </w:r>
      <w:r>
        <w:rPr>
          <w:b/>
          <w:bCs/>
        </w:rPr>
        <w:t>3.3.2.3 et</w:t>
      </w:r>
      <w:r>
        <w:t xml:space="preserve"> 3.3.4.2, ou de la marque d</w:t>
      </w:r>
      <w:r w:rsidR="00D64055">
        <w:t>’</w:t>
      </w:r>
      <w:r>
        <w:t>homologation et des autres marques définies au paragraphe 3.3.4.2 ».</w:t>
      </w:r>
    </w:p>
    <w:p w14:paraId="371A77B7" w14:textId="58B06BB9" w:rsidR="00E826F0" w:rsidRPr="000641C5" w:rsidRDefault="00E826F0" w:rsidP="00416422">
      <w:pPr>
        <w:pStyle w:val="SingleTxtG"/>
        <w:keepNext/>
        <w:keepLines/>
        <w:rPr>
          <w:rFonts w:asciiTheme="majorBidi" w:hAnsiTheme="majorBidi" w:cstheme="majorBidi"/>
        </w:rPr>
      </w:pPr>
      <w:r>
        <w:rPr>
          <w:i/>
          <w:iCs/>
        </w:rPr>
        <w:lastRenderedPageBreak/>
        <w:t>Paragraphe 3.3.3.1</w:t>
      </w:r>
      <w:r>
        <w:t>, lire</w:t>
      </w:r>
      <w:r w:rsidR="00D64055">
        <w:t> </w:t>
      </w:r>
      <w:r>
        <w:t>:</w:t>
      </w:r>
    </w:p>
    <w:p w14:paraId="0D6F6B4B" w14:textId="5711DDB2" w:rsidR="00E826F0" w:rsidRPr="000641C5" w:rsidRDefault="00E826F0" w:rsidP="00416422">
      <w:pPr>
        <w:pStyle w:val="SingleTxtG"/>
        <w:keepNext/>
        <w:keepLines/>
        <w:ind w:left="2268" w:hanging="1134"/>
        <w:rPr>
          <w:rFonts w:asciiTheme="majorBidi" w:hAnsiTheme="majorBidi" w:cstheme="majorBidi"/>
        </w:rPr>
      </w:pPr>
      <w:r>
        <w:t>« 3.3.3.1</w:t>
      </w:r>
      <w:r>
        <w:tab/>
        <w:t>La marque d</w:t>
      </w:r>
      <w:r w:rsidR="00D64055">
        <w:t>’</w:t>
      </w:r>
      <w:r>
        <w:t>homologation définie au paragraphe 3.3.2</w:t>
      </w:r>
      <w:r>
        <w:rPr>
          <w:b/>
          <w:bCs/>
        </w:rPr>
        <w:t>, à l</w:t>
      </w:r>
      <w:r w:rsidR="00D64055">
        <w:rPr>
          <w:b/>
          <w:bCs/>
        </w:rPr>
        <w:t>’</w:t>
      </w:r>
      <w:r>
        <w:rPr>
          <w:b/>
          <w:bCs/>
        </w:rPr>
        <w:t>exception du paragraphe 3.3.2.3,</w:t>
      </w:r>
      <w:r>
        <w:t xml:space="preserve"> peut être remplacée par l</w:t>
      </w:r>
      <w:r w:rsidR="00D64055">
        <w:t>’</w:t>
      </w:r>
      <w:r>
        <w:t>identifiant unique, le cas échéant... ».</w:t>
      </w:r>
    </w:p>
    <w:p w14:paraId="0673DE7D" w14:textId="372F105E" w:rsidR="00E826F0" w:rsidRPr="000641C5" w:rsidRDefault="00E826F0" w:rsidP="00DA4129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Paragraphe 3.3.4.1</w:t>
      </w:r>
      <w:r>
        <w:t>, lire</w:t>
      </w:r>
      <w:r w:rsidR="00D64055">
        <w:t> </w:t>
      </w:r>
      <w:r>
        <w:t>:</w:t>
      </w:r>
    </w:p>
    <w:p w14:paraId="262B0467" w14:textId="77777777" w:rsidR="00E826F0" w:rsidRDefault="00E826F0" w:rsidP="00DA4129">
      <w:pPr>
        <w:pStyle w:val="SingleTxtG"/>
        <w:ind w:left="2268" w:hanging="1134"/>
        <w:rPr>
          <w:rFonts w:asciiTheme="majorBidi" w:hAnsiTheme="majorBidi" w:cstheme="majorBidi"/>
        </w:rPr>
      </w:pPr>
      <w:r>
        <w:t>« 3.3.4.1</w:t>
      </w:r>
      <w:r>
        <w:tab/>
        <w:t xml:space="preserve">Les dispositifs rétroréfléchissants doivent porter la marque de fabrique ou de commerce du demandeur </w:t>
      </w:r>
      <w:r>
        <w:rPr>
          <w:b/>
          <w:bCs/>
        </w:rPr>
        <w:t>et la marque décrite au paragraphe 3.3.2.3</w:t>
      </w:r>
      <w:r>
        <w:t> ».</w:t>
      </w:r>
    </w:p>
    <w:p w14:paraId="5B54B696" w14:textId="77777777" w:rsidR="00E826F0" w:rsidRPr="00EE1716" w:rsidRDefault="00E826F0" w:rsidP="00DA4129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5B5034F3" w14:textId="1670AD10" w:rsidR="00E826F0" w:rsidRDefault="00E826F0" w:rsidP="00DA4129">
      <w:pPr>
        <w:pStyle w:val="SingleTxtG"/>
        <w:ind w:firstLine="567"/>
        <w:rPr>
          <w:lang w:val="fr-FR"/>
        </w:rPr>
      </w:pPr>
      <w:r>
        <w:rPr>
          <w:lang w:val="fr-FR"/>
        </w:rPr>
        <w:t>La justification figure dans le document informel WP.29-187-15.</w:t>
      </w:r>
    </w:p>
    <w:p w14:paraId="7BABF402" w14:textId="013FEE8A" w:rsidR="00DA4129" w:rsidRPr="00DA4129" w:rsidRDefault="00DA4129" w:rsidP="00DA41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129" w:rsidRPr="00DA4129" w:rsidSect="00E826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F96" w14:textId="77777777" w:rsidR="00E50D31" w:rsidRDefault="00E50D31" w:rsidP="00F95C08">
      <w:pPr>
        <w:spacing w:line="240" w:lineRule="auto"/>
      </w:pPr>
    </w:p>
  </w:endnote>
  <w:endnote w:type="continuationSeparator" w:id="0">
    <w:p w14:paraId="66B505A6" w14:textId="77777777" w:rsidR="00E50D31" w:rsidRPr="00AC3823" w:rsidRDefault="00E50D31" w:rsidP="00AC3823">
      <w:pPr>
        <w:pStyle w:val="Footer"/>
      </w:pPr>
    </w:p>
  </w:endnote>
  <w:endnote w:type="continuationNotice" w:id="1">
    <w:p w14:paraId="18C4131F" w14:textId="77777777" w:rsidR="00E50D31" w:rsidRDefault="00E50D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6680" w14:textId="09092B08" w:rsidR="00E826F0" w:rsidRPr="00E826F0" w:rsidRDefault="00E826F0" w:rsidP="00E826F0">
    <w:pPr>
      <w:pStyle w:val="Footer"/>
      <w:tabs>
        <w:tab w:val="right" w:pos="9638"/>
      </w:tabs>
    </w:pPr>
    <w:r w:rsidRPr="00E826F0">
      <w:rPr>
        <w:b/>
        <w:sz w:val="18"/>
      </w:rPr>
      <w:fldChar w:fldCharType="begin"/>
    </w:r>
    <w:r w:rsidRPr="00E826F0">
      <w:rPr>
        <w:b/>
        <w:sz w:val="18"/>
      </w:rPr>
      <w:instrText xml:space="preserve"> PAGE  \* MERGEFORMAT </w:instrText>
    </w:r>
    <w:r w:rsidRPr="00E826F0">
      <w:rPr>
        <w:b/>
        <w:sz w:val="18"/>
      </w:rPr>
      <w:fldChar w:fldCharType="separate"/>
    </w:r>
    <w:r w:rsidRPr="00E826F0">
      <w:rPr>
        <w:b/>
        <w:noProof/>
        <w:sz w:val="18"/>
      </w:rPr>
      <w:t>2</w:t>
    </w:r>
    <w:r w:rsidRPr="00E826F0">
      <w:rPr>
        <w:b/>
        <w:sz w:val="18"/>
      </w:rPr>
      <w:fldChar w:fldCharType="end"/>
    </w:r>
    <w:r>
      <w:rPr>
        <w:b/>
        <w:sz w:val="18"/>
      </w:rPr>
      <w:tab/>
    </w:r>
    <w:r>
      <w:t>GE.22-11756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067" w14:textId="0A967A42" w:rsidR="00E826F0" w:rsidRPr="00E826F0" w:rsidRDefault="00E826F0" w:rsidP="00E826F0">
    <w:pPr>
      <w:pStyle w:val="Footer"/>
      <w:tabs>
        <w:tab w:val="right" w:pos="9638"/>
      </w:tabs>
      <w:rPr>
        <w:b/>
        <w:sz w:val="18"/>
      </w:rPr>
    </w:pPr>
    <w:r>
      <w:t>GE.22-11756</w:t>
    </w:r>
    <w:r>
      <w:tab/>
    </w:r>
    <w:r w:rsidRPr="00E826F0">
      <w:rPr>
        <w:b/>
        <w:sz w:val="18"/>
      </w:rPr>
      <w:fldChar w:fldCharType="begin"/>
    </w:r>
    <w:r w:rsidRPr="00E826F0">
      <w:rPr>
        <w:b/>
        <w:sz w:val="18"/>
      </w:rPr>
      <w:instrText xml:space="preserve"> PAGE  \* MERGEFORMAT </w:instrText>
    </w:r>
    <w:r w:rsidRPr="00E826F0">
      <w:rPr>
        <w:b/>
        <w:sz w:val="18"/>
      </w:rPr>
      <w:fldChar w:fldCharType="separate"/>
    </w:r>
    <w:r w:rsidRPr="00E826F0">
      <w:rPr>
        <w:b/>
        <w:noProof/>
        <w:sz w:val="18"/>
      </w:rPr>
      <w:t>3</w:t>
    </w:r>
    <w:r w:rsidRPr="00E826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2B99" w14:textId="50D1C145" w:rsidR="007F20FA" w:rsidRPr="00E826F0" w:rsidRDefault="00E826F0" w:rsidP="00E826F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D0F9FD2" wp14:editId="68CD5C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22-11756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C4A7B0" wp14:editId="2FCB5D0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55">
      <w:rPr>
        <w:sz w:val="20"/>
      </w:rPr>
      <w:t xml:space="preserve">    060922    070922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B06" w14:textId="77777777" w:rsidR="00E50D31" w:rsidRPr="00AC3823" w:rsidRDefault="00E50D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4C1BB5" w14:textId="77777777" w:rsidR="00E50D31" w:rsidRPr="00AC3823" w:rsidRDefault="00E50D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3D281D" w14:textId="77777777" w:rsidR="00E50D31" w:rsidRPr="00AC3823" w:rsidRDefault="00E50D31">
      <w:pPr>
        <w:spacing w:line="240" w:lineRule="auto"/>
        <w:rPr>
          <w:sz w:val="2"/>
          <w:szCs w:val="2"/>
        </w:rPr>
      </w:pPr>
    </w:p>
  </w:footnote>
  <w:footnote w:id="2">
    <w:p w14:paraId="7E521D06" w14:textId="60FC1A7A" w:rsidR="002A3F66" w:rsidRPr="002A3F66" w:rsidRDefault="002A3F66">
      <w:pPr>
        <w:pStyle w:val="FootnoteText"/>
      </w:pPr>
      <w:r>
        <w:rPr>
          <w:rStyle w:val="FootnoteReference"/>
        </w:rPr>
        <w:tab/>
      </w:r>
      <w:r w:rsidRPr="002A3F6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E1716">
        <w:t>Conformément au programme de travail du Comité des transports intérieurs pour 2022 tel qu</w:t>
      </w:r>
      <w:r w:rsidR="0058693C">
        <w:t>’</w:t>
      </w:r>
      <w:r w:rsidRPr="00EE1716">
        <w:t>il figure dans le projet de budget-programme pour 2022 (A/76/6 (Sect.</w:t>
      </w:r>
      <w:r w:rsidR="0058693C">
        <w:t> </w:t>
      </w:r>
      <w:r w:rsidRPr="00EE1716">
        <w:t>20), par.</w:t>
      </w:r>
      <w:r w:rsidR="0058693C">
        <w:t> </w:t>
      </w:r>
      <w:r w:rsidRPr="00EE1716">
        <w:t>20.76), le Forum mondial a pour mission d</w:t>
      </w:r>
      <w:r w:rsidR="0058693C">
        <w:t>’</w:t>
      </w:r>
      <w:r w:rsidRPr="00EE1716">
        <w:t>élaborer, d</w:t>
      </w:r>
      <w:r w:rsidR="0058693C">
        <w:t>’</w:t>
      </w:r>
      <w:r w:rsidRPr="00EE1716">
        <w:t>harmoniser et de mettre à jour les Règlements ONU en vue d</w:t>
      </w:r>
      <w:r w:rsidR="0058693C">
        <w:t>’</w:t>
      </w:r>
      <w:r w:rsidRPr="00EE1716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25BA" w14:textId="2BD80254" w:rsidR="00E826F0" w:rsidRPr="00E826F0" w:rsidRDefault="00346A4D">
    <w:pPr>
      <w:pStyle w:val="Header"/>
    </w:pPr>
    <w:fldSimple w:instr=" TITLE  \* MERGEFORMAT ">
      <w:r>
        <w:t>ECE/TRANS/WP.29/GRE/2022/13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7A9" w14:textId="1A799FDC" w:rsidR="00E826F0" w:rsidRPr="00E826F0" w:rsidRDefault="00346A4D" w:rsidP="00E826F0">
    <w:pPr>
      <w:pStyle w:val="Header"/>
      <w:jc w:val="right"/>
    </w:pPr>
    <w:fldSimple w:instr=" TITLE  \* MERGEFORMAT ">
      <w:r>
        <w:t>ECE/TRANS/WP.29/GRE/2022/13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3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3D2A"/>
    <w:rsid w:val="002A3F66"/>
    <w:rsid w:val="002D7C93"/>
    <w:rsid w:val="00305801"/>
    <w:rsid w:val="00346A4D"/>
    <w:rsid w:val="003916DE"/>
    <w:rsid w:val="00416422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93C"/>
    <w:rsid w:val="00586ED3"/>
    <w:rsid w:val="00596AA9"/>
    <w:rsid w:val="00630D17"/>
    <w:rsid w:val="0071601D"/>
    <w:rsid w:val="007510FA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50DD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64055"/>
    <w:rsid w:val="00D7622E"/>
    <w:rsid w:val="00DA4129"/>
    <w:rsid w:val="00DB1831"/>
    <w:rsid w:val="00DD3BFD"/>
    <w:rsid w:val="00DF6678"/>
    <w:rsid w:val="00E0299A"/>
    <w:rsid w:val="00E50D31"/>
    <w:rsid w:val="00E826F0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E443A"/>
  <w15:docId w15:val="{65B78F8D-1827-4FAB-A257-2C097EA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ECE/TRANS/WP.29/GRE/2022/13</vt:lpstr>
    </vt:vector>
  </TitlesOfParts>
  <Company>DCM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ECE/TRANS/WP.29/GRE/2022/13</dc:title>
  <dc:subject/>
  <dc:creator>Julien OKRZESIK</dc:creator>
  <cp:keywords/>
  <cp:lastModifiedBy>Benedicte Boudol</cp:lastModifiedBy>
  <cp:revision>2</cp:revision>
  <cp:lastPrinted>2022-09-06T19:27:00Z</cp:lastPrinted>
  <dcterms:created xsi:type="dcterms:W3CDTF">2022-09-07T08:15:00Z</dcterms:created>
  <dcterms:modified xsi:type="dcterms:W3CDTF">2022-09-07T08:15:00Z</dcterms:modified>
</cp:coreProperties>
</file>