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0CFDE4D5" w:rsidR="003F1AB4" w:rsidRPr="001C5F9E" w:rsidRDefault="003F1AB4" w:rsidP="003F1AB4">
            <w:pPr>
              <w:jc w:val="right"/>
            </w:pPr>
            <w:r w:rsidRPr="001C5F9E">
              <w:rPr>
                <w:sz w:val="40"/>
              </w:rPr>
              <w:t>ECE</w:t>
            </w:r>
            <w:r w:rsidRPr="001C5F9E">
              <w:t>/TRANS/WP.29/GRE/202</w:t>
            </w:r>
            <w:r w:rsidR="00AD217F" w:rsidRPr="001C5F9E">
              <w:t>2</w:t>
            </w:r>
            <w:r w:rsidRPr="001C5F9E">
              <w:t>/</w:t>
            </w:r>
            <w:r w:rsidR="001C5F9E" w:rsidRPr="001C5F9E">
              <w:t>1</w:t>
            </w:r>
            <w:r w:rsidR="00585CBD">
              <w:rPr>
                <w:lang w:val="ru-RU"/>
              </w:rPr>
              <w:t>3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1C5F9E" w:rsidRDefault="003F1AB4" w:rsidP="003F1AB4">
            <w:pPr>
              <w:spacing w:before="240" w:line="240" w:lineRule="exact"/>
            </w:pPr>
            <w:r w:rsidRPr="001C5F9E">
              <w:t>Distr.: General</w:t>
            </w:r>
          </w:p>
          <w:p w14:paraId="581CB256" w14:textId="4215A1E0" w:rsidR="003F1AB4" w:rsidRPr="001C5F9E" w:rsidRDefault="001C5F9E" w:rsidP="003F1AB4">
            <w:pPr>
              <w:spacing w:line="240" w:lineRule="exact"/>
            </w:pPr>
            <w:r w:rsidRPr="001C5F9E">
              <w:rPr>
                <w:lang w:val="en-US"/>
              </w:rPr>
              <w:t>2</w:t>
            </w:r>
            <w:r w:rsidR="00B643CE">
              <w:rPr>
                <w:lang w:val="en-US"/>
              </w:rPr>
              <w:t>7</w:t>
            </w:r>
            <w:r w:rsidRPr="001C5F9E">
              <w:rPr>
                <w:lang w:val="en-US"/>
              </w:rPr>
              <w:t xml:space="preserve"> </w:t>
            </w:r>
            <w:r w:rsidR="00D04708">
              <w:rPr>
                <w:lang w:val="en-US"/>
              </w:rPr>
              <w:t>July</w:t>
            </w:r>
            <w:r w:rsidR="002C1939" w:rsidRPr="001C5F9E">
              <w:rPr>
                <w:lang w:val="en-US"/>
              </w:rPr>
              <w:t xml:space="preserve"> </w:t>
            </w:r>
            <w:r w:rsidR="003F1AB4" w:rsidRPr="001C5F9E">
              <w:rPr>
                <w:lang w:val="en-US"/>
              </w:rPr>
              <w:t>202</w:t>
            </w:r>
            <w:r w:rsidR="00AD217F" w:rsidRPr="001C5F9E">
              <w:rPr>
                <w:lang w:val="en-US"/>
              </w:rPr>
              <w:t>2</w:t>
            </w:r>
          </w:p>
          <w:p w14:paraId="5FF26AE7" w14:textId="77777777" w:rsidR="003F1AB4" w:rsidRPr="001C5F9E" w:rsidRDefault="003F1AB4" w:rsidP="003F1AB4">
            <w:pPr>
              <w:spacing w:line="240" w:lineRule="exact"/>
            </w:pPr>
          </w:p>
          <w:p w14:paraId="71FBFBB4" w14:textId="77777777" w:rsidR="003F1AB4" w:rsidRPr="001C5F9E" w:rsidRDefault="003F1AB4" w:rsidP="003F1AB4">
            <w:pPr>
              <w:spacing w:line="240" w:lineRule="exact"/>
            </w:pPr>
            <w:r w:rsidRPr="001C5F9E">
              <w:t>Original: English</w:t>
            </w:r>
          </w:p>
        </w:tc>
      </w:tr>
    </w:tbl>
    <w:p w14:paraId="32D3E06F" w14:textId="0621038D" w:rsidR="00732AD2" w:rsidRPr="00525E6C" w:rsidRDefault="003F1AB4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 xml:space="preserve"> </w:t>
      </w:r>
      <w:r w:rsidR="00732AD2"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6C88EE19" w:rsidR="00EB70BF" w:rsidRPr="00FC7563" w:rsidRDefault="00EB70BF" w:rsidP="00EB70BF">
      <w:pPr>
        <w:ind w:right="1134"/>
        <w:rPr>
          <w:b/>
        </w:rPr>
      </w:pPr>
      <w:r w:rsidRPr="00FC7563">
        <w:rPr>
          <w:b/>
        </w:rPr>
        <w:t>Eighty-</w:t>
      </w:r>
      <w:r w:rsidR="00AD217F" w:rsidRPr="00FC7563">
        <w:rPr>
          <w:b/>
        </w:rPr>
        <w:t>seven</w:t>
      </w:r>
      <w:r w:rsidR="00F3615B" w:rsidRPr="00FC7563">
        <w:rPr>
          <w:b/>
        </w:rPr>
        <w:t>th</w:t>
      </w:r>
      <w:r w:rsidRPr="00FC7563">
        <w:rPr>
          <w:b/>
        </w:rPr>
        <w:t xml:space="preserve"> session</w:t>
      </w:r>
    </w:p>
    <w:p w14:paraId="2D1DEC65" w14:textId="0E0F0F0A" w:rsidR="00EB70BF" w:rsidRPr="00FC7563" w:rsidRDefault="00EB70BF" w:rsidP="00EB70BF">
      <w:pPr>
        <w:ind w:right="1134"/>
      </w:pPr>
      <w:r w:rsidRPr="00FC7563">
        <w:t xml:space="preserve">Geneva, </w:t>
      </w:r>
      <w:r w:rsidR="00F3615B" w:rsidRPr="00FC7563">
        <w:t>2</w:t>
      </w:r>
      <w:r w:rsidR="00AD217F" w:rsidRPr="00FC7563">
        <w:t>5</w:t>
      </w:r>
      <w:r w:rsidR="00023558" w:rsidRPr="00FC7563">
        <w:t>–</w:t>
      </w:r>
      <w:r w:rsidR="002844A7" w:rsidRPr="00FC7563">
        <w:t>2</w:t>
      </w:r>
      <w:r w:rsidR="00AD217F" w:rsidRPr="00FC7563">
        <w:t>8</w:t>
      </w:r>
      <w:r w:rsidR="002844A7" w:rsidRPr="00FC7563">
        <w:t xml:space="preserve"> October</w:t>
      </w:r>
      <w:r w:rsidR="006D181F" w:rsidRPr="00FC7563">
        <w:t xml:space="preserve"> </w:t>
      </w:r>
      <w:r w:rsidRPr="00FC7563">
        <w:t>20</w:t>
      </w:r>
      <w:r w:rsidR="006D181F" w:rsidRPr="00FC7563">
        <w:t>2</w:t>
      </w:r>
      <w:r w:rsidR="00AD217F" w:rsidRPr="00FC7563">
        <w:t>2</w:t>
      </w:r>
    </w:p>
    <w:p w14:paraId="5B492E7A" w14:textId="2D0A67F3" w:rsidR="00732AD2" w:rsidRPr="00525E6C" w:rsidRDefault="00732AD2" w:rsidP="00E04EC7">
      <w:pPr>
        <w:ind w:right="1134"/>
        <w:rPr>
          <w:bCs/>
        </w:rPr>
      </w:pPr>
      <w:r w:rsidRPr="00FC7563">
        <w:rPr>
          <w:bCs/>
        </w:rPr>
        <w:t xml:space="preserve">Item </w:t>
      </w:r>
      <w:r w:rsidR="00771D6D" w:rsidRPr="00FC7563">
        <w:rPr>
          <w:bCs/>
        </w:rPr>
        <w:t>4</w:t>
      </w:r>
      <w:r w:rsidR="002C1939" w:rsidRPr="00FC7563">
        <w:rPr>
          <w:bCs/>
        </w:rPr>
        <w:t xml:space="preserve"> o</w:t>
      </w:r>
      <w:r w:rsidRPr="00FC7563">
        <w:rPr>
          <w:bCs/>
        </w:rPr>
        <w:t>f the provisional agenda</w:t>
      </w:r>
    </w:p>
    <w:p w14:paraId="0B5CC20D" w14:textId="1E88030F" w:rsidR="003F1AB4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</w:t>
      </w:r>
      <w:r w:rsidR="00FC7563">
        <w:rPr>
          <w:b/>
          <w:bCs/>
        </w:rPr>
        <w:t>L</w:t>
      </w:r>
      <w:r w:rsidRPr="00DA725B">
        <w:rPr>
          <w:b/>
          <w:bCs/>
        </w:rPr>
        <w:t xml:space="preserve">ighting and </w:t>
      </w:r>
      <w:r w:rsidR="00FC7563">
        <w:rPr>
          <w:b/>
          <w:bCs/>
        </w:rPr>
        <w:t>L</w:t>
      </w:r>
      <w:r w:rsidRPr="00DA725B">
        <w:rPr>
          <w:b/>
          <w:bCs/>
        </w:rPr>
        <w:t>ight-</w:t>
      </w:r>
      <w:r w:rsidR="00FC7563">
        <w:rPr>
          <w:b/>
          <w:bCs/>
        </w:rPr>
        <w:t>S</w:t>
      </w:r>
      <w:r w:rsidRPr="00DA725B">
        <w:rPr>
          <w:b/>
          <w:bCs/>
        </w:rPr>
        <w:t xml:space="preserve">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</w:p>
    <w:p w14:paraId="1BE1B729" w14:textId="50D5B131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F3615B" w:rsidRPr="00E7399D">
        <w:t xml:space="preserve">Proposal </w:t>
      </w:r>
      <w:r w:rsidR="00AD217F">
        <w:t>for</w:t>
      </w:r>
      <w:r w:rsidR="00786084">
        <w:t xml:space="preserve"> amendments to UN Regulations Nos. 148, 149 and 150</w:t>
      </w:r>
    </w:p>
    <w:p w14:paraId="51369146" w14:textId="1409F4B8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</w:t>
      </w:r>
      <w:r w:rsidR="00F05752" w:rsidRPr="00F05752">
        <w:t xml:space="preserve"> </w:t>
      </w:r>
      <w:r w:rsidR="00F05752">
        <w:t xml:space="preserve">expert from </w:t>
      </w:r>
      <w:r w:rsidR="00F05752" w:rsidRPr="00F05752">
        <w:t>the International Motor Vehicle Inspection Committee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13BE65E1" w14:textId="09035861" w:rsidR="004E74D8" w:rsidRDefault="004E74D8" w:rsidP="00E317C2">
      <w:pPr>
        <w:pStyle w:val="SingleTxtG"/>
        <w:tabs>
          <w:tab w:val="left" w:pos="8505"/>
        </w:tabs>
        <w:ind w:firstLine="567"/>
      </w:pPr>
      <w:r w:rsidRPr="004E74D8">
        <w:t>The text reproduced below was prepared by the experts from</w:t>
      </w:r>
      <w:r w:rsidR="00C44F5E" w:rsidRPr="00C44F5E">
        <w:t xml:space="preserve"> the International Motor Vehicle Inspection Committee (CITA) to ensure the availability of sufficient information on the device for periodic and roadside inspections. </w:t>
      </w:r>
      <w:r w:rsidRPr="004E74D8">
        <w:t>The modifications to the existing text of the UN Regulation</w:t>
      </w:r>
      <w:r w:rsidR="00C44F5E">
        <w:t>s</w:t>
      </w:r>
      <w:r w:rsidRPr="004E74D8">
        <w:t xml:space="preserve"> are marked bold for new and strikethrough for deleted characters.</w:t>
      </w:r>
    </w:p>
    <w:p w14:paraId="6CF57D06" w14:textId="6C558ABB" w:rsidR="0053129E" w:rsidRPr="003F1AB4" w:rsidRDefault="00356A47" w:rsidP="00E317C2">
      <w:pPr>
        <w:pStyle w:val="SingleTxtG"/>
        <w:tabs>
          <w:tab w:val="left" w:pos="8505"/>
        </w:tabs>
        <w:ind w:firstLine="567"/>
        <w:rPr>
          <w:bCs/>
        </w:rPr>
      </w:pPr>
      <w:r w:rsidRPr="00356A47">
        <w:rPr>
          <w:lang w:val="en-US"/>
        </w:rPr>
        <w:t xml:space="preserve">  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3ACBB3A5" w14:textId="3C3B3D7F" w:rsidR="000641C5" w:rsidRPr="006C3F53" w:rsidRDefault="006C3F53" w:rsidP="00A05F30">
      <w:pPr>
        <w:pStyle w:val="H1G"/>
        <w:ind w:hanging="425"/>
        <w:rPr>
          <w:rFonts w:eastAsia="SimSun"/>
        </w:rPr>
      </w:pPr>
      <w:r>
        <w:rPr>
          <w:rFonts w:eastAsia="SimSun"/>
        </w:rPr>
        <w:t>A.</w:t>
      </w:r>
      <w:r>
        <w:rPr>
          <w:rFonts w:eastAsia="SimSun"/>
        </w:rPr>
        <w:tab/>
      </w:r>
      <w:r w:rsidR="00800F89">
        <w:rPr>
          <w:rFonts w:eastAsia="SimSun"/>
        </w:rPr>
        <w:t xml:space="preserve">Amendments to the 01 series of </w:t>
      </w:r>
      <w:r>
        <w:rPr>
          <w:rFonts w:eastAsia="SimSun"/>
        </w:rPr>
        <w:t xml:space="preserve">UN </w:t>
      </w:r>
      <w:r w:rsidR="000641C5" w:rsidRPr="006C3F53">
        <w:rPr>
          <w:rFonts w:eastAsia="SimSun"/>
        </w:rPr>
        <w:t xml:space="preserve">Regulation </w:t>
      </w:r>
      <w:r>
        <w:rPr>
          <w:rFonts w:eastAsia="SimSun"/>
        </w:rPr>
        <w:t xml:space="preserve">No. </w:t>
      </w:r>
      <w:r w:rsidR="000641C5" w:rsidRPr="006C3F53">
        <w:rPr>
          <w:rFonts w:eastAsia="SimSun"/>
        </w:rPr>
        <w:t xml:space="preserve">148 </w:t>
      </w:r>
      <w:r>
        <w:rPr>
          <w:rFonts w:eastAsia="SimSun"/>
        </w:rPr>
        <w:t>(</w:t>
      </w:r>
      <w:r w:rsidR="00800F89">
        <w:rPr>
          <w:rFonts w:eastAsia="SimSun"/>
        </w:rPr>
        <w:t>E</w:t>
      </w:r>
      <w:r w:rsidR="000641C5" w:rsidRPr="006C3F53">
        <w:rPr>
          <w:rFonts w:eastAsia="SimSun"/>
        </w:rPr>
        <w:t>CE/TRANS/WP.29/2022/92</w:t>
      </w:r>
      <w:r w:rsidR="00800F89">
        <w:rPr>
          <w:rFonts w:eastAsia="SimSun"/>
        </w:rPr>
        <w:t>)</w:t>
      </w:r>
    </w:p>
    <w:p w14:paraId="33B79D7B" w14:textId="00E1CE95" w:rsidR="000641C5" w:rsidRPr="000641C5" w:rsidRDefault="000E5C16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i/>
          <w:iCs/>
          <w:lang w:val="en-GB"/>
        </w:rPr>
        <w:t>Paragraph</w:t>
      </w:r>
      <w:r w:rsidR="000641C5" w:rsidRPr="00A05F30">
        <w:rPr>
          <w:rFonts w:asciiTheme="majorBidi" w:hAnsiTheme="majorBidi" w:cstheme="majorBidi"/>
          <w:i/>
          <w:iCs/>
          <w:lang w:val="en-GB"/>
        </w:rPr>
        <w:t xml:space="preserve"> 3.3.1.1.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,</w:t>
      </w:r>
      <w:r w:rsidR="000641C5" w:rsidRPr="000641C5">
        <w:rPr>
          <w:rFonts w:asciiTheme="majorBidi" w:hAnsiTheme="majorBidi" w:cstheme="majorBidi"/>
          <w:lang w:val="en-GB"/>
        </w:rPr>
        <w:t xml:space="preserve"> </w:t>
      </w:r>
      <w:r w:rsidR="00A05F30">
        <w:rPr>
          <w:rFonts w:asciiTheme="majorBidi" w:hAnsiTheme="majorBidi" w:cstheme="majorBidi"/>
          <w:lang w:val="en-GB"/>
        </w:rPr>
        <w:t>a</w:t>
      </w:r>
      <w:r w:rsidR="000641C5" w:rsidRPr="000641C5">
        <w:rPr>
          <w:rFonts w:asciiTheme="majorBidi" w:hAnsiTheme="majorBidi" w:cstheme="majorBidi"/>
          <w:lang w:val="en-GB"/>
        </w:rPr>
        <w:t>mend to read</w:t>
      </w:r>
      <w:r w:rsidR="00A05F30">
        <w:rPr>
          <w:rFonts w:asciiTheme="majorBidi" w:hAnsiTheme="majorBidi" w:cstheme="majorBidi"/>
          <w:lang w:val="en-GB"/>
        </w:rPr>
        <w:t>:</w:t>
      </w:r>
    </w:p>
    <w:p w14:paraId="262137AD" w14:textId="30CDEACC" w:rsidR="000641C5" w:rsidRPr="000641C5" w:rsidRDefault="000641C5" w:rsidP="000641C5">
      <w:pPr>
        <w:pStyle w:val="para0"/>
        <w:rPr>
          <w:rFonts w:asciiTheme="majorBidi" w:hAnsiTheme="majorBidi" w:cstheme="majorBidi"/>
          <w:lang w:val="en-GB"/>
        </w:rPr>
      </w:pPr>
      <w:r w:rsidRPr="000641C5">
        <w:rPr>
          <w:rFonts w:asciiTheme="majorBidi" w:hAnsiTheme="majorBidi" w:cstheme="majorBidi"/>
          <w:lang w:val="en-GB"/>
        </w:rPr>
        <w:t>“</w:t>
      </w:r>
      <w:r w:rsidR="00A05F30">
        <w:rPr>
          <w:rFonts w:asciiTheme="majorBidi" w:hAnsiTheme="majorBidi" w:cstheme="majorBidi"/>
          <w:lang w:val="en-GB"/>
        </w:rPr>
        <w:t>3.3.1.1.</w:t>
      </w:r>
      <w:r w:rsidR="00A05F30">
        <w:rPr>
          <w:rFonts w:asciiTheme="majorBidi" w:hAnsiTheme="majorBidi" w:cstheme="majorBidi"/>
          <w:lang w:val="en-GB"/>
        </w:rPr>
        <w:tab/>
      </w:r>
      <w:r w:rsidRPr="000641C5">
        <w:rPr>
          <w:rFonts w:asciiTheme="majorBidi" w:hAnsiTheme="majorBidi" w:cstheme="majorBidi"/>
          <w:lang w:val="en-GB"/>
        </w:rPr>
        <w:t xml:space="preserve">Every device belonging to an approved type shall comprise a space of sufficient size for the Unique Identifier as referred to in the 1958 Agreement and other markings as defined in paragraphs </w:t>
      </w:r>
      <w:r w:rsidRPr="00A05F30">
        <w:rPr>
          <w:rFonts w:asciiTheme="majorBidi" w:hAnsiTheme="majorBidi" w:cstheme="majorBidi"/>
          <w:b/>
          <w:bCs/>
          <w:lang w:val="en-GB"/>
        </w:rPr>
        <w:t>3.3.2.3., 3.3.2.5</w:t>
      </w:r>
      <w:r w:rsidRPr="0095643F">
        <w:rPr>
          <w:rFonts w:asciiTheme="majorBidi" w:hAnsiTheme="majorBidi" w:cstheme="majorBidi"/>
          <w:b/>
          <w:bCs/>
          <w:lang w:val="en-GB"/>
        </w:rPr>
        <w:t>. and from</w:t>
      </w:r>
      <w:r w:rsidRPr="000641C5">
        <w:rPr>
          <w:rFonts w:asciiTheme="majorBidi" w:hAnsiTheme="majorBidi" w:cstheme="majorBidi"/>
          <w:lang w:val="en-GB"/>
        </w:rPr>
        <w:t xml:space="preserve"> 3.3.4.2. to 3.3.4.6. or the approval </w:t>
      </w:r>
      <w:proofErr w:type="gramStart"/>
      <w:r w:rsidRPr="000641C5">
        <w:rPr>
          <w:rFonts w:asciiTheme="majorBidi" w:hAnsiTheme="majorBidi" w:cstheme="majorBidi"/>
          <w:lang w:val="en-GB"/>
        </w:rPr>
        <w:t>marking</w:t>
      </w:r>
      <w:proofErr w:type="gramEnd"/>
      <w:r w:rsidRPr="000641C5">
        <w:rPr>
          <w:rFonts w:asciiTheme="majorBidi" w:hAnsiTheme="majorBidi" w:cstheme="majorBidi"/>
          <w:lang w:val="en-GB"/>
        </w:rPr>
        <w:t xml:space="preserve"> and other markings as defined in 3.3.4.2. to 3.3.4.6.”</w:t>
      </w:r>
    </w:p>
    <w:p w14:paraId="63619FF8" w14:textId="167D227F" w:rsidR="000641C5" w:rsidRPr="000641C5" w:rsidRDefault="000E5C16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i/>
          <w:iCs/>
          <w:lang w:val="en-GB"/>
        </w:rPr>
        <w:t>Paragraph</w:t>
      </w:r>
      <w:r w:rsidR="000641C5" w:rsidRPr="00A05F30">
        <w:rPr>
          <w:rFonts w:asciiTheme="majorBidi" w:hAnsiTheme="majorBidi" w:cstheme="majorBidi"/>
          <w:i/>
          <w:iCs/>
          <w:lang w:val="en-GB"/>
        </w:rPr>
        <w:t xml:space="preserve"> 3.3.3.1.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,</w:t>
      </w:r>
      <w:r w:rsidR="000641C5" w:rsidRPr="000641C5">
        <w:rPr>
          <w:rFonts w:asciiTheme="majorBidi" w:hAnsiTheme="majorBidi" w:cstheme="majorBidi"/>
          <w:lang w:val="en-GB"/>
        </w:rPr>
        <w:t xml:space="preserve"> </w:t>
      </w:r>
      <w:r w:rsidR="00A05F30">
        <w:rPr>
          <w:rFonts w:asciiTheme="majorBidi" w:hAnsiTheme="majorBidi" w:cstheme="majorBidi"/>
          <w:lang w:val="en-GB"/>
        </w:rPr>
        <w:t>a</w:t>
      </w:r>
      <w:r w:rsidR="000641C5" w:rsidRPr="000641C5">
        <w:rPr>
          <w:rFonts w:asciiTheme="majorBidi" w:hAnsiTheme="majorBidi" w:cstheme="majorBidi"/>
          <w:lang w:val="en-GB"/>
        </w:rPr>
        <w:t>mend to read</w:t>
      </w:r>
      <w:r w:rsidR="00A05F30">
        <w:rPr>
          <w:rFonts w:asciiTheme="majorBidi" w:hAnsiTheme="majorBidi" w:cstheme="majorBidi"/>
          <w:lang w:val="en-GB"/>
        </w:rPr>
        <w:t>:</w:t>
      </w:r>
    </w:p>
    <w:p w14:paraId="3342C8CF" w14:textId="11CBAE2C" w:rsidR="000641C5" w:rsidRPr="000641C5" w:rsidRDefault="000641C5" w:rsidP="000641C5">
      <w:pPr>
        <w:pStyle w:val="para0"/>
        <w:rPr>
          <w:rFonts w:asciiTheme="majorBidi" w:hAnsiTheme="majorBidi" w:cstheme="majorBidi"/>
          <w:lang w:val="en-GB"/>
        </w:rPr>
      </w:pPr>
      <w:r w:rsidRPr="000641C5">
        <w:rPr>
          <w:rFonts w:asciiTheme="majorBidi" w:hAnsiTheme="majorBidi" w:cstheme="majorBidi"/>
          <w:lang w:val="en-GB"/>
        </w:rPr>
        <w:t>“</w:t>
      </w:r>
      <w:r w:rsidR="00A05F30">
        <w:rPr>
          <w:rFonts w:asciiTheme="majorBidi" w:hAnsiTheme="majorBidi" w:cstheme="majorBidi"/>
          <w:lang w:val="en-GB"/>
        </w:rPr>
        <w:t>3.3.3.1.</w:t>
      </w:r>
      <w:r w:rsidR="00A05F30">
        <w:rPr>
          <w:rFonts w:asciiTheme="majorBidi" w:hAnsiTheme="majorBidi" w:cstheme="majorBidi"/>
          <w:lang w:val="en-GB"/>
        </w:rPr>
        <w:tab/>
      </w:r>
      <w:r w:rsidRPr="000641C5">
        <w:rPr>
          <w:rFonts w:asciiTheme="majorBidi" w:hAnsiTheme="majorBidi" w:cstheme="majorBidi"/>
          <w:lang w:val="en-GB"/>
        </w:rPr>
        <w:t xml:space="preserve">The approval marking as defined in paragraph 3.3.2., </w:t>
      </w:r>
      <w:r w:rsidRPr="00A05F30">
        <w:rPr>
          <w:rFonts w:asciiTheme="majorBidi" w:hAnsiTheme="majorBidi" w:cstheme="majorBidi"/>
          <w:b/>
          <w:bCs/>
          <w:lang w:val="en-GB"/>
        </w:rPr>
        <w:t>with the exception of 3.3.2.3. and 3.3.2.5</w:t>
      </w:r>
      <w:r w:rsidR="00B643CE">
        <w:rPr>
          <w:rFonts w:asciiTheme="majorBidi" w:hAnsiTheme="majorBidi" w:cstheme="majorBidi"/>
          <w:b/>
          <w:bCs/>
          <w:lang w:val="en-GB"/>
        </w:rPr>
        <w:t>.</w:t>
      </w:r>
      <w:r w:rsidRPr="00A05F30">
        <w:rPr>
          <w:rFonts w:asciiTheme="majorBidi" w:hAnsiTheme="majorBidi" w:cstheme="majorBidi"/>
          <w:b/>
          <w:bCs/>
          <w:lang w:val="en-GB"/>
        </w:rPr>
        <w:t>,</w:t>
      </w:r>
      <w:r w:rsidRPr="000641C5">
        <w:rPr>
          <w:rFonts w:asciiTheme="majorBidi" w:hAnsiTheme="majorBidi" w:cstheme="majorBidi"/>
          <w:lang w:val="en-GB"/>
        </w:rPr>
        <w:t xml:space="preserve"> may be replaced by ...”</w:t>
      </w:r>
    </w:p>
    <w:p w14:paraId="241E6D44" w14:textId="722C1761" w:rsidR="000641C5" w:rsidRPr="000641C5" w:rsidRDefault="000E5C16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i/>
          <w:iCs/>
          <w:lang w:val="en-GB"/>
        </w:rPr>
        <w:t>Paragraph</w:t>
      </w:r>
      <w:r w:rsidR="000641C5" w:rsidRPr="00A05F30">
        <w:rPr>
          <w:rFonts w:asciiTheme="majorBidi" w:hAnsiTheme="majorBidi" w:cstheme="majorBidi"/>
          <w:i/>
          <w:iCs/>
          <w:lang w:val="en-GB"/>
        </w:rPr>
        <w:t xml:space="preserve"> 3.3.4.1.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,</w:t>
      </w:r>
      <w:r w:rsidR="00A05F30">
        <w:rPr>
          <w:rFonts w:asciiTheme="majorBidi" w:hAnsiTheme="majorBidi" w:cstheme="majorBidi"/>
          <w:lang w:val="en-GB"/>
        </w:rPr>
        <w:t xml:space="preserve"> a</w:t>
      </w:r>
      <w:r w:rsidR="000641C5" w:rsidRPr="000641C5">
        <w:rPr>
          <w:rFonts w:asciiTheme="majorBidi" w:hAnsiTheme="majorBidi" w:cstheme="majorBidi"/>
          <w:lang w:val="en-GB"/>
        </w:rPr>
        <w:t>mend to read</w:t>
      </w:r>
      <w:r w:rsidR="00A05F30">
        <w:rPr>
          <w:rFonts w:asciiTheme="majorBidi" w:hAnsiTheme="majorBidi" w:cstheme="majorBidi"/>
          <w:lang w:val="en-GB"/>
        </w:rPr>
        <w:t>:</w:t>
      </w:r>
    </w:p>
    <w:p w14:paraId="3E5288CB" w14:textId="1E7EBFD1" w:rsidR="000641C5" w:rsidRPr="000641C5" w:rsidRDefault="000641C5" w:rsidP="000641C5">
      <w:pPr>
        <w:pStyle w:val="para0"/>
        <w:rPr>
          <w:rFonts w:asciiTheme="majorBidi" w:hAnsiTheme="majorBidi" w:cstheme="majorBidi"/>
          <w:lang w:val="en-GB"/>
        </w:rPr>
      </w:pPr>
      <w:r w:rsidRPr="000641C5">
        <w:rPr>
          <w:rFonts w:asciiTheme="majorBidi" w:hAnsiTheme="majorBidi" w:cstheme="majorBidi"/>
          <w:lang w:val="en-GB"/>
        </w:rPr>
        <w:t>“</w:t>
      </w:r>
      <w:r w:rsidR="00A05F30">
        <w:rPr>
          <w:rFonts w:asciiTheme="majorBidi" w:hAnsiTheme="majorBidi" w:cstheme="majorBidi"/>
          <w:lang w:val="en-GB"/>
        </w:rPr>
        <w:t>3.3.4.1.</w:t>
      </w:r>
      <w:r w:rsidR="00A05F30">
        <w:rPr>
          <w:rFonts w:asciiTheme="majorBidi" w:hAnsiTheme="majorBidi" w:cstheme="majorBidi"/>
          <w:lang w:val="en-GB"/>
        </w:rPr>
        <w:tab/>
      </w:r>
      <w:r w:rsidRPr="000641C5">
        <w:rPr>
          <w:rFonts w:asciiTheme="majorBidi" w:hAnsiTheme="majorBidi" w:cstheme="majorBidi"/>
          <w:lang w:val="en-GB"/>
        </w:rPr>
        <w:t xml:space="preserve">Lamps shall bear the approval marking or the Unique </w:t>
      </w:r>
      <w:r w:rsidR="00A05F30">
        <w:rPr>
          <w:rFonts w:asciiTheme="majorBidi" w:hAnsiTheme="majorBidi" w:cstheme="majorBidi"/>
          <w:lang w:val="en-GB"/>
        </w:rPr>
        <w:t>I</w:t>
      </w:r>
      <w:r w:rsidRPr="000641C5">
        <w:rPr>
          <w:rFonts w:asciiTheme="majorBidi" w:hAnsiTheme="majorBidi" w:cstheme="majorBidi"/>
          <w:lang w:val="en-GB"/>
        </w:rPr>
        <w:t xml:space="preserve">dentifier </w:t>
      </w:r>
      <w:r w:rsidRPr="00A05F30">
        <w:rPr>
          <w:rFonts w:asciiTheme="majorBidi" w:hAnsiTheme="majorBidi" w:cstheme="majorBidi"/>
          <w:b/>
          <w:bCs/>
          <w:lang w:val="en-GB"/>
        </w:rPr>
        <w:t>and the markings defined in paragraphs 3.3.2.3</w:t>
      </w:r>
      <w:r w:rsidR="00407CDA">
        <w:rPr>
          <w:rFonts w:asciiTheme="majorBidi" w:hAnsiTheme="majorBidi" w:cstheme="majorBidi"/>
          <w:b/>
          <w:bCs/>
          <w:lang w:val="en-GB"/>
        </w:rPr>
        <w:t>.</w:t>
      </w:r>
      <w:r w:rsidRPr="00A05F30">
        <w:rPr>
          <w:rFonts w:asciiTheme="majorBidi" w:hAnsiTheme="majorBidi" w:cstheme="majorBidi"/>
          <w:b/>
          <w:bCs/>
          <w:lang w:val="en-GB"/>
        </w:rPr>
        <w:t xml:space="preserve"> and 3.3.2.5.</w:t>
      </w:r>
      <w:r w:rsidRPr="000641C5">
        <w:rPr>
          <w:rFonts w:asciiTheme="majorBidi" w:hAnsiTheme="majorBidi" w:cstheme="majorBidi"/>
          <w:lang w:val="en-GB"/>
        </w:rPr>
        <w:t>”</w:t>
      </w:r>
    </w:p>
    <w:p w14:paraId="0A6B9043" w14:textId="601A774D" w:rsidR="00800F89" w:rsidRPr="006C3F53" w:rsidRDefault="00691FBA" w:rsidP="00A05F30">
      <w:pPr>
        <w:pStyle w:val="H1G"/>
        <w:ind w:hanging="425"/>
        <w:rPr>
          <w:rFonts w:eastAsia="SimSun"/>
        </w:rPr>
      </w:pPr>
      <w:r>
        <w:rPr>
          <w:rFonts w:eastAsia="SimSun"/>
        </w:rPr>
        <w:t>B</w:t>
      </w:r>
      <w:r w:rsidR="00800F89">
        <w:rPr>
          <w:rFonts w:eastAsia="SimSun"/>
        </w:rPr>
        <w:t>.</w:t>
      </w:r>
      <w:r w:rsidR="00800F89">
        <w:rPr>
          <w:rFonts w:eastAsia="SimSun"/>
        </w:rPr>
        <w:tab/>
        <w:t xml:space="preserve">Amendments to the 01 series of UN </w:t>
      </w:r>
      <w:r w:rsidR="00800F89" w:rsidRPr="006C3F53">
        <w:rPr>
          <w:rFonts w:eastAsia="SimSun"/>
        </w:rPr>
        <w:t xml:space="preserve">Regulation </w:t>
      </w:r>
      <w:r w:rsidR="00800F89">
        <w:rPr>
          <w:rFonts w:eastAsia="SimSun"/>
        </w:rPr>
        <w:t xml:space="preserve">No. </w:t>
      </w:r>
      <w:r w:rsidR="00800F89" w:rsidRPr="006C3F53">
        <w:rPr>
          <w:rFonts w:eastAsia="SimSun"/>
        </w:rPr>
        <w:t>14</w:t>
      </w:r>
      <w:r w:rsidR="00800F89">
        <w:rPr>
          <w:rFonts w:eastAsia="SimSun"/>
        </w:rPr>
        <w:t>9</w:t>
      </w:r>
      <w:r w:rsidR="00800F89" w:rsidRPr="006C3F53">
        <w:rPr>
          <w:rFonts w:eastAsia="SimSun"/>
        </w:rPr>
        <w:t xml:space="preserve"> </w:t>
      </w:r>
      <w:r w:rsidR="00800F89">
        <w:rPr>
          <w:rFonts w:eastAsia="SimSun"/>
        </w:rPr>
        <w:t>(E</w:t>
      </w:r>
      <w:r w:rsidR="00800F89" w:rsidRPr="006C3F53">
        <w:rPr>
          <w:rFonts w:eastAsia="SimSun"/>
        </w:rPr>
        <w:t>CE/TRANS/WP.29/2022/9</w:t>
      </w:r>
      <w:r>
        <w:rPr>
          <w:rFonts w:eastAsia="SimSun"/>
        </w:rPr>
        <w:t>3</w:t>
      </w:r>
      <w:r w:rsidR="00800F89">
        <w:rPr>
          <w:rFonts w:eastAsia="SimSun"/>
        </w:rPr>
        <w:t>)</w:t>
      </w:r>
    </w:p>
    <w:p w14:paraId="53B42CED" w14:textId="7C3EAE4A" w:rsidR="000641C5" w:rsidRPr="000641C5" w:rsidRDefault="000E5C16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i/>
          <w:iCs/>
          <w:lang w:val="en-GB"/>
        </w:rPr>
        <w:t>Paragraph</w:t>
      </w:r>
      <w:r w:rsidR="000641C5" w:rsidRPr="00A05F30">
        <w:rPr>
          <w:rFonts w:asciiTheme="majorBidi" w:hAnsiTheme="majorBidi" w:cstheme="majorBidi"/>
          <w:i/>
          <w:iCs/>
          <w:lang w:val="en-GB"/>
        </w:rPr>
        <w:t xml:space="preserve"> 3.3.1.1.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,</w:t>
      </w:r>
      <w:r w:rsidR="000641C5" w:rsidRPr="000641C5">
        <w:rPr>
          <w:rFonts w:asciiTheme="majorBidi" w:hAnsiTheme="majorBidi" w:cstheme="majorBidi"/>
          <w:lang w:val="en-GB"/>
        </w:rPr>
        <w:t xml:space="preserve"> </w:t>
      </w:r>
      <w:r w:rsidR="00A05F30">
        <w:rPr>
          <w:rFonts w:asciiTheme="majorBidi" w:hAnsiTheme="majorBidi" w:cstheme="majorBidi"/>
          <w:lang w:val="en-GB"/>
        </w:rPr>
        <w:t>a</w:t>
      </w:r>
      <w:r w:rsidR="000641C5" w:rsidRPr="000641C5">
        <w:rPr>
          <w:rFonts w:asciiTheme="majorBidi" w:hAnsiTheme="majorBidi" w:cstheme="majorBidi"/>
          <w:lang w:val="en-GB"/>
        </w:rPr>
        <w:t>mend to read</w:t>
      </w:r>
      <w:r w:rsidR="00A05F30">
        <w:rPr>
          <w:rFonts w:asciiTheme="majorBidi" w:hAnsiTheme="majorBidi" w:cstheme="majorBidi"/>
          <w:lang w:val="en-GB"/>
        </w:rPr>
        <w:t>:</w:t>
      </w:r>
    </w:p>
    <w:p w14:paraId="422C6972" w14:textId="3442F0ED" w:rsidR="000641C5" w:rsidRPr="000641C5" w:rsidRDefault="000641C5" w:rsidP="000641C5">
      <w:pPr>
        <w:pStyle w:val="para0"/>
        <w:rPr>
          <w:rFonts w:asciiTheme="majorBidi" w:hAnsiTheme="majorBidi" w:cstheme="majorBidi"/>
          <w:lang w:val="en-GB"/>
        </w:rPr>
      </w:pPr>
      <w:r w:rsidRPr="000641C5">
        <w:rPr>
          <w:rFonts w:asciiTheme="majorBidi" w:hAnsiTheme="majorBidi" w:cstheme="majorBidi"/>
          <w:lang w:val="en-GB"/>
        </w:rPr>
        <w:t>“</w:t>
      </w:r>
      <w:r w:rsidR="00A05F30">
        <w:rPr>
          <w:rFonts w:asciiTheme="majorBidi" w:hAnsiTheme="majorBidi" w:cstheme="majorBidi"/>
          <w:lang w:val="en-GB"/>
        </w:rPr>
        <w:t>3.3.1.1.</w:t>
      </w:r>
      <w:r w:rsidR="00A05F30">
        <w:rPr>
          <w:rFonts w:asciiTheme="majorBidi" w:hAnsiTheme="majorBidi" w:cstheme="majorBidi"/>
          <w:lang w:val="en-GB"/>
        </w:rPr>
        <w:tab/>
      </w:r>
      <w:r w:rsidRPr="000641C5">
        <w:rPr>
          <w:rFonts w:asciiTheme="majorBidi" w:hAnsiTheme="majorBidi" w:cstheme="majorBidi"/>
          <w:lang w:val="en-GB"/>
        </w:rPr>
        <w:t>Every device belonging to an approved type shall comprise a space of sufficient size for the Unique Identifier as referred to in the 1958 Agreement and other markings as defined in paragraph</w:t>
      </w:r>
      <w:r w:rsidRPr="0095643F">
        <w:rPr>
          <w:rFonts w:asciiTheme="majorBidi" w:hAnsiTheme="majorBidi" w:cstheme="majorBidi"/>
          <w:b/>
          <w:bCs/>
          <w:lang w:val="en-GB"/>
        </w:rPr>
        <w:t>s</w:t>
      </w:r>
      <w:r w:rsidRPr="000641C5">
        <w:rPr>
          <w:rFonts w:asciiTheme="majorBidi" w:hAnsiTheme="majorBidi" w:cstheme="majorBidi"/>
          <w:lang w:val="en-GB"/>
        </w:rPr>
        <w:t xml:space="preserve"> </w:t>
      </w:r>
      <w:r w:rsidRPr="00A05F30">
        <w:rPr>
          <w:rFonts w:asciiTheme="majorBidi" w:hAnsiTheme="majorBidi" w:cstheme="majorBidi"/>
          <w:b/>
          <w:bCs/>
          <w:lang w:val="en-GB"/>
        </w:rPr>
        <w:t>3.3.2.4.</w:t>
      </w:r>
      <w:r w:rsidRPr="000641C5">
        <w:rPr>
          <w:rFonts w:asciiTheme="majorBidi" w:hAnsiTheme="majorBidi" w:cstheme="majorBidi"/>
          <w:lang w:val="en-GB"/>
        </w:rPr>
        <w:t xml:space="preserve"> and 3.3.4. or the approval </w:t>
      </w:r>
      <w:proofErr w:type="gramStart"/>
      <w:r w:rsidRPr="000641C5">
        <w:rPr>
          <w:rFonts w:asciiTheme="majorBidi" w:hAnsiTheme="majorBidi" w:cstheme="majorBidi"/>
          <w:lang w:val="en-GB"/>
        </w:rPr>
        <w:t>marking</w:t>
      </w:r>
      <w:proofErr w:type="gramEnd"/>
      <w:r w:rsidRPr="000641C5">
        <w:rPr>
          <w:rFonts w:asciiTheme="majorBidi" w:hAnsiTheme="majorBidi" w:cstheme="majorBidi"/>
          <w:lang w:val="en-GB"/>
        </w:rPr>
        <w:t xml:space="preserve"> and other markings as defined in paragraph 3.3.4.”</w:t>
      </w:r>
    </w:p>
    <w:p w14:paraId="3CD62317" w14:textId="6A30B4DA" w:rsidR="000641C5" w:rsidRPr="000641C5" w:rsidRDefault="000E5C16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i/>
          <w:iCs/>
          <w:lang w:val="en-GB"/>
        </w:rPr>
        <w:t>Paragraph</w:t>
      </w:r>
      <w:r w:rsidR="000641C5" w:rsidRPr="00A05F30">
        <w:rPr>
          <w:rFonts w:asciiTheme="majorBidi" w:hAnsiTheme="majorBidi" w:cstheme="majorBidi"/>
          <w:i/>
          <w:iCs/>
          <w:lang w:val="en-GB"/>
        </w:rPr>
        <w:t xml:space="preserve"> 3.3.3.1.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,</w:t>
      </w:r>
      <w:r w:rsidR="000641C5" w:rsidRPr="000641C5">
        <w:rPr>
          <w:rFonts w:asciiTheme="majorBidi" w:hAnsiTheme="majorBidi" w:cstheme="majorBidi"/>
          <w:lang w:val="en-GB"/>
        </w:rPr>
        <w:t xml:space="preserve"> </w:t>
      </w:r>
      <w:r w:rsidR="00A05F30">
        <w:rPr>
          <w:rFonts w:asciiTheme="majorBidi" w:hAnsiTheme="majorBidi" w:cstheme="majorBidi"/>
          <w:lang w:val="en-GB"/>
        </w:rPr>
        <w:t>a</w:t>
      </w:r>
      <w:r w:rsidR="000641C5" w:rsidRPr="000641C5">
        <w:rPr>
          <w:rFonts w:asciiTheme="majorBidi" w:hAnsiTheme="majorBidi" w:cstheme="majorBidi"/>
          <w:lang w:val="en-GB"/>
        </w:rPr>
        <w:t>mend to read</w:t>
      </w:r>
      <w:r w:rsidR="00A05F30">
        <w:rPr>
          <w:rFonts w:asciiTheme="majorBidi" w:hAnsiTheme="majorBidi" w:cstheme="majorBidi"/>
          <w:lang w:val="en-GB"/>
        </w:rPr>
        <w:t>:</w:t>
      </w:r>
    </w:p>
    <w:p w14:paraId="7E0CF9AD" w14:textId="77916664" w:rsidR="000641C5" w:rsidRPr="000641C5" w:rsidRDefault="000641C5" w:rsidP="000641C5">
      <w:pPr>
        <w:pStyle w:val="para0"/>
        <w:rPr>
          <w:rFonts w:asciiTheme="majorBidi" w:hAnsiTheme="majorBidi" w:cstheme="majorBidi"/>
          <w:lang w:val="en-GB"/>
        </w:rPr>
      </w:pPr>
      <w:r w:rsidRPr="000641C5">
        <w:rPr>
          <w:rFonts w:asciiTheme="majorBidi" w:hAnsiTheme="majorBidi" w:cstheme="majorBidi"/>
          <w:lang w:val="en-GB"/>
        </w:rPr>
        <w:t>“</w:t>
      </w:r>
      <w:r w:rsidR="00A05F30">
        <w:rPr>
          <w:rFonts w:asciiTheme="majorBidi" w:hAnsiTheme="majorBidi" w:cstheme="majorBidi"/>
          <w:lang w:val="en-GB"/>
        </w:rPr>
        <w:t>3.3.3.1.</w:t>
      </w:r>
      <w:r w:rsidR="00A05F30">
        <w:rPr>
          <w:rFonts w:asciiTheme="majorBidi" w:hAnsiTheme="majorBidi" w:cstheme="majorBidi"/>
          <w:lang w:val="en-GB"/>
        </w:rPr>
        <w:tab/>
      </w:r>
      <w:r w:rsidRPr="000641C5">
        <w:rPr>
          <w:rFonts w:asciiTheme="majorBidi" w:hAnsiTheme="majorBidi" w:cstheme="majorBidi"/>
          <w:lang w:val="en-GB"/>
        </w:rPr>
        <w:t xml:space="preserve">The approval marking as defined in paragraph 3.3.2., </w:t>
      </w:r>
      <w:r w:rsidRPr="00A05F30">
        <w:rPr>
          <w:rFonts w:asciiTheme="majorBidi" w:hAnsiTheme="majorBidi" w:cstheme="majorBidi"/>
          <w:b/>
          <w:bCs/>
          <w:lang w:val="en-GB"/>
        </w:rPr>
        <w:t>with the exception of 3.3.2.4.,</w:t>
      </w:r>
      <w:r w:rsidRPr="000641C5">
        <w:rPr>
          <w:rFonts w:asciiTheme="majorBidi" w:hAnsiTheme="majorBidi" w:cstheme="majorBidi"/>
          <w:lang w:val="en-GB"/>
        </w:rPr>
        <w:t xml:space="preserve"> may be replaced by ...”</w:t>
      </w:r>
    </w:p>
    <w:p w14:paraId="52D35742" w14:textId="086D0142" w:rsidR="000641C5" w:rsidRPr="000641C5" w:rsidRDefault="000E5C16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i/>
          <w:iCs/>
          <w:lang w:val="en-GB"/>
        </w:rPr>
        <w:t>Paragraph</w:t>
      </w:r>
      <w:r w:rsidR="000641C5" w:rsidRPr="00A05F30">
        <w:rPr>
          <w:rFonts w:asciiTheme="majorBidi" w:hAnsiTheme="majorBidi" w:cstheme="majorBidi"/>
          <w:i/>
          <w:iCs/>
          <w:lang w:val="en-GB"/>
        </w:rPr>
        <w:t xml:space="preserve"> 3.3.4.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,</w:t>
      </w:r>
      <w:r w:rsidR="00A05F30">
        <w:rPr>
          <w:rFonts w:asciiTheme="majorBidi" w:hAnsiTheme="majorBidi" w:cstheme="majorBidi"/>
          <w:lang w:val="en-GB"/>
        </w:rPr>
        <w:t xml:space="preserve"> a</w:t>
      </w:r>
      <w:r w:rsidR="000641C5" w:rsidRPr="000641C5">
        <w:rPr>
          <w:rFonts w:asciiTheme="majorBidi" w:hAnsiTheme="majorBidi" w:cstheme="majorBidi"/>
          <w:lang w:val="en-GB"/>
        </w:rPr>
        <w:t>mend to read</w:t>
      </w:r>
      <w:r w:rsidR="00A05F30">
        <w:rPr>
          <w:rFonts w:asciiTheme="majorBidi" w:hAnsiTheme="majorBidi" w:cstheme="majorBidi"/>
          <w:lang w:val="en-GB"/>
        </w:rPr>
        <w:t>:</w:t>
      </w:r>
    </w:p>
    <w:p w14:paraId="10C77118" w14:textId="0EE41EAE" w:rsidR="000641C5" w:rsidRPr="000641C5" w:rsidRDefault="000641C5" w:rsidP="000641C5">
      <w:pPr>
        <w:pStyle w:val="para0"/>
        <w:rPr>
          <w:rFonts w:asciiTheme="majorBidi" w:hAnsiTheme="majorBidi" w:cstheme="majorBidi"/>
          <w:lang w:val="en-GB"/>
        </w:rPr>
      </w:pPr>
      <w:r w:rsidRPr="000641C5">
        <w:rPr>
          <w:rFonts w:asciiTheme="majorBidi" w:hAnsiTheme="majorBidi" w:cstheme="majorBidi"/>
          <w:lang w:val="en-GB"/>
        </w:rPr>
        <w:t>“</w:t>
      </w:r>
      <w:r w:rsidR="00A05F30">
        <w:rPr>
          <w:rFonts w:asciiTheme="majorBidi" w:hAnsiTheme="majorBidi" w:cstheme="majorBidi"/>
          <w:lang w:val="en-GB"/>
        </w:rPr>
        <w:t>3.3.4.</w:t>
      </w:r>
      <w:r w:rsidR="00A05F30">
        <w:rPr>
          <w:rFonts w:asciiTheme="majorBidi" w:hAnsiTheme="majorBidi" w:cstheme="majorBidi"/>
          <w:lang w:val="en-GB"/>
        </w:rPr>
        <w:tab/>
      </w:r>
      <w:r w:rsidRPr="000641C5">
        <w:rPr>
          <w:rFonts w:asciiTheme="majorBidi" w:hAnsiTheme="majorBidi" w:cstheme="majorBidi"/>
          <w:lang w:val="en-GB"/>
        </w:rPr>
        <w:t xml:space="preserve">Marking requirements </w:t>
      </w:r>
    </w:p>
    <w:p w14:paraId="4E4A71B2" w14:textId="6079A1D2" w:rsidR="000641C5" w:rsidRPr="000641C5" w:rsidRDefault="00A05F30" w:rsidP="000641C5">
      <w:pPr>
        <w:pStyle w:val="para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ab/>
      </w:r>
      <w:r w:rsidR="000641C5" w:rsidRPr="000641C5">
        <w:rPr>
          <w:rFonts w:asciiTheme="majorBidi" w:hAnsiTheme="majorBidi" w:cstheme="majorBidi"/>
          <w:lang w:val="en-GB"/>
        </w:rPr>
        <w:t xml:space="preserve">Road illumination functions or systems shall bear the approval marking or the Unique Identifier, </w:t>
      </w:r>
      <w:r w:rsidR="000641C5" w:rsidRPr="00A05F30">
        <w:rPr>
          <w:rFonts w:asciiTheme="majorBidi" w:hAnsiTheme="majorBidi" w:cstheme="majorBidi"/>
          <w:b/>
          <w:bCs/>
          <w:lang w:val="en-GB"/>
        </w:rPr>
        <w:t>the marking described in 3.3.2.4.,</w:t>
      </w:r>
      <w:r w:rsidR="000641C5" w:rsidRPr="000641C5">
        <w:rPr>
          <w:rFonts w:asciiTheme="majorBidi" w:hAnsiTheme="majorBidi" w:cstheme="majorBidi"/>
          <w:lang w:val="en-GB"/>
        </w:rPr>
        <w:t xml:space="preserve"> the trade name or mark of the applicant and the following markings:</w:t>
      </w:r>
    </w:p>
    <w:p w14:paraId="06007BE3" w14:textId="30E189C7" w:rsidR="000641C5" w:rsidRPr="000641C5" w:rsidRDefault="00A05F30" w:rsidP="00A05F30">
      <w:pPr>
        <w:pStyle w:val="para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ab/>
      </w:r>
      <w:r w:rsidR="000641C5" w:rsidRPr="000641C5">
        <w:rPr>
          <w:rFonts w:asciiTheme="majorBidi" w:hAnsiTheme="majorBidi" w:cstheme="majorBidi"/>
          <w:lang w:val="en-GB"/>
        </w:rPr>
        <w:t>...”</w:t>
      </w:r>
    </w:p>
    <w:p w14:paraId="725FBA88" w14:textId="12C18256" w:rsidR="00691FBA" w:rsidRPr="006C3F53" w:rsidRDefault="00691FBA" w:rsidP="00A05F30">
      <w:pPr>
        <w:pStyle w:val="H1G"/>
        <w:ind w:hanging="425"/>
        <w:rPr>
          <w:rFonts w:eastAsia="SimSun"/>
        </w:rPr>
      </w:pPr>
      <w:r>
        <w:rPr>
          <w:rFonts w:eastAsia="SimSun"/>
        </w:rPr>
        <w:t>C.</w:t>
      </w:r>
      <w:r>
        <w:rPr>
          <w:rFonts w:eastAsia="SimSun"/>
        </w:rPr>
        <w:tab/>
        <w:t xml:space="preserve">Amendments to the 01 series of UN </w:t>
      </w:r>
      <w:r w:rsidRPr="006C3F53">
        <w:rPr>
          <w:rFonts w:eastAsia="SimSun"/>
        </w:rPr>
        <w:t xml:space="preserve">Regulation </w:t>
      </w:r>
      <w:r>
        <w:rPr>
          <w:rFonts w:eastAsia="SimSun"/>
        </w:rPr>
        <w:t xml:space="preserve">No. </w:t>
      </w:r>
      <w:r w:rsidRPr="006C3F53">
        <w:rPr>
          <w:rFonts w:eastAsia="SimSun"/>
        </w:rPr>
        <w:t>1</w:t>
      </w:r>
      <w:r>
        <w:rPr>
          <w:rFonts w:eastAsia="SimSun"/>
        </w:rPr>
        <w:t>50</w:t>
      </w:r>
      <w:r w:rsidRPr="006C3F53">
        <w:rPr>
          <w:rFonts w:eastAsia="SimSun"/>
        </w:rPr>
        <w:t xml:space="preserve"> </w:t>
      </w:r>
      <w:r>
        <w:rPr>
          <w:rFonts w:eastAsia="SimSun"/>
        </w:rPr>
        <w:t>(E</w:t>
      </w:r>
      <w:r w:rsidRPr="006C3F53">
        <w:rPr>
          <w:rFonts w:eastAsia="SimSun"/>
        </w:rPr>
        <w:t>CE/TRANS/WP.29/2022/9</w:t>
      </w:r>
      <w:r>
        <w:rPr>
          <w:rFonts w:eastAsia="SimSun"/>
        </w:rPr>
        <w:t>4)</w:t>
      </w:r>
    </w:p>
    <w:p w14:paraId="3395CE5D" w14:textId="278D0EF1" w:rsidR="000641C5" w:rsidRPr="000641C5" w:rsidRDefault="000E5C16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i/>
          <w:iCs/>
          <w:lang w:val="en-GB"/>
        </w:rPr>
        <w:t>Paragraph</w:t>
      </w:r>
      <w:r w:rsidR="000641C5" w:rsidRPr="00A05F30">
        <w:rPr>
          <w:rFonts w:asciiTheme="majorBidi" w:hAnsiTheme="majorBidi" w:cstheme="majorBidi"/>
          <w:i/>
          <w:iCs/>
          <w:lang w:val="en-GB"/>
        </w:rPr>
        <w:t xml:space="preserve"> 3.3.1.1.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,</w:t>
      </w:r>
      <w:r w:rsidR="000641C5" w:rsidRPr="000641C5">
        <w:rPr>
          <w:rFonts w:asciiTheme="majorBidi" w:hAnsiTheme="majorBidi" w:cstheme="majorBidi"/>
          <w:lang w:val="en-GB"/>
        </w:rPr>
        <w:t xml:space="preserve"> </w:t>
      </w:r>
      <w:r w:rsidR="00A05F30">
        <w:rPr>
          <w:rFonts w:asciiTheme="majorBidi" w:hAnsiTheme="majorBidi" w:cstheme="majorBidi"/>
          <w:lang w:val="en-GB"/>
        </w:rPr>
        <w:t>a</w:t>
      </w:r>
      <w:r w:rsidR="000641C5" w:rsidRPr="000641C5">
        <w:rPr>
          <w:rFonts w:asciiTheme="majorBidi" w:hAnsiTheme="majorBidi" w:cstheme="majorBidi"/>
          <w:lang w:val="en-GB"/>
        </w:rPr>
        <w:t>mend to read</w:t>
      </w:r>
      <w:r w:rsidR="00A05F30">
        <w:rPr>
          <w:rFonts w:asciiTheme="majorBidi" w:hAnsiTheme="majorBidi" w:cstheme="majorBidi"/>
          <w:lang w:val="en-GB"/>
        </w:rPr>
        <w:t xml:space="preserve">: </w:t>
      </w:r>
    </w:p>
    <w:p w14:paraId="151A94C3" w14:textId="1469DAC1" w:rsidR="000641C5" w:rsidRPr="000641C5" w:rsidRDefault="000641C5" w:rsidP="000641C5">
      <w:pPr>
        <w:pStyle w:val="para0"/>
        <w:rPr>
          <w:rFonts w:asciiTheme="majorBidi" w:hAnsiTheme="majorBidi" w:cstheme="majorBidi"/>
          <w:lang w:val="en-GB"/>
        </w:rPr>
      </w:pPr>
      <w:r w:rsidRPr="000641C5">
        <w:rPr>
          <w:rFonts w:asciiTheme="majorBidi" w:hAnsiTheme="majorBidi" w:cstheme="majorBidi"/>
          <w:lang w:val="en-GB"/>
        </w:rPr>
        <w:t>“</w:t>
      </w:r>
      <w:r w:rsidR="00A05F30" w:rsidRPr="00A05F30">
        <w:rPr>
          <w:rFonts w:asciiTheme="majorBidi" w:hAnsiTheme="majorBidi" w:cstheme="majorBidi"/>
          <w:lang w:val="en-GB"/>
        </w:rPr>
        <w:t>3.3.1.1.</w:t>
      </w:r>
      <w:r w:rsidRPr="000641C5">
        <w:rPr>
          <w:rFonts w:asciiTheme="majorBidi" w:hAnsiTheme="majorBidi" w:cstheme="majorBidi"/>
          <w:lang w:val="en-GB"/>
        </w:rPr>
        <w:t xml:space="preserve"> </w:t>
      </w:r>
      <w:r w:rsidR="00A05F30">
        <w:rPr>
          <w:rFonts w:asciiTheme="majorBidi" w:hAnsiTheme="majorBidi" w:cstheme="majorBidi"/>
          <w:lang w:val="en-GB"/>
        </w:rPr>
        <w:tab/>
      </w:r>
      <w:r w:rsidRPr="000641C5">
        <w:rPr>
          <w:rFonts w:asciiTheme="majorBidi" w:hAnsiTheme="majorBidi" w:cstheme="majorBidi"/>
          <w:lang w:val="en-GB"/>
        </w:rPr>
        <w:t>Every device belonging to an approved type shall comprise a space of sufficient size for the Unique Identifier as referred to in the 1958 Agreement and other markings as defined in paragraph</w:t>
      </w:r>
      <w:r w:rsidRPr="0095643F">
        <w:rPr>
          <w:rFonts w:asciiTheme="majorBidi" w:hAnsiTheme="majorBidi" w:cstheme="majorBidi"/>
          <w:b/>
          <w:bCs/>
          <w:lang w:val="en-GB"/>
        </w:rPr>
        <w:t>s</w:t>
      </w:r>
      <w:r w:rsidRPr="000641C5">
        <w:rPr>
          <w:rFonts w:asciiTheme="majorBidi" w:hAnsiTheme="majorBidi" w:cstheme="majorBidi"/>
          <w:lang w:val="en-GB"/>
        </w:rPr>
        <w:t xml:space="preserve"> </w:t>
      </w:r>
      <w:r w:rsidRPr="0095643F">
        <w:rPr>
          <w:rFonts w:asciiTheme="majorBidi" w:hAnsiTheme="majorBidi" w:cstheme="majorBidi"/>
          <w:b/>
          <w:bCs/>
          <w:lang w:val="en-GB"/>
        </w:rPr>
        <w:t>3.3.2.3. and</w:t>
      </w:r>
      <w:r w:rsidRPr="000641C5">
        <w:rPr>
          <w:rFonts w:asciiTheme="majorBidi" w:hAnsiTheme="majorBidi" w:cstheme="majorBidi"/>
          <w:lang w:val="en-GB"/>
        </w:rPr>
        <w:t xml:space="preserve"> 3.3.4.2. </w:t>
      </w:r>
      <w:proofErr w:type="gramStart"/>
      <w:r w:rsidRPr="000641C5">
        <w:rPr>
          <w:rFonts w:asciiTheme="majorBidi" w:hAnsiTheme="majorBidi" w:cstheme="majorBidi"/>
          <w:lang w:val="en-GB"/>
        </w:rPr>
        <w:t>or,</w:t>
      </w:r>
      <w:proofErr w:type="gramEnd"/>
      <w:r w:rsidRPr="000641C5">
        <w:rPr>
          <w:rFonts w:asciiTheme="majorBidi" w:hAnsiTheme="majorBidi" w:cstheme="majorBidi"/>
          <w:lang w:val="en-GB"/>
        </w:rPr>
        <w:t xml:space="preserve"> the approval marking and other markings as defined in paragraph 3.3.4.2.”</w:t>
      </w:r>
    </w:p>
    <w:p w14:paraId="37C9C18D" w14:textId="3C8505A1" w:rsidR="000641C5" w:rsidRPr="000641C5" w:rsidRDefault="000E5C16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i/>
          <w:iCs/>
          <w:lang w:val="en-GB"/>
        </w:rPr>
        <w:t>Paragraph</w:t>
      </w:r>
      <w:r w:rsidR="000641C5" w:rsidRPr="00A05F30">
        <w:rPr>
          <w:rFonts w:asciiTheme="majorBidi" w:hAnsiTheme="majorBidi" w:cstheme="majorBidi"/>
          <w:i/>
          <w:iCs/>
          <w:lang w:val="en-GB"/>
        </w:rPr>
        <w:t xml:space="preserve"> 3.3.3.1.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,</w:t>
      </w:r>
      <w:r w:rsidR="00A05F30">
        <w:rPr>
          <w:rFonts w:asciiTheme="majorBidi" w:hAnsiTheme="majorBidi" w:cstheme="majorBidi"/>
          <w:lang w:val="en-GB"/>
        </w:rPr>
        <w:t xml:space="preserve"> a</w:t>
      </w:r>
      <w:r w:rsidR="000641C5" w:rsidRPr="000641C5">
        <w:rPr>
          <w:rFonts w:asciiTheme="majorBidi" w:hAnsiTheme="majorBidi" w:cstheme="majorBidi"/>
          <w:lang w:val="en-GB"/>
        </w:rPr>
        <w:t>mend to read</w:t>
      </w:r>
      <w:r w:rsidR="00A05F30">
        <w:rPr>
          <w:rFonts w:asciiTheme="majorBidi" w:hAnsiTheme="majorBidi" w:cstheme="majorBidi"/>
          <w:lang w:val="en-GB"/>
        </w:rPr>
        <w:t>:</w:t>
      </w:r>
    </w:p>
    <w:p w14:paraId="5213075A" w14:textId="26A28343" w:rsidR="000641C5" w:rsidRPr="000641C5" w:rsidRDefault="000641C5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lang w:val="en-GB"/>
        </w:rPr>
        <w:t>“</w:t>
      </w:r>
      <w:r w:rsidR="00A05F30" w:rsidRPr="00A05F30">
        <w:rPr>
          <w:rFonts w:asciiTheme="majorBidi" w:hAnsiTheme="majorBidi" w:cstheme="majorBidi"/>
          <w:lang w:val="en-GB"/>
        </w:rPr>
        <w:t>3.3.3.1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.</w:t>
      </w:r>
      <w:r w:rsidR="00A05F30">
        <w:rPr>
          <w:rFonts w:asciiTheme="majorBidi" w:hAnsiTheme="majorBidi" w:cstheme="majorBidi"/>
          <w:i/>
          <w:iCs/>
          <w:lang w:val="en-GB"/>
        </w:rPr>
        <w:tab/>
      </w:r>
      <w:r w:rsidRPr="000641C5">
        <w:rPr>
          <w:rFonts w:asciiTheme="majorBidi" w:hAnsiTheme="majorBidi" w:cstheme="majorBidi"/>
          <w:lang w:val="en-GB"/>
        </w:rPr>
        <w:t xml:space="preserve">The approval marking as defined in paragraph 3.3.2., </w:t>
      </w:r>
      <w:r w:rsidRPr="0095643F">
        <w:rPr>
          <w:rFonts w:asciiTheme="majorBidi" w:hAnsiTheme="majorBidi" w:cstheme="majorBidi"/>
          <w:b/>
          <w:bCs/>
          <w:lang w:val="en-GB"/>
        </w:rPr>
        <w:t xml:space="preserve">with the exception of 3.3.2.3., </w:t>
      </w:r>
      <w:r w:rsidRPr="000641C5">
        <w:rPr>
          <w:rFonts w:asciiTheme="majorBidi" w:hAnsiTheme="majorBidi" w:cstheme="majorBidi"/>
          <w:lang w:val="en-GB"/>
        </w:rPr>
        <w:t>may be replaced by the Unique Identifier, if available...”</w:t>
      </w:r>
    </w:p>
    <w:p w14:paraId="3F0DEC53" w14:textId="64C3A94F" w:rsidR="000641C5" w:rsidRPr="000641C5" w:rsidRDefault="000E5C16" w:rsidP="000641C5">
      <w:pPr>
        <w:pStyle w:val="para0"/>
        <w:rPr>
          <w:rFonts w:asciiTheme="majorBidi" w:hAnsiTheme="majorBidi" w:cstheme="majorBidi"/>
          <w:lang w:val="en-GB"/>
        </w:rPr>
      </w:pPr>
      <w:r w:rsidRPr="00A05F30">
        <w:rPr>
          <w:rFonts w:asciiTheme="majorBidi" w:hAnsiTheme="majorBidi" w:cstheme="majorBidi"/>
          <w:i/>
          <w:iCs/>
          <w:lang w:val="en-GB"/>
        </w:rPr>
        <w:t>Paragraph</w:t>
      </w:r>
      <w:r w:rsidR="000641C5" w:rsidRPr="00A05F30">
        <w:rPr>
          <w:rFonts w:asciiTheme="majorBidi" w:hAnsiTheme="majorBidi" w:cstheme="majorBidi"/>
          <w:i/>
          <w:iCs/>
          <w:lang w:val="en-GB"/>
        </w:rPr>
        <w:t xml:space="preserve"> 3.3.4.1.</w:t>
      </w:r>
      <w:r w:rsidR="00A05F30" w:rsidRPr="00A05F30">
        <w:rPr>
          <w:rFonts w:asciiTheme="majorBidi" w:hAnsiTheme="majorBidi" w:cstheme="majorBidi"/>
          <w:i/>
          <w:iCs/>
          <w:lang w:val="en-GB"/>
        </w:rPr>
        <w:t>,</w:t>
      </w:r>
      <w:r w:rsidR="000641C5" w:rsidRPr="000641C5">
        <w:rPr>
          <w:rFonts w:asciiTheme="majorBidi" w:hAnsiTheme="majorBidi" w:cstheme="majorBidi"/>
          <w:lang w:val="en-GB"/>
        </w:rPr>
        <w:t xml:space="preserve"> </w:t>
      </w:r>
      <w:r w:rsidR="00A05F30">
        <w:rPr>
          <w:rFonts w:asciiTheme="majorBidi" w:hAnsiTheme="majorBidi" w:cstheme="majorBidi"/>
          <w:lang w:val="en-GB"/>
        </w:rPr>
        <w:t>a</w:t>
      </w:r>
      <w:r w:rsidR="000641C5" w:rsidRPr="000641C5">
        <w:rPr>
          <w:rFonts w:asciiTheme="majorBidi" w:hAnsiTheme="majorBidi" w:cstheme="majorBidi"/>
          <w:lang w:val="en-GB"/>
        </w:rPr>
        <w:t>mend to read</w:t>
      </w:r>
      <w:r w:rsidR="00A05F30">
        <w:rPr>
          <w:rFonts w:asciiTheme="majorBidi" w:hAnsiTheme="majorBidi" w:cstheme="majorBidi"/>
          <w:lang w:val="en-GB"/>
        </w:rPr>
        <w:t>:</w:t>
      </w:r>
    </w:p>
    <w:p w14:paraId="169423E1" w14:textId="618384C9" w:rsidR="000641C5" w:rsidRDefault="000641C5" w:rsidP="00A05F30">
      <w:pPr>
        <w:pStyle w:val="para0"/>
        <w:rPr>
          <w:rFonts w:asciiTheme="majorBidi" w:hAnsiTheme="majorBidi" w:cstheme="majorBidi"/>
          <w:lang w:val="en-GB"/>
        </w:rPr>
      </w:pPr>
      <w:r w:rsidRPr="000641C5">
        <w:rPr>
          <w:rFonts w:asciiTheme="majorBidi" w:hAnsiTheme="majorBidi" w:cstheme="majorBidi"/>
          <w:lang w:val="en-GB"/>
        </w:rPr>
        <w:lastRenderedPageBreak/>
        <w:t>“</w:t>
      </w:r>
      <w:r w:rsidR="00A05F30">
        <w:rPr>
          <w:rFonts w:asciiTheme="majorBidi" w:hAnsiTheme="majorBidi" w:cstheme="majorBidi"/>
          <w:lang w:val="en-GB"/>
        </w:rPr>
        <w:t>3.3.4.1.</w:t>
      </w:r>
      <w:r w:rsidR="00A05F30">
        <w:rPr>
          <w:rFonts w:asciiTheme="majorBidi" w:hAnsiTheme="majorBidi" w:cstheme="majorBidi"/>
          <w:lang w:val="en-GB"/>
        </w:rPr>
        <w:tab/>
      </w:r>
      <w:r w:rsidRPr="000641C5">
        <w:rPr>
          <w:rFonts w:asciiTheme="majorBidi" w:hAnsiTheme="majorBidi" w:cstheme="majorBidi"/>
          <w:lang w:val="en-GB"/>
        </w:rPr>
        <w:t xml:space="preserve">Retro-reflective devices shall bear the trade name or mark of the applicant </w:t>
      </w:r>
      <w:r w:rsidRPr="0095643F">
        <w:rPr>
          <w:rFonts w:asciiTheme="majorBidi" w:hAnsiTheme="majorBidi" w:cstheme="majorBidi"/>
          <w:b/>
          <w:bCs/>
          <w:lang w:val="en-GB"/>
        </w:rPr>
        <w:t>and the marking described in 3.3.2.3</w:t>
      </w:r>
      <w:r w:rsidRPr="000641C5">
        <w:rPr>
          <w:rFonts w:asciiTheme="majorBidi" w:hAnsiTheme="majorBidi" w:cstheme="majorBidi"/>
          <w:lang w:val="en-GB"/>
        </w:rPr>
        <w:t>.”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0E5D0A4E" w14:textId="78B218BB" w:rsidR="00BF310C" w:rsidRDefault="000E72FD" w:rsidP="004D336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792E02">
        <w:rPr>
          <w:rFonts w:asciiTheme="majorBidi" w:hAnsiTheme="majorBidi" w:cstheme="majorBidi"/>
        </w:rPr>
        <w:tab/>
      </w:r>
      <w:r w:rsidR="0091153B">
        <w:rPr>
          <w:rFonts w:asciiTheme="majorBidi" w:hAnsiTheme="majorBidi" w:cstheme="majorBidi"/>
          <w:lang w:val="en-US"/>
        </w:rPr>
        <w:t xml:space="preserve">Justification is </w:t>
      </w:r>
      <w:r w:rsidR="0095643F">
        <w:rPr>
          <w:rFonts w:asciiTheme="majorBidi" w:hAnsiTheme="majorBidi" w:cstheme="majorBidi"/>
          <w:lang w:val="en-US"/>
        </w:rPr>
        <w:t xml:space="preserve">given </w:t>
      </w:r>
      <w:r w:rsidR="0091153B">
        <w:rPr>
          <w:rFonts w:asciiTheme="majorBidi" w:hAnsiTheme="majorBidi" w:cstheme="majorBidi"/>
          <w:lang w:val="en-US"/>
        </w:rPr>
        <w:t xml:space="preserve">in informal document </w:t>
      </w:r>
      <w:r w:rsidR="0091153B" w:rsidRPr="0091153B">
        <w:rPr>
          <w:rFonts w:asciiTheme="majorBidi" w:hAnsiTheme="majorBidi" w:cstheme="majorBidi"/>
        </w:rPr>
        <w:t>WP.29</w:t>
      </w:r>
      <w:r w:rsidR="0091153B">
        <w:rPr>
          <w:rFonts w:asciiTheme="majorBidi" w:hAnsiTheme="majorBidi" w:cstheme="majorBidi"/>
        </w:rPr>
        <w:t>-</w:t>
      </w:r>
      <w:r w:rsidR="0091153B" w:rsidRPr="0091153B">
        <w:rPr>
          <w:rFonts w:asciiTheme="majorBidi" w:hAnsiTheme="majorBidi" w:cstheme="majorBidi"/>
        </w:rPr>
        <w:t>187</w:t>
      </w:r>
      <w:r w:rsidR="000B0818">
        <w:rPr>
          <w:rFonts w:asciiTheme="majorBidi" w:hAnsiTheme="majorBidi" w:cstheme="majorBidi"/>
        </w:rPr>
        <w:t>-</w:t>
      </w:r>
      <w:r w:rsidR="0091153B" w:rsidRPr="0091153B">
        <w:rPr>
          <w:rFonts w:asciiTheme="majorBidi" w:hAnsiTheme="majorBidi" w:cstheme="majorBidi"/>
        </w:rPr>
        <w:t>15</w:t>
      </w:r>
      <w:r w:rsidR="002F5BEC">
        <w:rPr>
          <w:rFonts w:asciiTheme="majorBidi" w:hAnsiTheme="majorBidi" w:cstheme="majorBidi"/>
        </w:rPr>
        <w:t>.</w:t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3F1AB4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0EF0" w14:textId="77777777" w:rsidR="0017542E" w:rsidRDefault="0017542E"/>
  </w:endnote>
  <w:endnote w:type="continuationSeparator" w:id="0">
    <w:p w14:paraId="21F6FE0A" w14:textId="77777777" w:rsidR="0017542E" w:rsidRDefault="0017542E"/>
  </w:endnote>
  <w:endnote w:type="continuationNotice" w:id="1">
    <w:p w14:paraId="12DFC618" w14:textId="77777777" w:rsidR="0017542E" w:rsidRDefault="00175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B275" w14:textId="58F5A618" w:rsidR="00EC2F13" w:rsidRDefault="00EC2F13" w:rsidP="00EC2F1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F943959" wp14:editId="5468F11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1BD09" w14:textId="74CF3EAD" w:rsidR="00EC2F13" w:rsidRPr="00EC2F13" w:rsidRDefault="00EC2F13" w:rsidP="00EC2F13">
    <w:pPr>
      <w:pStyle w:val="Footer"/>
      <w:ind w:right="1134"/>
      <w:rPr>
        <w:sz w:val="20"/>
      </w:rPr>
    </w:pPr>
    <w:r>
      <w:rPr>
        <w:sz w:val="20"/>
      </w:rPr>
      <w:t>GE.22-11756(E)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F3E733" wp14:editId="27E4B22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31B6" w14:textId="77777777" w:rsidR="0017542E" w:rsidRPr="000B175B" w:rsidRDefault="0017542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53407B" w14:textId="77777777" w:rsidR="0017542E" w:rsidRPr="00FC68B7" w:rsidRDefault="0017542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46E8CB" w14:textId="77777777" w:rsidR="0017542E" w:rsidRDefault="0017542E"/>
  </w:footnote>
  <w:footnote w:id="2">
    <w:p w14:paraId="26469265" w14:textId="28848D69" w:rsidR="00E317C2" w:rsidRPr="004876E3" w:rsidRDefault="00E317C2" w:rsidP="00297676">
      <w:pPr>
        <w:pStyle w:val="FootnoteText"/>
      </w:pPr>
      <w:r w:rsidRPr="00A90EA8">
        <w:tab/>
      </w:r>
      <w:r w:rsidR="006C3F3F" w:rsidRPr="00FA2F4E">
        <w:rPr>
          <w:rStyle w:val="FootnoteReference"/>
          <w:sz w:val="20"/>
          <w:lang w:val="en-US"/>
        </w:rPr>
        <w:t>*</w:t>
      </w:r>
      <w:r w:rsidR="006C3F3F" w:rsidRPr="00FA2F4E">
        <w:rPr>
          <w:sz w:val="20"/>
          <w:lang w:val="en-US"/>
        </w:rPr>
        <w:tab/>
      </w:r>
      <w:r w:rsidR="006C3F3F">
        <w:rPr>
          <w:szCs w:val="18"/>
          <w:lang w:val="en-US"/>
        </w:rPr>
        <w:t xml:space="preserve">In accordance with the programme of work of the Inland Transport Committee for 2022 as outlined in proposed programme budget for 2022 (A/76/6 (Sect.20), para 20.76), the World Forum will develop, </w:t>
      </w:r>
      <w:proofErr w:type="gramStart"/>
      <w:r w:rsidR="006C3F3F">
        <w:rPr>
          <w:szCs w:val="18"/>
          <w:lang w:val="en-US"/>
        </w:rPr>
        <w:t>harmonize</w:t>
      </w:r>
      <w:proofErr w:type="gramEnd"/>
      <w:r w:rsidR="006C3F3F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1C1" w14:textId="70A4A645" w:rsidR="00C740F6" w:rsidRPr="006C395D" w:rsidRDefault="00C740F6" w:rsidP="005726B5">
    <w:pPr>
      <w:pStyle w:val="Header"/>
    </w:pPr>
    <w:r w:rsidRPr="001C5F9E">
      <w:t>ECE/TRANS/WP.29/GRE/20</w:t>
    </w:r>
    <w:r w:rsidR="006D181F" w:rsidRPr="001C5F9E">
      <w:t>2</w:t>
    </w:r>
    <w:r w:rsidR="00527CAE" w:rsidRPr="001C5F9E">
      <w:t>2</w:t>
    </w:r>
    <w:r w:rsidRPr="001C5F9E">
      <w:t>/</w:t>
    </w:r>
    <w:r w:rsidR="001C5F9E" w:rsidRPr="001C5F9E">
      <w:t>1</w:t>
    </w:r>
    <w:r w:rsidR="00585CBD">
      <w:rPr>
        <w:lang w:val="ru-RU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43D453DD" w:rsidR="00C740F6" w:rsidRPr="006C395D" w:rsidRDefault="00C740F6" w:rsidP="00DA725B">
    <w:pPr>
      <w:pStyle w:val="Header"/>
      <w:jc w:val="right"/>
    </w:pPr>
    <w:r w:rsidRPr="001C5F9E">
      <w:t>ECE/TRANS/WP.29/GRE/20</w:t>
    </w:r>
    <w:r w:rsidR="004223FF" w:rsidRPr="001C5F9E">
      <w:t>2</w:t>
    </w:r>
    <w:r w:rsidR="00CA04EB" w:rsidRPr="001C5F9E">
      <w:t>2</w:t>
    </w:r>
    <w:r w:rsidRPr="001C5F9E">
      <w:t>/</w:t>
    </w:r>
    <w:r w:rsidR="004D3367">
      <w:t>1</w:t>
    </w:r>
    <w:r w:rsidR="00585CBD">
      <w:rPr>
        <w:lang w:val="ru-RU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41C5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0818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5C16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42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07CDA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4D8"/>
    <w:rsid w:val="004E75E5"/>
    <w:rsid w:val="004E7753"/>
    <w:rsid w:val="004E7F66"/>
    <w:rsid w:val="004F0B1B"/>
    <w:rsid w:val="004F0BBB"/>
    <w:rsid w:val="004F10A2"/>
    <w:rsid w:val="004F133F"/>
    <w:rsid w:val="004F1C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4A80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5CBD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1FBA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3F53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6084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89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1A97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2C5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53B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43F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F30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43CE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4F5E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1F6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6E05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1F9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2F13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1D64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5752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91281-D4BE-4EF1-B722-DA3D25F9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ECE/TRANS/WP.29/GRE/2020/9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3421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ECE/TRANS/WP.29/GRE/2022/13</dc:title>
  <dc:subject>2211756</dc:subject>
  <dc:creator>AFTER JUNE</dc:creator>
  <cp:keywords/>
  <dc:description/>
  <cp:lastModifiedBy>Benedicte Boudol</cp:lastModifiedBy>
  <cp:revision>2</cp:revision>
  <cp:lastPrinted>2022-07-27T09:13:00Z</cp:lastPrinted>
  <dcterms:created xsi:type="dcterms:W3CDTF">2022-09-07T08:04:00Z</dcterms:created>
  <dcterms:modified xsi:type="dcterms:W3CDTF">2022-09-07T08:04:00Z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